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6A93C">
      <w:pPr>
        <w:rPr>
          <w:rFonts w:hint="default" w:ascii="Times New Roman" w:hAnsi="Times New Roman" w:eastAsia="仿宋_GB2312" w:cs="Times New Roman"/>
          <w:color w:val="auto"/>
          <w:sz w:val="36"/>
          <w:szCs w:val="36"/>
        </w:rPr>
      </w:pPr>
    </w:p>
    <w:p w14:paraId="5C971B24">
      <w:pPr>
        <w:adjustRightInd w:val="0"/>
        <w:snapToGrid w:val="0"/>
        <w:jc w:val="center"/>
        <w:outlineLvl w:val="0"/>
        <w:rPr>
          <w:rFonts w:hint="default" w:ascii="Times New Roman" w:hAnsi="Times New Roman" w:eastAsia="方正小标宋_GBK" w:cs="Times New Roman"/>
          <w:bCs/>
          <w:color w:val="auto"/>
          <w:sz w:val="44"/>
          <w:szCs w:val="44"/>
        </w:rPr>
      </w:pPr>
      <w:bookmarkStart w:id="0" w:name="_Toc6965"/>
      <w:bookmarkStart w:id="1" w:name="_Toc4502"/>
    </w:p>
    <w:p w14:paraId="2BF924B2">
      <w:pPr>
        <w:adjustRightInd w:val="0"/>
        <w:snapToGrid w:val="0"/>
        <w:jc w:val="center"/>
        <w:outlineLvl w:val="0"/>
        <w:rPr>
          <w:rFonts w:hint="default" w:ascii="Times New Roman" w:hAnsi="Times New Roman" w:eastAsia="方正小标宋_GBK" w:cs="Times New Roman"/>
          <w:bCs/>
          <w:color w:val="auto"/>
          <w:sz w:val="72"/>
          <w:szCs w:val="72"/>
        </w:rPr>
      </w:pPr>
      <w:bookmarkStart w:id="2" w:name="_Toc28869"/>
      <w:bookmarkStart w:id="3" w:name="_Toc19186"/>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p>
    <w:p w14:paraId="10019ABB">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2899B826">
      <w:pPr>
        <w:adjustRightInd w:val="0"/>
        <w:snapToGrid w:val="0"/>
        <w:spacing w:line="288" w:lineRule="auto"/>
        <w:rPr>
          <w:rFonts w:hint="default" w:ascii="Times New Roman" w:hAnsi="Times New Roman" w:eastAsia="仿宋_GB2312" w:cs="Times New Roman"/>
          <w:color w:val="auto"/>
          <w:sz w:val="36"/>
          <w:szCs w:val="36"/>
        </w:rPr>
      </w:pPr>
    </w:p>
    <w:p w14:paraId="2C3A56D5">
      <w:pPr>
        <w:pStyle w:val="18"/>
        <w:rPr>
          <w:rFonts w:hint="default" w:ascii="Times New Roman" w:hAnsi="Times New Roman" w:cs="Times New Roman"/>
          <w:color w:val="auto"/>
        </w:rPr>
      </w:pPr>
    </w:p>
    <w:p w14:paraId="5521F8BA">
      <w:pPr>
        <w:rPr>
          <w:rFonts w:hint="default" w:ascii="Times New Roman" w:hAnsi="Times New Roman" w:cs="Times New Roman"/>
          <w:color w:val="auto"/>
        </w:rPr>
      </w:pPr>
    </w:p>
    <w:p w14:paraId="134FDF20">
      <w:pPr>
        <w:pStyle w:val="18"/>
        <w:rPr>
          <w:rFonts w:hint="default" w:ascii="Times New Roman" w:hAnsi="Times New Roman" w:cs="Times New Roman"/>
          <w:color w:val="auto"/>
        </w:rPr>
      </w:pPr>
    </w:p>
    <w:p w14:paraId="7A2F8326">
      <w:pPr>
        <w:adjustRightInd w:val="0"/>
        <w:snapToGrid w:val="0"/>
        <w:spacing w:line="288" w:lineRule="auto"/>
        <w:jc w:val="left"/>
        <w:rPr>
          <w:rFonts w:hint="default" w:ascii="Times New Roman" w:hAnsi="Times New Roman" w:eastAsia="仿宋_GB2312" w:cs="Times New Roman"/>
          <w:color w:val="auto"/>
          <w:sz w:val="36"/>
          <w:szCs w:val="36"/>
        </w:rPr>
      </w:pPr>
    </w:p>
    <w:p w14:paraId="0BC72F4F">
      <w:pPr>
        <w:pStyle w:val="18"/>
        <w:rPr>
          <w:rFonts w:hint="default" w:ascii="Times New Roman" w:hAnsi="Times New Roman" w:eastAsia="仿宋_GB2312" w:cs="Times New Roman"/>
          <w:color w:val="auto"/>
          <w:sz w:val="36"/>
          <w:szCs w:val="36"/>
        </w:rPr>
      </w:pPr>
    </w:p>
    <w:p w14:paraId="736EAFC1">
      <w:pPr>
        <w:pStyle w:val="18"/>
        <w:rPr>
          <w:rFonts w:hint="default" w:ascii="Times New Roman" w:hAnsi="Times New Roman" w:eastAsia="仿宋_GB2312" w:cs="Times New Roman"/>
          <w:color w:val="auto"/>
          <w:sz w:val="36"/>
          <w:szCs w:val="36"/>
        </w:rPr>
      </w:pPr>
    </w:p>
    <w:p w14:paraId="785978F2">
      <w:pPr>
        <w:rPr>
          <w:rFonts w:hint="default" w:ascii="Times New Roman" w:hAnsi="Times New Roman" w:eastAsia="仿宋_GB2312" w:cs="Times New Roman"/>
          <w:color w:val="auto"/>
          <w:sz w:val="36"/>
          <w:szCs w:val="36"/>
        </w:rPr>
      </w:pPr>
    </w:p>
    <w:p w14:paraId="1B81C33E">
      <w:pPr>
        <w:pStyle w:val="18"/>
        <w:rPr>
          <w:rFonts w:hint="default" w:ascii="Times New Roman" w:hAnsi="Times New Roman" w:eastAsia="仿宋_GB2312" w:cs="Times New Roman"/>
          <w:color w:val="auto"/>
          <w:sz w:val="36"/>
          <w:szCs w:val="36"/>
        </w:rPr>
      </w:pPr>
    </w:p>
    <w:p w14:paraId="5C2BE794">
      <w:pPr>
        <w:rPr>
          <w:rFonts w:hint="default" w:ascii="Times New Roman" w:hAnsi="Times New Roman" w:eastAsia="仿宋_GB2312" w:cs="Times New Roman"/>
          <w:color w:val="auto"/>
          <w:sz w:val="36"/>
          <w:szCs w:val="36"/>
        </w:rPr>
      </w:pPr>
    </w:p>
    <w:p w14:paraId="1B60129A">
      <w:pPr>
        <w:pStyle w:val="18"/>
        <w:rPr>
          <w:rFonts w:hint="default" w:ascii="Times New Roman" w:hAnsi="Times New Roman" w:cs="Times New Roman"/>
          <w:color w:val="auto"/>
        </w:rPr>
      </w:pPr>
    </w:p>
    <w:p w14:paraId="4FB65EC2">
      <w:pPr>
        <w:jc w:val="left"/>
        <w:rPr>
          <w:rFonts w:hint="default" w:ascii="Times New Roman" w:hAnsi="Times New Roman" w:eastAsia="仿宋" w:cs="Times New Roman"/>
          <w:color w:val="auto"/>
          <w:sz w:val="44"/>
          <w:szCs w:val="44"/>
        </w:rPr>
      </w:pPr>
    </w:p>
    <w:p w14:paraId="225E16E3">
      <w:pPr>
        <w:jc w:val="left"/>
        <w:rPr>
          <w:rFonts w:hint="default" w:ascii="Times New Roman" w:hAnsi="Times New Roman" w:eastAsia="仿宋" w:cs="Times New Roman"/>
          <w:color w:val="auto"/>
          <w:sz w:val="32"/>
          <w:szCs w:val="32"/>
        </w:rPr>
      </w:pPr>
    </w:p>
    <w:p w14:paraId="0EA0D736">
      <w:pPr>
        <w:adjustRightInd w:val="0"/>
        <w:snapToGrid w:val="0"/>
        <w:spacing w:line="360" w:lineRule="auto"/>
        <w:jc w:val="center"/>
        <w:rPr>
          <w:rFonts w:hint="default" w:ascii="Times New Roman" w:hAnsi="Times New Roman" w:eastAsia="黑体" w:cs="Times New Roman"/>
          <w:color w:val="auto"/>
          <w:sz w:val="32"/>
          <w:szCs w:val="32"/>
          <w:u w:val="single"/>
        </w:rPr>
      </w:pPr>
      <w:r>
        <w:rPr>
          <w:rFonts w:hint="default" w:ascii="Times New Roman" w:hAnsi="Times New Roman" w:eastAsia="黑体" w:cs="Times New Roman"/>
          <w:color w:val="auto"/>
          <w:sz w:val="32"/>
          <w:szCs w:val="32"/>
        </w:rPr>
        <w:t>项 目 名 称：</w:t>
      </w:r>
      <w:r>
        <w:rPr>
          <w:rFonts w:hint="default" w:ascii="Times New Roman" w:hAnsi="Times New Roman" w:eastAsia="黑体" w:cs="Times New Roman"/>
          <w:color w:val="auto"/>
          <w:sz w:val="32"/>
          <w:szCs w:val="32"/>
          <w:u w:val="single"/>
        </w:rPr>
        <w:t xml:space="preserve"> 玉溪大红山矿业民用爆炸物品储存库建设项目 </w:t>
      </w:r>
    </w:p>
    <w:p w14:paraId="4B6CF6CD">
      <w:pPr>
        <w:adjustRightInd w:val="0"/>
        <w:snapToGrid w:val="0"/>
        <w:spacing w:before="360" w:beforeLines="150" w:line="600" w:lineRule="auto"/>
        <w:ind w:left="3200" w:hanging="3200" w:hangingChars="1000"/>
        <w:rPr>
          <w:rFonts w:hint="default" w:ascii="Times New Roman" w:hAnsi="Times New Roman" w:eastAsia="黑体" w:cs="Times New Roman"/>
          <w:color w:val="auto"/>
          <w:sz w:val="32"/>
          <w:szCs w:val="32"/>
          <w:u w:val="single"/>
        </w:rPr>
      </w:pPr>
      <w:r>
        <w:rPr>
          <w:rFonts w:hint="default" w:ascii="Times New Roman" w:hAnsi="Times New Roman" w:eastAsia="黑体" w:cs="Times New Roman"/>
          <w:color w:val="auto"/>
          <w:sz w:val="32"/>
          <w:szCs w:val="32"/>
        </w:rPr>
        <w:t>建设单位（盖章）：</w:t>
      </w:r>
      <w:r>
        <w:rPr>
          <w:rFonts w:hint="default" w:ascii="Times New Roman" w:hAnsi="Times New Roman" w:eastAsia="黑体" w:cs="Times New Roman"/>
          <w:color w:val="auto"/>
          <w:sz w:val="32"/>
          <w:szCs w:val="32"/>
          <w:u w:val="single"/>
        </w:rPr>
        <w:t xml:space="preserve"> 湖南涟邵建设工程</w:t>
      </w:r>
      <w:r>
        <w:rPr>
          <w:rFonts w:hint="eastAsia" w:eastAsia="黑体" w:cs="Times New Roman"/>
          <w:color w:val="auto"/>
          <w:sz w:val="32"/>
          <w:szCs w:val="32"/>
          <w:u w:val="single"/>
          <w:lang w:eastAsia="zh-CN"/>
        </w:rPr>
        <w:t>（</w:t>
      </w:r>
      <w:r>
        <w:rPr>
          <w:rFonts w:hint="default" w:ascii="Times New Roman" w:hAnsi="Times New Roman" w:eastAsia="黑体" w:cs="Times New Roman"/>
          <w:color w:val="auto"/>
          <w:sz w:val="32"/>
          <w:szCs w:val="32"/>
          <w:u w:val="single"/>
        </w:rPr>
        <w:t>集团</w:t>
      </w:r>
      <w:r>
        <w:rPr>
          <w:rFonts w:hint="eastAsia" w:eastAsia="黑体" w:cs="Times New Roman"/>
          <w:color w:val="auto"/>
          <w:sz w:val="32"/>
          <w:szCs w:val="32"/>
          <w:u w:val="single"/>
          <w:lang w:eastAsia="zh-CN"/>
        </w:rPr>
        <w:t>）</w:t>
      </w:r>
      <w:r>
        <w:rPr>
          <w:rFonts w:hint="default" w:ascii="Times New Roman" w:hAnsi="Times New Roman" w:eastAsia="黑体" w:cs="Times New Roman"/>
          <w:color w:val="auto"/>
          <w:sz w:val="32"/>
          <w:szCs w:val="32"/>
          <w:u w:val="single"/>
        </w:rPr>
        <w:t>有限责任公司新平分公司</w:t>
      </w:r>
    </w:p>
    <w:p w14:paraId="2E44FB8D">
      <w:pPr>
        <w:adjustRightInd w:val="0"/>
        <w:snapToGrid w:val="0"/>
        <w:spacing w:line="600" w:lineRule="auto"/>
        <w:ind w:firstLine="640" w:firstLineChars="200"/>
        <w:rPr>
          <w:rFonts w:hint="default" w:ascii="Times New Roman" w:hAnsi="Times New Roman" w:eastAsia="黑体" w:cs="Times New Roman"/>
          <w:color w:val="auto"/>
          <w:sz w:val="32"/>
          <w:szCs w:val="32"/>
          <w:u w:val="single"/>
        </w:rPr>
      </w:pPr>
      <w:r>
        <w:rPr>
          <w:rFonts w:hint="default" w:ascii="Times New Roman" w:hAnsi="Times New Roman" w:eastAsia="黑体" w:cs="Times New Roman"/>
          <w:color w:val="auto"/>
          <w:sz w:val="32"/>
          <w:szCs w:val="32"/>
        </w:rPr>
        <w:t xml:space="preserve">编 制 日 期：     </w:t>
      </w:r>
      <w:r>
        <w:rPr>
          <w:rFonts w:hint="default" w:ascii="Times New Roman" w:hAnsi="Times New Roman" w:eastAsia="黑体" w:cs="Times New Roman"/>
          <w:color w:val="auto"/>
          <w:sz w:val="32"/>
          <w:szCs w:val="32"/>
          <w:u w:val="single"/>
        </w:rPr>
        <w:t xml:space="preserve">     2026年</w:t>
      </w:r>
      <w:r>
        <w:rPr>
          <w:rFonts w:hint="eastAsia" w:eastAsia="黑体" w:cs="Times New Roman"/>
          <w:color w:val="auto"/>
          <w:sz w:val="32"/>
          <w:szCs w:val="32"/>
          <w:u w:val="single"/>
          <w:lang w:val="en-US" w:eastAsia="zh-CN"/>
        </w:rPr>
        <w:t>4</w:t>
      </w:r>
      <w:r>
        <w:rPr>
          <w:rFonts w:hint="default" w:ascii="Times New Roman" w:hAnsi="Times New Roman" w:eastAsia="黑体" w:cs="Times New Roman"/>
          <w:color w:val="auto"/>
          <w:sz w:val="32"/>
          <w:szCs w:val="32"/>
          <w:u w:val="single"/>
        </w:rPr>
        <w:t xml:space="preserve">月              </w:t>
      </w:r>
    </w:p>
    <w:p w14:paraId="27732B56">
      <w:pPr>
        <w:adjustRightInd w:val="0"/>
        <w:snapToGrid w:val="0"/>
        <w:spacing w:line="288" w:lineRule="auto"/>
        <w:ind w:firstLine="1040"/>
        <w:rPr>
          <w:rFonts w:hint="default" w:ascii="Times New Roman" w:hAnsi="Times New Roman" w:eastAsia="仿宋_GB2312" w:cs="Times New Roman"/>
          <w:color w:val="auto"/>
          <w:sz w:val="36"/>
          <w:szCs w:val="36"/>
        </w:rPr>
      </w:pPr>
      <w:bookmarkStart w:id="4" w:name="_Hlk57884087"/>
    </w:p>
    <w:bookmarkEnd w:id="4"/>
    <w:p w14:paraId="0852574A">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10BB0349">
      <w:pPr>
        <w:rPr>
          <w:rFonts w:hint="default" w:ascii="Times New Roman" w:hAnsi="Times New Roman" w:cs="Times New Roman"/>
          <w:color w:val="auto"/>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90F6054">
      <w:pPr>
        <w:rPr>
          <w:rFonts w:hint="default" w:ascii="Times New Roman" w:hAnsi="Times New Roman" w:cs="Times New Roman"/>
          <w:color w:val="auto"/>
        </w:rPr>
      </w:pPr>
    </w:p>
    <w:p w14:paraId="66F2E579">
      <w:pPr>
        <w:rPr>
          <w:rFonts w:hint="default" w:ascii="Times New Roman" w:hAnsi="Times New Roman" w:cs="Times New Roman"/>
          <w:color w:val="auto"/>
        </w:rPr>
      </w:pPr>
    </w:p>
    <w:p w14:paraId="130F7EFB">
      <w:pPr>
        <w:rPr>
          <w:rFonts w:hint="default" w:ascii="Times New Roman" w:hAnsi="Times New Roman" w:cs="Times New Roman"/>
          <w:color w:val="auto"/>
        </w:rPr>
      </w:pPr>
    </w:p>
    <w:p w14:paraId="2BFA0820">
      <w:pPr>
        <w:rPr>
          <w:rFonts w:hint="default" w:ascii="Times New Roman" w:hAnsi="Times New Roman" w:cs="Times New Roman"/>
          <w:color w:val="auto"/>
        </w:rPr>
      </w:pPr>
    </w:p>
    <w:p w14:paraId="059CBF01">
      <w:pPr>
        <w:rPr>
          <w:rFonts w:hint="default" w:ascii="Times New Roman" w:hAnsi="Times New Roman" w:cs="Times New Roman"/>
          <w:color w:val="auto"/>
        </w:rPr>
      </w:pPr>
    </w:p>
    <w:p w14:paraId="69583066">
      <w:pPr>
        <w:pStyle w:val="26"/>
        <w:tabs>
          <w:tab w:val="right" w:leader="dot" w:pos="8834"/>
        </w:tabs>
        <w:jc w:val="center"/>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目  录</w:t>
      </w:r>
    </w:p>
    <w:p w14:paraId="7745AB3E">
      <w:pPr>
        <w:rPr>
          <w:rFonts w:hint="default" w:ascii="Times New Roman" w:hAnsi="Times New Roman" w:cs="Times New Roman"/>
          <w:color w:val="auto"/>
        </w:rPr>
      </w:pPr>
    </w:p>
    <w:p w14:paraId="46C762D5">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TOC \o "1-1" \h \u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"_Toc7759"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一、建设项目基本情况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_Toc7759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6A276236">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"_Toc27802"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二、建设项目工程分析</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_Toc27802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03EFB3D9">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"_Toc32177"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三、区域环境质量现状、环境保护目标及评价标准</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_Toc32177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40</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1DD33379">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"_Toc5241"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四、主要环境影响和保护措施</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_Toc5241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4A6A5FCE">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"_Toc30765"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五、环境保护措施监督检查清单</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_Toc30765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91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6DEA3A2D">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"_Toc602"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六、结论</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_Toc602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94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4DC6B01B">
      <w:pPr>
        <w:pStyle w:val="26"/>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"_Toc31654"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附表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_Toc31654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95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5A5EDB0B">
      <w:pPr>
        <w:spacing w:line="360" w:lineRule="auto"/>
        <w:rPr>
          <w:rFonts w:hint="default" w:ascii="Times New Roman" w:hAnsi="Times New Roman" w:cs="Times New Roman"/>
          <w:color w:val="auto"/>
        </w:rPr>
      </w:pPr>
      <w:r>
        <w:rPr>
          <w:rFonts w:hint="default" w:ascii="Times New Roman" w:hAnsi="Times New Roman" w:cs="Times New Roman"/>
          <w:color w:val="auto"/>
          <w:sz w:val="28"/>
          <w:szCs w:val="28"/>
        </w:rPr>
        <w:fldChar w:fldCharType="end"/>
      </w:r>
    </w:p>
    <w:p w14:paraId="040609AB">
      <w:pPr>
        <w:tabs>
          <w:tab w:val="left" w:pos="0"/>
        </w:tabs>
        <w:spacing w:line="360" w:lineRule="auto"/>
        <w:rPr>
          <w:rFonts w:hint="default" w:ascii="Times New Roman" w:hAnsi="Times New Roman" w:eastAsia="黑体" w:cs="Times New Roman"/>
          <w:b/>
          <w:bCs/>
          <w:color w:val="auto"/>
          <w:szCs w:val="21"/>
        </w:rPr>
      </w:pPr>
    </w:p>
    <w:p w14:paraId="76ADA256">
      <w:pPr>
        <w:tabs>
          <w:tab w:val="left" w:pos="0"/>
        </w:tabs>
        <w:spacing w:line="360" w:lineRule="auto"/>
        <w:rPr>
          <w:rFonts w:hint="default" w:ascii="Times New Roman" w:hAnsi="Times New Roman" w:eastAsia="黑体" w:cs="Times New Roman"/>
          <w:b/>
          <w:bCs/>
          <w:color w:val="auto"/>
          <w:szCs w:val="21"/>
        </w:rPr>
      </w:pPr>
    </w:p>
    <w:p w14:paraId="0616238C">
      <w:pPr>
        <w:rPr>
          <w:rFonts w:hint="default" w:ascii="Times New Roman" w:hAnsi="Times New Roman" w:eastAsia="黑体" w:cs="Times New Roman"/>
          <w:b/>
          <w:bCs/>
          <w:color w:val="auto"/>
          <w:szCs w:val="21"/>
        </w:rPr>
      </w:pPr>
    </w:p>
    <w:p w14:paraId="309900A8">
      <w:pPr>
        <w:rPr>
          <w:rFonts w:hint="default" w:ascii="Times New Roman" w:hAnsi="Times New Roman" w:eastAsia="黑体" w:cs="Times New Roman"/>
          <w:b/>
          <w:bCs/>
          <w:color w:val="auto"/>
          <w:szCs w:val="21"/>
        </w:rPr>
      </w:pPr>
    </w:p>
    <w:p w14:paraId="0EBD8FE1">
      <w:pPr>
        <w:rPr>
          <w:rFonts w:hint="default" w:ascii="Times New Roman" w:hAnsi="Times New Roman" w:eastAsia="黑体" w:cs="Times New Roman"/>
          <w:b/>
          <w:bCs/>
          <w:color w:val="auto"/>
          <w:szCs w:val="21"/>
        </w:rPr>
      </w:pPr>
    </w:p>
    <w:p w14:paraId="4E86EDAA">
      <w:pPr>
        <w:rPr>
          <w:rFonts w:hint="default" w:ascii="Times New Roman" w:hAnsi="Times New Roman" w:eastAsia="黑体" w:cs="Times New Roman"/>
          <w:b/>
          <w:bCs/>
          <w:color w:val="auto"/>
          <w:szCs w:val="21"/>
        </w:rPr>
      </w:pPr>
    </w:p>
    <w:p w14:paraId="6332D0DB">
      <w:pPr>
        <w:rPr>
          <w:rFonts w:hint="default" w:ascii="Times New Roman" w:hAnsi="Times New Roman" w:eastAsia="黑体" w:cs="Times New Roman"/>
          <w:b/>
          <w:bCs/>
          <w:color w:val="auto"/>
          <w:szCs w:val="21"/>
        </w:rPr>
      </w:pPr>
    </w:p>
    <w:p w14:paraId="78642F12">
      <w:pPr>
        <w:rPr>
          <w:rFonts w:hint="default" w:ascii="Times New Roman" w:hAnsi="Times New Roman" w:eastAsia="黑体" w:cs="Times New Roman"/>
          <w:b/>
          <w:bCs/>
          <w:color w:val="auto"/>
          <w:szCs w:val="21"/>
        </w:rPr>
      </w:pPr>
    </w:p>
    <w:p w14:paraId="103DDF4A">
      <w:pPr>
        <w:rPr>
          <w:rFonts w:hint="default" w:ascii="Times New Roman" w:hAnsi="Times New Roman" w:eastAsia="黑体" w:cs="Times New Roman"/>
          <w:b/>
          <w:bCs/>
          <w:color w:val="auto"/>
          <w:szCs w:val="21"/>
        </w:rPr>
      </w:pPr>
    </w:p>
    <w:p w14:paraId="1FB35D25">
      <w:pPr>
        <w:rPr>
          <w:rFonts w:hint="default" w:ascii="Times New Roman" w:hAnsi="Times New Roman" w:eastAsia="黑体" w:cs="Times New Roman"/>
          <w:b/>
          <w:bCs/>
          <w:color w:val="auto"/>
          <w:szCs w:val="21"/>
        </w:rPr>
      </w:pPr>
    </w:p>
    <w:p w14:paraId="3E6705D0">
      <w:pPr>
        <w:rPr>
          <w:rFonts w:hint="default" w:ascii="Times New Roman" w:hAnsi="Times New Roman" w:eastAsia="黑体" w:cs="Times New Roman"/>
          <w:b/>
          <w:bCs/>
          <w:color w:val="auto"/>
          <w:szCs w:val="21"/>
        </w:rPr>
      </w:pPr>
    </w:p>
    <w:p w14:paraId="70A7D7BB">
      <w:pPr>
        <w:rPr>
          <w:rFonts w:hint="default" w:ascii="Times New Roman" w:hAnsi="Times New Roman" w:eastAsia="黑体" w:cs="Times New Roman"/>
          <w:b/>
          <w:bCs/>
          <w:color w:val="auto"/>
          <w:szCs w:val="21"/>
        </w:rPr>
      </w:pPr>
    </w:p>
    <w:p w14:paraId="56AE3888">
      <w:pPr>
        <w:rPr>
          <w:rFonts w:hint="default" w:ascii="Times New Roman" w:hAnsi="Times New Roman" w:eastAsia="黑体" w:cs="Times New Roman"/>
          <w:b/>
          <w:bCs/>
          <w:color w:val="auto"/>
          <w:szCs w:val="21"/>
        </w:rPr>
      </w:pPr>
    </w:p>
    <w:p w14:paraId="36678335">
      <w:pPr>
        <w:rPr>
          <w:rFonts w:hint="default" w:ascii="Times New Roman" w:hAnsi="Times New Roman" w:eastAsia="黑体" w:cs="Times New Roman"/>
          <w:b/>
          <w:bCs/>
          <w:color w:val="auto"/>
          <w:szCs w:val="21"/>
        </w:rPr>
      </w:pPr>
    </w:p>
    <w:p w14:paraId="4230C341">
      <w:pPr>
        <w:rPr>
          <w:rFonts w:hint="default" w:ascii="Times New Roman" w:hAnsi="Times New Roman" w:eastAsia="黑体" w:cs="Times New Roman"/>
          <w:b/>
          <w:bCs/>
          <w:color w:val="auto"/>
          <w:szCs w:val="21"/>
        </w:rPr>
      </w:pPr>
    </w:p>
    <w:p w14:paraId="776C9A5F">
      <w:pPr>
        <w:rPr>
          <w:rFonts w:hint="default" w:ascii="Times New Roman" w:hAnsi="Times New Roman" w:eastAsia="黑体" w:cs="Times New Roman"/>
          <w:b/>
          <w:bCs/>
          <w:color w:val="auto"/>
          <w:szCs w:val="21"/>
        </w:rPr>
      </w:pPr>
    </w:p>
    <w:p w14:paraId="782A274F">
      <w:pPr>
        <w:rPr>
          <w:rFonts w:hint="default" w:ascii="Times New Roman" w:hAnsi="Times New Roman" w:eastAsia="黑体" w:cs="Times New Roman"/>
          <w:b/>
          <w:bCs/>
          <w:color w:val="auto"/>
          <w:szCs w:val="21"/>
        </w:rPr>
      </w:pPr>
    </w:p>
    <w:p w14:paraId="0CF8E9E1">
      <w:pPr>
        <w:rPr>
          <w:rFonts w:hint="default" w:ascii="Times New Roman" w:hAnsi="Times New Roman" w:eastAsia="黑体" w:cs="Times New Roman"/>
          <w:b/>
          <w:bCs/>
          <w:color w:val="auto"/>
          <w:szCs w:val="21"/>
        </w:rPr>
      </w:pPr>
    </w:p>
    <w:p w14:paraId="00083CC7">
      <w:pPr>
        <w:rPr>
          <w:rFonts w:hint="default" w:ascii="Times New Roman" w:hAnsi="Times New Roman" w:eastAsia="黑体" w:cs="Times New Roman"/>
          <w:b/>
          <w:bCs/>
          <w:color w:val="auto"/>
          <w:szCs w:val="21"/>
        </w:rPr>
      </w:pPr>
    </w:p>
    <w:p w14:paraId="76B9A41C">
      <w:pPr>
        <w:rPr>
          <w:rFonts w:hint="default" w:ascii="Times New Roman" w:hAnsi="Times New Roman" w:eastAsia="黑体" w:cs="Times New Roman"/>
          <w:b/>
          <w:bCs/>
          <w:color w:val="auto"/>
          <w:szCs w:val="21"/>
        </w:rPr>
      </w:pPr>
    </w:p>
    <w:p w14:paraId="21DD2515">
      <w:pPr>
        <w:rPr>
          <w:rFonts w:hint="default" w:ascii="Times New Roman" w:hAnsi="Times New Roman" w:eastAsia="黑体" w:cs="Times New Roman"/>
          <w:b/>
          <w:bCs/>
          <w:color w:val="auto"/>
          <w:szCs w:val="21"/>
        </w:rPr>
      </w:pPr>
    </w:p>
    <w:p w14:paraId="1C884220">
      <w:pPr>
        <w:rPr>
          <w:rFonts w:hint="default" w:ascii="Times New Roman" w:hAnsi="Times New Roman" w:eastAsia="黑体" w:cs="Times New Roman"/>
          <w:b/>
          <w:bCs/>
          <w:color w:val="auto"/>
          <w:szCs w:val="21"/>
        </w:rPr>
      </w:pPr>
    </w:p>
    <w:p w14:paraId="61705997">
      <w:pPr>
        <w:rPr>
          <w:rFonts w:hint="default" w:ascii="Times New Roman" w:hAnsi="Times New Roman" w:eastAsia="黑体" w:cs="Times New Roman"/>
          <w:b/>
          <w:bCs/>
          <w:color w:val="auto"/>
          <w:szCs w:val="21"/>
        </w:rPr>
      </w:pPr>
    </w:p>
    <w:p w14:paraId="68E4F8C0">
      <w:pPr>
        <w:rPr>
          <w:rFonts w:hint="default" w:ascii="Times New Roman" w:hAnsi="Times New Roman" w:eastAsia="黑体" w:cs="Times New Roman"/>
          <w:b/>
          <w:bCs/>
          <w:color w:val="auto"/>
          <w:szCs w:val="21"/>
        </w:rPr>
      </w:pPr>
    </w:p>
    <w:p w14:paraId="34D82514">
      <w:pPr>
        <w:rPr>
          <w:rFonts w:hint="default" w:ascii="Times New Roman" w:hAnsi="Times New Roman" w:eastAsia="黑体" w:cs="Times New Roman"/>
          <w:b/>
          <w:bCs/>
          <w:color w:val="auto"/>
          <w:szCs w:val="21"/>
        </w:rPr>
      </w:pPr>
    </w:p>
    <w:p w14:paraId="6390DC78">
      <w:pPr>
        <w:rPr>
          <w:rFonts w:hint="default" w:ascii="Times New Roman" w:hAnsi="Times New Roman" w:eastAsia="黑体" w:cs="Times New Roman"/>
          <w:b/>
          <w:bCs/>
          <w:color w:val="auto"/>
          <w:szCs w:val="21"/>
        </w:rPr>
      </w:pPr>
    </w:p>
    <w:p w14:paraId="1D70ECEE">
      <w:pPr>
        <w:rPr>
          <w:rFonts w:hint="default" w:ascii="Times New Roman" w:hAnsi="Times New Roman" w:eastAsia="黑体" w:cs="Times New Roman"/>
          <w:b/>
          <w:bCs/>
          <w:color w:val="auto"/>
          <w:szCs w:val="21"/>
        </w:rPr>
      </w:pPr>
    </w:p>
    <w:p w14:paraId="34A78006">
      <w:pPr>
        <w:rPr>
          <w:rFonts w:hint="default" w:ascii="Times New Roman" w:hAnsi="Times New Roman" w:eastAsia="黑体" w:cs="Times New Roman"/>
          <w:b/>
          <w:bCs/>
          <w:color w:val="auto"/>
          <w:szCs w:val="21"/>
        </w:rPr>
      </w:pPr>
    </w:p>
    <w:p w14:paraId="1BCDAA5C">
      <w:pPr>
        <w:rPr>
          <w:rFonts w:hint="default" w:ascii="Times New Roman" w:hAnsi="Times New Roman" w:eastAsia="黑体" w:cs="Times New Roman"/>
          <w:b/>
          <w:bCs/>
          <w:color w:val="auto"/>
          <w:szCs w:val="21"/>
        </w:rPr>
      </w:pPr>
    </w:p>
    <w:p w14:paraId="1611F32F">
      <w:pPr>
        <w:rPr>
          <w:rFonts w:hint="default" w:ascii="Times New Roman" w:hAnsi="Times New Roman" w:eastAsia="黑体" w:cs="Times New Roman"/>
          <w:b/>
          <w:bCs/>
          <w:color w:val="auto"/>
          <w:szCs w:val="21"/>
        </w:rPr>
      </w:pPr>
    </w:p>
    <w:p w14:paraId="5CDC1657">
      <w:pPr>
        <w:rPr>
          <w:rFonts w:hint="default" w:ascii="Times New Roman" w:hAnsi="Times New Roman" w:eastAsia="黑体" w:cs="Times New Roman"/>
          <w:b/>
          <w:bCs/>
          <w:color w:val="auto"/>
          <w:szCs w:val="21"/>
        </w:rPr>
      </w:pPr>
    </w:p>
    <w:p w14:paraId="26415592">
      <w:pPr>
        <w:rPr>
          <w:rFonts w:hint="default" w:ascii="Times New Roman" w:hAnsi="Times New Roman" w:eastAsia="黑体" w:cs="Times New Roman"/>
          <w:b/>
          <w:bCs/>
          <w:color w:val="auto"/>
          <w:szCs w:val="21"/>
        </w:rPr>
      </w:pPr>
    </w:p>
    <w:p w14:paraId="493D532C">
      <w:pPr>
        <w:rPr>
          <w:rFonts w:hint="default" w:ascii="Times New Roman" w:hAnsi="Times New Roman" w:eastAsia="黑体" w:cs="Times New Roman"/>
          <w:b/>
          <w:bCs/>
          <w:color w:val="auto"/>
          <w:szCs w:val="21"/>
        </w:rPr>
      </w:pPr>
    </w:p>
    <w:p w14:paraId="650881F7">
      <w:pPr>
        <w:rPr>
          <w:rFonts w:hint="default" w:ascii="Times New Roman" w:hAnsi="Times New Roman" w:eastAsia="黑体" w:cs="Times New Roman"/>
          <w:b/>
          <w:bCs/>
          <w:color w:val="auto"/>
          <w:szCs w:val="21"/>
        </w:rPr>
      </w:pPr>
    </w:p>
    <w:p w14:paraId="164BCE23">
      <w:pPr>
        <w:tabs>
          <w:tab w:val="left" w:pos="0"/>
        </w:tabs>
        <w:spacing w:line="360" w:lineRule="auto"/>
        <w:rPr>
          <w:rFonts w:hint="default" w:ascii="Times New Roman" w:hAnsi="Times New Roman" w:eastAsia="新宋体" w:cs="Times New Roman"/>
          <w:b/>
          <w:bCs/>
          <w:color w:val="auto"/>
          <w:sz w:val="24"/>
        </w:rPr>
      </w:pPr>
      <w:r>
        <w:rPr>
          <w:rFonts w:hint="default" w:ascii="Times New Roman" w:hAnsi="Times New Roman" w:eastAsia="新宋体" w:cs="Times New Roman"/>
          <w:b/>
          <w:bCs/>
          <w:color w:val="auto"/>
          <w:sz w:val="24"/>
        </w:rPr>
        <w:t>附件：</w:t>
      </w:r>
    </w:p>
    <w:p w14:paraId="752FD872">
      <w:pPr>
        <w:tabs>
          <w:tab w:val="left" w:pos="0"/>
        </w:tabs>
        <w:spacing w:line="360" w:lineRule="auto"/>
        <w:ind w:firstLine="480" w:firstLineChars="200"/>
        <w:rPr>
          <w:rFonts w:hint="default" w:ascii="Times New Roman" w:hAnsi="Times New Roman" w:eastAsia="新宋体" w:cs="Times New Roman"/>
          <w:color w:val="auto"/>
          <w:sz w:val="24"/>
        </w:rPr>
      </w:pPr>
      <w:r>
        <w:rPr>
          <w:rFonts w:hint="default" w:ascii="Times New Roman" w:hAnsi="Times New Roman" w:eastAsia="新宋体" w:cs="Times New Roman"/>
          <w:color w:val="auto"/>
          <w:sz w:val="24"/>
        </w:rPr>
        <w:t>附件1、项目委托书；</w:t>
      </w:r>
    </w:p>
    <w:p w14:paraId="478F9569">
      <w:pPr>
        <w:tabs>
          <w:tab w:val="left" w:pos="0"/>
        </w:tabs>
        <w:spacing w:line="360" w:lineRule="auto"/>
        <w:ind w:firstLine="480" w:firstLineChars="200"/>
        <w:rPr>
          <w:rFonts w:hint="default" w:ascii="Times New Roman" w:hAnsi="Times New Roman" w:eastAsia="新宋体" w:cs="Times New Roman"/>
          <w:color w:val="auto"/>
          <w:sz w:val="24"/>
        </w:rPr>
      </w:pPr>
      <w:r>
        <w:rPr>
          <w:rFonts w:hint="default" w:ascii="Times New Roman" w:hAnsi="Times New Roman" w:eastAsia="新宋体" w:cs="Times New Roman"/>
          <w:color w:val="auto"/>
          <w:sz w:val="24"/>
        </w:rPr>
        <w:t>附件2、云南省固定资产投资项目备案证</w:t>
      </w:r>
      <w:r>
        <w:rPr>
          <w:rFonts w:hint="eastAsia" w:eastAsia="新宋体" w:cs="Times New Roman"/>
          <w:color w:val="auto"/>
          <w:sz w:val="24"/>
          <w:lang w:eastAsia="zh-CN"/>
        </w:rPr>
        <w:t>（2601-530427-04-01-205541）</w:t>
      </w:r>
      <w:r>
        <w:rPr>
          <w:rFonts w:hint="default" w:ascii="Times New Roman" w:hAnsi="Times New Roman" w:eastAsia="新宋体" w:cs="Times New Roman"/>
          <w:color w:val="auto"/>
          <w:sz w:val="24"/>
        </w:rPr>
        <w:t>；</w:t>
      </w:r>
    </w:p>
    <w:p w14:paraId="64AD8C48">
      <w:pPr>
        <w:tabs>
          <w:tab w:val="left" w:pos="0"/>
        </w:tabs>
        <w:spacing w:line="360" w:lineRule="auto"/>
        <w:ind w:firstLine="480" w:firstLineChars="200"/>
        <w:rPr>
          <w:rFonts w:hint="default" w:ascii="Times New Roman" w:hAnsi="Times New Roman" w:eastAsia="新宋体" w:cs="Times New Roman"/>
          <w:color w:val="auto"/>
          <w:highlight w:val="none"/>
        </w:rPr>
      </w:pPr>
      <w:r>
        <w:rPr>
          <w:rFonts w:hint="default" w:ascii="Times New Roman" w:hAnsi="Times New Roman" w:eastAsia="新宋体" w:cs="Times New Roman"/>
          <w:color w:val="auto"/>
          <w:sz w:val="24"/>
          <w:highlight w:val="none"/>
        </w:rPr>
        <w:t>附件3、</w:t>
      </w:r>
      <w:r>
        <w:rPr>
          <w:rFonts w:hint="eastAsia" w:eastAsia="新宋体" w:cs="Times New Roman"/>
          <w:color w:val="auto"/>
          <w:sz w:val="24"/>
          <w:highlight w:val="none"/>
          <w:lang w:eastAsia="zh-CN"/>
        </w:rPr>
        <w:t>“</w:t>
      </w:r>
      <w:r>
        <w:rPr>
          <w:rFonts w:hint="eastAsia" w:eastAsia="新宋体" w:cs="Times New Roman"/>
          <w:color w:val="auto"/>
          <w:sz w:val="24"/>
          <w:highlight w:val="none"/>
          <w:lang w:val="en-US" w:eastAsia="zh-CN"/>
        </w:rPr>
        <w:t>三区三线</w:t>
      </w:r>
      <w:r>
        <w:rPr>
          <w:rFonts w:hint="eastAsia" w:eastAsia="新宋体" w:cs="Times New Roman"/>
          <w:color w:val="auto"/>
          <w:sz w:val="24"/>
          <w:highlight w:val="none"/>
          <w:lang w:eastAsia="zh-CN"/>
        </w:rPr>
        <w:t>”</w:t>
      </w:r>
      <w:r>
        <w:rPr>
          <w:rFonts w:hint="eastAsia" w:eastAsia="新宋体" w:cs="Times New Roman"/>
          <w:color w:val="auto"/>
          <w:sz w:val="24"/>
          <w:highlight w:val="none"/>
          <w:lang w:val="en-US" w:eastAsia="zh-CN"/>
        </w:rPr>
        <w:t>查询文件</w:t>
      </w:r>
      <w:r>
        <w:rPr>
          <w:rFonts w:hint="default" w:ascii="Times New Roman" w:hAnsi="Times New Roman" w:eastAsia="新宋体" w:cs="Times New Roman"/>
          <w:color w:val="auto"/>
          <w:sz w:val="24"/>
          <w:highlight w:val="none"/>
        </w:rPr>
        <w:t>；</w:t>
      </w:r>
    </w:p>
    <w:p w14:paraId="0C98486E">
      <w:pPr>
        <w:tabs>
          <w:tab w:val="left" w:pos="0"/>
        </w:tabs>
        <w:spacing w:line="360" w:lineRule="auto"/>
        <w:ind w:firstLine="480" w:firstLineChars="200"/>
        <w:rPr>
          <w:rFonts w:hint="default" w:ascii="Times New Roman" w:hAnsi="Times New Roman" w:eastAsia="新宋体" w:cs="Times New Roman"/>
          <w:color w:val="auto"/>
          <w:sz w:val="24"/>
          <w:highlight w:val="none"/>
        </w:rPr>
      </w:pPr>
      <w:r>
        <w:rPr>
          <w:rFonts w:hint="default" w:ascii="Times New Roman" w:hAnsi="Times New Roman" w:eastAsia="新宋体" w:cs="Times New Roman"/>
          <w:color w:val="auto"/>
          <w:sz w:val="24"/>
          <w:highlight w:val="none"/>
        </w:rPr>
        <w:t>附件4、</w:t>
      </w:r>
      <w:r>
        <w:rPr>
          <w:rFonts w:hint="eastAsia" w:eastAsia="新宋体" w:cs="Times New Roman"/>
          <w:color w:val="auto"/>
          <w:sz w:val="24"/>
          <w:highlight w:val="none"/>
          <w:lang w:val="en-US" w:eastAsia="zh-CN"/>
        </w:rPr>
        <w:t>项目用地手续资料</w:t>
      </w:r>
      <w:r>
        <w:rPr>
          <w:rFonts w:hint="default" w:ascii="Times New Roman" w:hAnsi="Times New Roman" w:eastAsia="新宋体" w:cs="Times New Roman"/>
          <w:color w:val="auto"/>
          <w:sz w:val="24"/>
          <w:highlight w:val="none"/>
        </w:rPr>
        <w:t>；</w:t>
      </w:r>
    </w:p>
    <w:p w14:paraId="037D1C19">
      <w:pPr>
        <w:tabs>
          <w:tab w:val="left" w:pos="0"/>
        </w:tabs>
        <w:spacing w:line="360" w:lineRule="auto"/>
        <w:ind w:firstLine="480" w:firstLineChars="200"/>
        <w:rPr>
          <w:rFonts w:hint="eastAsia" w:ascii="Times New Roman" w:hAnsi="Times New Roman" w:eastAsia="新宋体" w:cs="Times New Roman"/>
          <w:color w:val="auto"/>
          <w:sz w:val="24"/>
          <w:lang w:eastAsia="zh-CN"/>
        </w:rPr>
      </w:pPr>
      <w:r>
        <w:rPr>
          <w:rFonts w:hint="default" w:ascii="Times New Roman" w:hAnsi="Times New Roman" w:eastAsia="新宋体" w:cs="Times New Roman"/>
          <w:color w:val="auto"/>
          <w:sz w:val="24"/>
        </w:rPr>
        <w:t>附件</w:t>
      </w:r>
      <w:r>
        <w:rPr>
          <w:rFonts w:hint="eastAsia" w:eastAsia="新宋体" w:cs="Times New Roman"/>
          <w:color w:val="auto"/>
          <w:sz w:val="24"/>
          <w:lang w:val="en-US" w:eastAsia="zh-CN"/>
        </w:rPr>
        <w:t>5</w:t>
      </w:r>
      <w:r>
        <w:rPr>
          <w:rFonts w:hint="default" w:ascii="Times New Roman" w:hAnsi="Times New Roman" w:eastAsia="新宋体" w:cs="Times New Roman"/>
          <w:color w:val="auto"/>
          <w:sz w:val="24"/>
        </w:rPr>
        <w:t>、项目涉及生态环境管控单元与环境管控详情</w:t>
      </w:r>
      <w:r>
        <w:rPr>
          <w:rFonts w:hint="eastAsia" w:eastAsia="新宋体" w:cs="Times New Roman"/>
          <w:color w:val="auto"/>
          <w:sz w:val="24"/>
          <w:lang w:eastAsia="zh-CN"/>
        </w:rPr>
        <w:t>；</w:t>
      </w:r>
    </w:p>
    <w:p w14:paraId="64D0BB6E">
      <w:pPr>
        <w:tabs>
          <w:tab w:val="left" w:pos="0"/>
        </w:tabs>
        <w:spacing w:line="360" w:lineRule="auto"/>
        <w:ind w:firstLine="480" w:firstLineChars="200"/>
        <w:rPr>
          <w:rFonts w:hint="eastAsia" w:eastAsia="新宋体" w:cs="Times New Roman"/>
          <w:color w:val="auto"/>
          <w:sz w:val="24"/>
          <w:lang w:val="en-US" w:eastAsia="zh-CN"/>
        </w:rPr>
      </w:pPr>
      <w:r>
        <w:rPr>
          <w:rFonts w:hint="eastAsia" w:eastAsia="新宋体" w:cs="Times New Roman"/>
          <w:color w:val="auto"/>
          <w:sz w:val="24"/>
          <w:lang w:val="en-US" w:eastAsia="zh-CN"/>
        </w:rPr>
        <w:t>附件6、引用的监测报告；</w:t>
      </w:r>
    </w:p>
    <w:p w14:paraId="32640F90">
      <w:pPr>
        <w:tabs>
          <w:tab w:val="left" w:pos="0"/>
        </w:tabs>
        <w:spacing w:line="360" w:lineRule="auto"/>
        <w:ind w:firstLine="480" w:firstLineChars="200"/>
        <w:rPr>
          <w:rFonts w:hint="default" w:eastAsia="新宋体" w:cs="Times New Roman"/>
          <w:color w:val="auto"/>
          <w:sz w:val="24"/>
          <w:lang w:val="en-US" w:eastAsia="zh-CN"/>
        </w:rPr>
      </w:pPr>
      <w:r>
        <w:rPr>
          <w:rFonts w:hint="eastAsia" w:eastAsia="新宋体" w:cs="Times New Roman"/>
          <w:color w:val="auto"/>
          <w:sz w:val="24"/>
          <w:lang w:val="en-US" w:eastAsia="zh-CN"/>
        </w:rPr>
        <w:t>附件7、选址周边无人居住的情况说明；</w:t>
      </w:r>
    </w:p>
    <w:p w14:paraId="7750334E">
      <w:pPr>
        <w:tabs>
          <w:tab w:val="left" w:pos="0"/>
        </w:tabs>
        <w:spacing w:line="360" w:lineRule="auto"/>
        <w:ind w:firstLine="480" w:firstLineChars="200"/>
        <w:rPr>
          <w:rFonts w:hint="default" w:ascii="Times New Roman" w:hAnsi="Times New Roman" w:eastAsia="新宋体" w:cs="Times New Roman"/>
          <w:color w:val="auto"/>
          <w:sz w:val="24"/>
          <w:lang w:val="en-US" w:eastAsia="zh-CN"/>
        </w:rPr>
      </w:pPr>
      <w:r>
        <w:rPr>
          <w:rFonts w:hint="eastAsia" w:eastAsia="新宋体" w:cs="Times New Roman"/>
          <w:color w:val="auto"/>
          <w:sz w:val="24"/>
          <w:lang w:val="en-US" w:eastAsia="zh-CN"/>
        </w:rPr>
        <w:t>附件8、营业执照及法人身份证；</w:t>
      </w:r>
    </w:p>
    <w:p w14:paraId="58D21DEA">
      <w:pPr>
        <w:tabs>
          <w:tab w:val="left" w:pos="0"/>
        </w:tabs>
        <w:spacing w:line="360" w:lineRule="auto"/>
        <w:ind w:firstLine="480" w:firstLineChars="200"/>
        <w:rPr>
          <w:rFonts w:hint="default" w:ascii="Times New Roman" w:hAnsi="Times New Roman" w:eastAsia="新宋体" w:cs="Times New Roman"/>
          <w:color w:val="auto"/>
          <w:sz w:val="24"/>
        </w:rPr>
      </w:pPr>
      <w:r>
        <w:rPr>
          <w:rFonts w:hint="eastAsia" w:eastAsia="新宋体" w:cs="Times New Roman"/>
          <w:color w:val="auto"/>
          <w:sz w:val="24"/>
          <w:lang w:val="en-US" w:eastAsia="zh-CN"/>
        </w:rPr>
        <w:t>附件9、</w:t>
      </w:r>
      <w:r>
        <w:rPr>
          <w:rFonts w:hint="default" w:ascii="Times New Roman" w:hAnsi="Times New Roman" w:eastAsia="新宋体" w:cs="Times New Roman"/>
          <w:color w:val="auto"/>
          <w:sz w:val="24"/>
        </w:rPr>
        <w:t>三级审核表；</w:t>
      </w:r>
    </w:p>
    <w:p w14:paraId="0FD28FA6">
      <w:pPr>
        <w:tabs>
          <w:tab w:val="left" w:pos="0"/>
        </w:tabs>
        <w:spacing w:line="360" w:lineRule="auto"/>
        <w:ind w:firstLine="480" w:firstLineChars="200"/>
        <w:rPr>
          <w:rFonts w:hint="default" w:ascii="Times New Roman" w:hAnsi="Times New Roman" w:eastAsia="新宋体" w:cs="Times New Roman"/>
          <w:color w:val="auto"/>
          <w:sz w:val="24"/>
        </w:rPr>
      </w:pPr>
      <w:r>
        <w:rPr>
          <w:rFonts w:hint="default" w:ascii="Times New Roman" w:hAnsi="Times New Roman" w:eastAsia="新宋体" w:cs="Times New Roman"/>
          <w:color w:val="auto"/>
          <w:sz w:val="24"/>
        </w:rPr>
        <w:t>附件</w:t>
      </w:r>
      <w:r>
        <w:rPr>
          <w:rFonts w:hint="eastAsia" w:eastAsia="新宋体" w:cs="Times New Roman"/>
          <w:color w:val="auto"/>
          <w:sz w:val="24"/>
          <w:lang w:val="en-US" w:eastAsia="zh-CN"/>
        </w:rPr>
        <w:t>10</w:t>
      </w:r>
      <w:r>
        <w:rPr>
          <w:rFonts w:hint="default" w:ascii="Times New Roman" w:hAnsi="Times New Roman" w:eastAsia="新宋体" w:cs="Times New Roman"/>
          <w:color w:val="auto"/>
          <w:sz w:val="24"/>
        </w:rPr>
        <w:t>、进度表；</w:t>
      </w:r>
    </w:p>
    <w:p w14:paraId="02DB0A98">
      <w:pPr>
        <w:tabs>
          <w:tab w:val="left" w:pos="0"/>
        </w:tabs>
        <w:spacing w:line="360" w:lineRule="auto"/>
        <w:ind w:firstLine="480" w:firstLineChars="200"/>
        <w:rPr>
          <w:rFonts w:hint="eastAsia" w:eastAsia="新宋体" w:cs="Times New Roman"/>
          <w:color w:val="auto"/>
          <w:sz w:val="24"/>
          <w:lang w:eastAsia="zh-CN"/>
        </w:rPr>
      </w:pPr>
      <w:r>
        <w:rPr>
          <w:rFonts w:hint="default" w:ascii="Times New Roman" w:hAnsi="Times New Roman" w:eastAsia="新宋体" w:cs="Times New Roman"/>
          <w:color w:val="auto"/>
          <w:sz w:val="24"/>
        </w:rPr>
        <w:t>附件</w:t>
      </w:r>
      <w:r>
        <w:rPr>
          <w:rFonts w:hint="eastAsia" w:eastAsia="新宋体" w:cs="Times New Roman"/>
          <w:color w:val="auto"/>
          <w:sz w:val="24"/>
          <w:lang w:val="en-US" w:eastAsia="zh-CN"/>
        </w:rPr>
        <w:t>11</w:t>
      </w:r>
      <w:r>
        <w:rPr>
          <w:rFonts w:hint="default" w:ascii="Times New Roman" w:hAnsi="Times New Roman" w:eastAsia="新宋体" w:cs="Times New Roman"/>
          <w:color w:val="auto"/>
          <w:sz w:val="24"/>
        </w:rPr>
        <w:t>、技术咨询合同</w:t>
      </w:r>
      <w:r>
        <w:rPr>
          <w:rFonts w:hint="eastAsia" w:eastAsia="新宋体" w:cs="Times New Roman"/>
          <w:color w:val="auto"/>
          <w:sz w:val="24"/>
          <w:lang w:eastAsia="zh-CN"/>
        </w:rPr>
        <w:t>；</w:t>
      </w:r>
    </w:p>
    <w:p w14:paraId="5F59F570">
      <w:pPr>
        <w:tabs>
          <w:tab w:val="left" w:pos="0"/>
        </w:tabs>
        <w:spacing w:line="360" w:lineRule="auto"/>
        <w:ind w:firstLine="480" w:firstLineChars="200"/>
        <w:rPr>
          <w:rFonts w:hint="eastAsia" w:eastAsia="新宋体" w:cs="Times New Roman"/>
          <w:color w:val="auto"/>
          <w:sz w:val="24"/>
          <w:lang w:val="en-US" w:eastAsia="zh-CN"/>
        </w:rPr>
      </w:pPr>
      <w:r>
        <w:rPr>
          <w:rFonts w:hint="eastAsia" w:eastAsia="新宋体" w:cs="Times New Roman"/>
          <w:color w:val="auto"/>
          <w:sz w:val="24"/>
          <w:lang w:val="en-US" w:eastAsia="zh-CN"/>
        </w:rPr>
        <w:t>附件12、《安全预评价》内部评审意见；</w:t>
      </w:r>
    </w:p>
    <w:p w14:paraId="041C1B04">
      <w:pPr>
        <w:tabs>
          <w:tab w:val="left" w:pos="0"/>
        </w:tabs>
        <w:spacing w:line="360" w:lineRule="auto"/>
        <w:ind w:firstLine="480" w:firstLineChars="200"/>
        <w:rPr>
          <w:rFonts w:hint="eastAsia" w:eastAsia="新宋体" w:cs="Times New Roman"/>
          <w:color w:val="auto"/>
          <w:sz w:val="24"/>
          <w:lang w:val="en-US" w:eastAsia="zh-CN"/>
        </w:rPr>
      </w:pPr>
      <w:r>
        <w:rPr>
          <w:rFonts w:hint="eastAsia" w:eastAsia="新宋体" w:cs="Times New Roman"/>
          <w:color w:val="auto"/>
          <w:sz w:val="24"/>
          <w:lang w:val="en-US" w:eastAsia="zh-CN"/>
        </w:rPr>
        <w:t>附件13、专家评审意见及签到表；</w:t>
      </w:r>
    </w:p>
    <w:p w14:paraId="1BDD8D87">
      <w:pPr>
        <w:tabs>
          <w:tab w:val="left" w:pos="0"/>
        </w:tabs>
        <w:spacing w:line="360" w:lineRule="auto"/>
        <w:ind w:firstLine="480" w:firstLineChars="200"/>
        <w:rPr>
          <w:rFonts w:hint="eastAsia" w:ascii="Times New Roman" w:hAnsi="Times New Roman" w:eastAsia="新宋体" w:cs="Times New Roman"/>
          <w:color w:val="auto"/>
          <w:sz w:val="24"/>
          <w:lang w:eastAsia="zh-CN"/>
        </w:rPr>
      </w:pPr>
      <w:r>
        <w:rPr>
          <w:rFonts w:hint="eastAsia" w:eastAsia="新宋体" w:cs="Times New Roman"/>
          <w:color w:val="auto"/>
          <w:sz w:val="24"/>
          <w:lang w:val="en-US" w:eastAsia="zh-CN"/>
        </w:rPr>
        <w:t>附件14、修改对照表</w:t>
      </w:r>
      <w:r>
        <w:rPr>
          <w:rFonts w:hint="eastAsia" w:eastAsia="新宋体" w:cs="Times New Roman"/>
          <w:color w:val="auto"/>
          <w:sz w:val="24"/>
          <w:lang w:eastAsia="zh-CN"/>
        </w:rPr>
        <w:t>。</w:t>
      </w:r>
    </w:p>
    <w:p w14:paraId="55CF5F4C">
      <w:pPr>
        <w:pStyle w:val="18"/>
        <w:rPr>
          <w:rFonts w:hint="default" w:ascii="Times New Roman" w:hAnsi="Times New Roman" w:eastAsia="新宋体" w:cs="Times New Roman"/>
          <w:color w:val="auto"/>
          <w:sz w:val="24"/>
          <w:szCs w:val="24"/>
        </w:rPr>
      </w:pPr>
    </w:p>
    <w:p w14:paraId="0F87C0C0">
      <w:pPr>
        <w:tabs>
          <w:tab w:val="left" w:pos="0"/>
        </w:tabs>
        <w:spacing w:line="360" w:lineRule="auto"/>
        <w:rPr>
          <w:rFonts w:hint="default" w:ascii="Times New Roman" w:hAnsi="Times New Roman" w:eastAsia="新宋体" w:cs="Times New Roman"/>
          <w:b/>
          <w:bCs/>
          <w:color w:val="auto"/>
          <w:sz w:val="24"/>
        </w:rPr>
      </w:pPr>
      <w:r>
        <w:rPr>
          <w:rFonts w:hint="default" w:ascii="Times New Roman" w:hAnsi="Times New Roman" w:eastAsia="新宋体" w:cs="Times New Roman"/>
          <w:b/>
          <w:bCs/>
          <w:color w:val="auto"/>
          <w:sz w:val="24"/>
        </w:rPr>
        <w:t>附图：</w:t>
      </w:r>
    </w:p>
    <w:p w14:paraId="70DD4248">
      <w:pPr>
        <w:pStyle w:val="11"/>
        <w:spacing w:before="0"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附图1、项目地理位置图</w:t>
      </w:r>
      <w:r>
        <w:rPr>
          <w:rFonts w:hint="eastAsia" w:ascii="Times New Roman" w:hAnsi="Times New Roman" w:eastAsia="宋体" w:cs="Times New Roman"/>
          <w:color w:val="auto"/>
          <w:sz w:val="24"/>
          <w:highlight w:val="none"/>
          <w:lang w:eastAsia="zh-CN"/>
        </w:rPr>
        <w:t>；</w:t>
      </w:r>
    </w:p>
    <w:p w14:paraId="4E6635BB">
      <w:pPr>
        <w:pStyle w:val="11"/>
        <w:spacing w:before="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附图2、项目区周边关系图；</w:t>
      </w:r>
    </w:p>
    <w:p w14:paraId="1AA4CEEF">
      <w:pPr>
        <w:pStyle w:val="11"/>
        <w:spacing w:before="0"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附图</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、外部安全距离图；</w:t>
      </w:r>
    </w:p>
    <w:p w14:paraId="422816A8">
      <w:pPr>
        <w:pStyle w:val="11"/>
        <w:spacing w:before="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、工程</w:t>
      </w:r>
      <w:r>
        <w:rPr>
          <w:rFonts w:hint="eastAsia" w:ascii="Times New Roman" w:hAnsi="Times New Roman" w:eastAsia="宋体" w:cs="Times New Roman"/>
          <w:color w:val="auto"/>
          <w:sz w:val="24"/>
          <w:highlight w:val="none"/>
          <w:lang w:val="en-US" w:eastAsia="zh-CN"/>
        </w:rPr>
        <w:t>总</w:t>
      </w:r>
      <w:r>
        <w:rPr>
          <w:rFonts w:hint="default" w:ascii="Times New Roman" w:hAnsi="Times New Roman" w:eastAsia="宋体" w:cs="Times New Roman"/>
          <w:color w:val="auto"/>
          <w:sz w:val="24"/>
          <w:highlight w:val="none"/>
        </w:rPr>
        <w:t>平面布置图；</w:t>
      </w:r>
    </w:p>
    <w:p w14:paraId="58A8162C">
      <w:pPr>
        <w:pStyle w:val="11"/>
        <w:spacing w:before="0"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附图</w:t>
      </w:r>
      <w:r>
        <w:rPr>
          <w:rFonts w:hint="eastAsia" w:ascii="Times New Roman" w:hAns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、卫星实际地形总平面布置图；</w:t>
      </w:r>
    </w:p>
    <w:p w14:paraId="16FA0F10">
      <w:pPr>
        <w:pStyle w:val="11"/>
        <w:spacing w:before="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rPr>
        <w:t>、项目区水系图；</w:t>
      </w:r>
    </w:p>
    <w:p w14:paraId="657ED8F3">
      <w:pPr>
        <w:pStyle w:val="11"/>
        <w:spacing w:before="0"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附图</w:t>
      </w:r>
      <w:r>
        <w:rPr>
          <w:rFonts w:hint="eastAsia" w:ascii="Times New Roman" w:hAnsi="Times New Roman"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、管控单元查询示意图</w:t>
      </w:r>
      <w:r>
        <w:rPr>
          <w:rFonts w:hint="eastAsia" w:ascii="Times New Roman" w:hAnsi="Times New Roman" w:cs="Times New Roman"/>
          <w:color w:val="auto"/>
          <w:sz w:val="24"/>
          <w:highlight w:val="none"/>
          <w:lang w:val="en-US" w:eastAsia="zh-CN"/>
        </w:rPr>
        <w:t>；</w:t>
      </w:r>
    </w:p>
    <w:p w14:paraId="1892F9C6">
      <w:pPr>
        <w:pStyle w:val="11"/>
        <w:spacing w:before="0" w:line="360" w:lineRule="auto"/>
        <w:ind w:firstLine="480" w:firstLineChars="200"/>
        <w:rPr>
          <w:rFonts w:hint="default" w:ascii="Times New Roman" w:hAnsi="Times New Roman" w:eastAsia="宋体" w:cs="Times New Roman"/>
          <w:color w:val="auto"/>
          <w:sz w:val="24"/>
          <w:highlight w:val="none"/>
        </w:rPr>
        <w:sectPr>
          <w:headerReference r:id="rId5" w:type="default"/>
          <w:type w:val="continuous"/>
          <w:pgSz w:w="11906" w:h="16838"/>
          <w:pgMar w:top="1440" w:right="1803" w:bottom="1440" w:left="1803" w:header="850"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cs="Times New Roman"/>
          <w:color w:val="auto"/>
          <w:sz w:val="24"/>
          <w:highlight w:val="none"/>
          <w:lang w:val="en-US" w:eastAsia="zh-CN"/>
        </w:rPr>
        <w:t>附图8、项目区雨污管网图</w:t>
      </w:r>
      <w:r>
        <w:rPr>
          <w:rFonts w:hint="eastAsia" w:ascii="Times New Roman" w:hAnsi="Times New Roman" w:eastAsia="宋体" w:cs="Times New Roman"/>
          <w:color w:val="auto"/>
          <w:sz w:val="24"/>
          <w:highlight w:val="none"/>
          <w:lang w:val="en-US" w:eastAsia="zh-CN"/>
        </w:rPr>
        <w:t>。</w:t>
      </w:r>
    </w:p>
    <w:p w14:paraId="234BC6BB">
      <w:pPr>
        <w:pStyle w:val="32"/>
        <w:pageBreakBefore/>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5" w:name="_Toc7759"/>
      <w:bookmarkStart w:id="6" w:name="_Toc70692544"/>
      <w:bookmarkStart w:id="7" w:name="_Toc68870549"/>
      <w:r>
        <w:rPr>
          <w:rFonts w:hint="default" w:ascii="Times New Roman" w:hAnsi="Times New Roman" w:eastAsia="黑体" w:cs="Times New Roman"/>
          <w:color w:val="auto"/>
          <w:sz w:val="28"/>
          <w:szCs w:val="28"/>
        </w:rPr>
        <w:t>一、建设项目基本情况</w:t>
      </w:r>
      <w:bookmarkEnd w:id="5"/>
      <w:bookmarkEnd w:id="6"/>
      <w:bookmarkEnd w:id="7"/>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9"/>
        <w:gridCol w:w="1645"/>
        <w:gridCol w:w="1558"/>
        <w:gridCol w:w="4084"/>
      </w:tblGrid>
      <w:tr w14:paraId="55D1E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039" w:type="dxa"/>
            <w:tcMar>
              <w:top w:w="16" w:type="dxa"/>
              <w:left w:w="16" w:type="dxa"/>
              <w:right w:w="16" w:type="dxa"/>
            </w:tcMar>
            <w:vAlign w:val="center"/>
          </w:tcPr>
          <w:p w14:paraId="2D13C72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287" w:type="dxa"/>
            <w:gridSpan w:val="3"/>
            <w:vAlign w:val="center"/>
          </w:tcPr>
          <w:p w14:paraId="6ACD01F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玉溪大红山矿业民用爆炸物品储存库建设项目</w:t>
            </w:r>
          </w:p>
        </w:tc>
      </w:tr>
      <w:tr w14:paraId="51824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1039" w:type="dxa"/>
            <w:tcMar>
              <w:top w:w="16" w:type="dxa"/>
              <w:left w:w="16" w:type="dxa"/>
              <w:right w:w="16" w:type="dxa"/>
            </w:tcMar>
            <w:vAlign w:val="center"/>
          </w:tcPr>
          <w:p w14:paraId="70495EB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287" w:type="dxa"/>
            <w:gridSpan w:val="3"/>
            <w:vAlign w:val="center"/>
          </w:tcPr>
          <w:p w14:paraId="49C2CEB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2601-530427-04-01-205541</w:t>
            </w:r>
          </w:p>
        </w:tc>
      </w:tr>
      <w:tr w14:paraId="2F0EB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39" w:type="dxa"/>
            <w:tcMar>
              <w:top w:w="16" w:type="dxa"/>
              <w:left w:w="16" w:type="dxa"/>
              <w:right w:w="16" w:type="dxa"/>
            </w:tcMar>
            <w:vAlign w:val="center"/>
          </w:tcPr>
          <w:p w14:paraId="0DFB433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1645" w:type="dxa"/>
            <w:vAlign w:val="center"/>
          </w:tcPr>
          <w:p w14:paraId="7B4D8EC8">
            <w:pPr>
              <w:autoSpaceDE w:val="0"/>
              <w:autoSpaceDN w:val="0"/>
              <w:adjustRightInd w:val="0"/>
              <w:snapToGrid w:val="0"/>
              <w:spacing w:line="400" w:lineRule="exact"/>
              <w:jc w:val="center"/>
              <w:rPr>
                <w:rFonts w:hint="eastAsia" w:ascii="Times New Roman" w:hAnsi="Times New Roman" w:eastAsia="宋体" w:cs="Times New Roman"/>
                <w:color w:val="auto"/>
                <w:sz w:val="24"/>
                <w:lang w:eastAsia="zh-CN"/>
              </w:rPr>
            </w:pPr>
            <w:r>
              <w:rPr>
                <w:rFonts w:hint="eastAsia" w:cs="Times New Roman"/>
                <w:color w:val="auto"/>
                <w:sz w:val="24"/>
                <w:lang w:val="en-US" w:eastAsia="zh-CN"/>
              </w:rPr>
              <w:t>谭铮</w:t>
            </w:r>
          </w:p>
        </w:tc>
        <w:tc>
          <w:tcPr>
            <w:tcW w:w="1558" w:type="dxa"/>
            <w:vAlign w:val="center"/>
          </w:tcPr>
          <w:p w14:paraId="696B82A5">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4084" w:type="dxa"/>
            <w:vAlign w:val="center"/>
          </w:tcPr>
          <w:p w14:paraId="5C7FD4AC">
            <w:pPr>
              <w:autoSpaceDE w:val="0"/>
              <w:autoSpaceDN w:val="0"/>
              <w:adjustRightInd w:val="0"/>
              <w:snapToGrid w:val="0"/>
              <w:spacing w:line="400" w:lineRule="exact"/>
              <w:jc w:val="center"/>
              <w:rPr>
                <w:rFonts w:hint="default" w:ascii="Times New Roman" w:hAnsi="Times New Roman" w:cs="Times New Roman"/>
                <w:color w:val="auto"/>
                <w:sz w:val="24"/>
              </w:rPr>
            </w:pPr>
            <w:r>
              <w:rPr>
                <w:rFonts w:hint="eastAsia" w:cs="Times New Roman"/>
                <w:color w:val="auto"/>
                <w:sz w:val="24"/>
                <w:lang w:val="en-US" w:eastAsia="zh-CN"/>
              </w:rPr>
              <w:t>18664505551</w:t>
            </w:r>
          </w:p>
        </w:tc>
      </w:tr>
      <w:tr w14:paraId="4F442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1" w:hRule="atLeast"/>
          <w:jc w:val="center"/>
        </w:trPr>
        <w:tc>
          <w:tcPr>
            <w:tcW w:w="1039" w:type="dxa"/>
            <w:tcMar>
              <w:top w:w="16" w:type="dxa"/>
              <w:left w:w="16" w:type="dxa"/>
              <w:right w:w="16" w:type="dxa"/>
            </w:tcMar>
            <w:vAlign w:val="center"/>
          </w:tcPr>
          <w:p w14:paraId="629FD4D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287" w:type="dxa"/>
            <w:gridSpan w:val="3"/>
            <w:vAlign w:val="center"/>
          </w:tcPr>
          <w:p w14:paraId="28B5532A">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u w:val="single"/>
              </w:rPr>
              <w:t>云南</w:t>
            </w:r>
            <w:r>
              <w:rPr>
                <w:rFonts w:hint="default" w:ascii="Times New Roman" w:hAnsi="Times New Roman" w:cs="Times New Roman"/>
                <w:color w:val="auto"/>
                <w:sz w:val="24"/>
              </w:rPr>
              <w:t>省（自治区）</w:t>
            </w:r>
            <w:r>
              <w:rPr>
                <w:rFonts w:hint="eastAsia" w:cs="Times New Roman"/>
                <w:color w:val="auto"/>
                <w:sz w:val="24"/>
                <w:lang w:val="en-US" w:eastAsia="zh-CN"/>
              </w:rPr>
              <w:t xml:space="preserve"> </w:t>
            </w:r>
            <w:r>
              <w:rPr>
                <w:rFonts w:hint="default" w:ascii="Times New Roman" w:hAnsi="Times New Roman" w:cs="Times New Roman"/>
                <w:color w:val="auto"/>
                <w:sz w:val="24"/>
                <w:u w:val="single"/>
              </w:rPr>
              <w:t>玉溪</w:t>
            </w:r>
            <w:r>
              <w:rPr>
                <w:rFonts w:hint="eastAsia" w:cs="Times New Roman"/>
                <w:color w:val="auto"/>
                <w:sz w:val="24"/>
                <w:u w:val="single"/>
                <w:lang w:val="en-US" w:eastAsia="zh-CN"/>
              </w:rPr>
              <w:t xml:space="preserve"> </w:t>
            </w:r>
            <w:r>
              <w:rPr>
                <w:rFonts w:hint="default" w:ascii="Times New Roman" w:hAnsi="Times New Roman" w:cs="Times New Roman"/>
                <w:color w:val="auto"/>
                <w:sz w:val="24"/>
              </w:rPr>
              <w:t>市</w:t>
            </w:r>
            <w:r>
              <w:rPr>
                <w:rFonts w:hint="eastAsia" w:cs="Times New Roman"/>
                <w:color w:val="auto"/>
                <w:sz w:val="24"/>
                <w:lang w:val="en-US" w:eastAsia="zh-CN"/>
              </w:rPr>
              <w:t xml:space="preserve"> </w:t>
            </w:r>
            <w:r>
              <w:rPr>
                <w:rFonts w:hint="eastAsia" w:cs="Times New Roman"/>
                <w:color w:val="auto"/>
                <w:sz w:val="24"/>
                <w:u w:val="single"/>
                <w:lang w:val="en-US" w:eastAsia="zh-CN"/>
              </w:rPr>
              <w:t>新平</w:t>
            </w:r>
            <w:r>
              <w:rPr>
                <w:rFonts w:hint="default" w:ascii="Times New Roman" w:hAnsi="Times New Roman" w:cs="Times New Roman"/>
                <w:color w:val="auto"/>
                <w:sz w:val="24"/>
              </w:rPr>
              <w:t>县</w:t>
            </w:r>
            <w:r>
              <w:rPr>
                <w:rFonts w:hint="eastAsia" w:cs="Times New Roman"/>
                <w:color w:val="auto"/>
                <w:sz w:val="24"/>
                <w:lang w:val="en-US" w:eastAsia="zh-CN"/>
              </w:rPr>
              <w:t xml:space="preserve"> </w:t>
            </w:r>
            <w:r>
              <w:rPr>
                <w:rFonts w:hint="default" w:ascii="Times New Roman" w:hAnsi="Times New Roman" w:cs="Times New Roman"/>
                <w:color w:val="auto"/>
                <w:sz w:val="24"/>
              </w:rPr>
              <w:t>（区）</w:t>
            </w:r>
            <w:r>
              <w:rPr>
                <w:rFonts w:hint="default" w:ascii="Times New Roman" w:hAnsi="Times New Roman" w:cs="Times New Roman"/>
                <w:color w:val="auto"/>
                <w:sz w:val="24"/>
                <w:u w:val="single"/>
              </w:rPr>
              <w:t xml:space="preserve"> </w:t>
            </w:r>
            <w:r>
              <w:rPr>
                <w:rFonts w:hint="eastAsia" w:cs="Times New Roman"/>
                <w:color w:val="auto"/>
                <w:sz w:val="24"/>
                <w:u w:val="single"/>
                <w:lang w:val="en-US" w:eastAsia="zh-CN"/>
              </w:rPr>
              <w:t>戛洒</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镇（街道）</w:t>
            </w:r>
            <w:r>
              <w:rPr>
                <w:rFonts w:hint="default" w:ascii="Times New Roman" w:hAnsi="Times New Roman" w:cs="Times New Roman"/>
                <w:color w:val="auto"/>
                <w:sz w:val="24"/>
                <w:u w:val="single"/>
              </w:rPr>
              <w:t>米尺莫村委会哈母白租村民小组</w:t>
            </w:r>
            <w:r>
              <w:rPr>
                <w:rFonts w:hint="default" w:ascii="Times New Roman" w:hAnsi="Times New Roman" w:cs="Times New Roman"/>
                <w:color w:val="auto"/>
                <w:sz w:val="24"/>
              </w:rPr>
              <w:t>（具体地址）</w:t>
            </w:r>
          </w:p>
        </w:tc>
      </w:tr>
      <w:tr w14:paraId="468EE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039" w:type="dxa"/>
            <w:tcMar>
              <w:top w:w="16" w:type="dxa"/>
              <w:left w:w="16" w:type="dxa"/>
              <w:right w:w="16" w:type="dxa"/>
            </w:tcMar>
            <w:vAlign w:val="center"/>
          </w:tcPr>
          <w:p w14:paraId="057C628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287" w:type="dxa"/>
            <w:gridSpan w:val="3"/>
            <w:vAlign w:val="center"/>
          </w:tcPr>
          <w:p w14:paraId="0FDDAEFD">
            <w:pPr>
              <w:pStyle w:val="18"/>
              <w:rPr>
                <w:rFonts w:hint="default" w:ascii="Times New Roman" w:hAnsi="Times New Roman" w:cs="Times New Roman"/>
                <w:color w:val="auto"/>
                <w:sz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rPr>
              <w:t>东经：</w:t>
            </w:r>
            <w:r>
              <w:rPr>
                <w:rFonts w:hint="default" w:ascii="Times New Roman" w:hAnsi="Times New Roman" w:cs="Times New Roman"/>
                <w:color w:val="auto"/>
                <w:sz w:val="24"/>
                <w:u w:val="single"/>
              </w:rPr>
              <w:t>102</w:t>
            </w:r>
            <w:r>
              <w:rPr>
                <w:rFonts w:hint="default" w:ascii="Times New Roman" w:hAnsi="Times New Roman" w:cs="Times New Roman"/>
                <w:color w:val="auto"/>
                <w:sz w:val="24"/>
                <w:szCs w:val="24"/>
              </w:rPr>
              <w:t>度</w:t>
            </w:r>
            <w:r>
              <w:rPr>
                <w:rFonts w:hint="eastAsia" w:ascii="Times New Roman" w:hAnsi="Times New Roman" w:cs="Times New Roman"/>
                <w:color w:val="auto"/>
                <w:sz w:val="24"/>
                <w:u w:val="single"/>
                <w:lang w:val="en-US" w:eastAsia="zh-CN"/>
              </w:rPr>
              <w:t>39</w:t>
            </w:r>
            <w:r>
              <w:rPr>
                <w:rFonts w:hint="default" w:ascii="Times New Roman" w:hAnsi="Times New Roman" w:cs="Times New Roman"/>
                <w:color w:val="auto"/>
                <w:sz w:val="24"/>
                <w:szCs w:val="24"/>
              </w:rPr>
              <w:t>分</w:t>
            </w:r>
            <w:r>
              <w:rPr>
                <w:rFonts w:hint="eastAsia" w:ascii="Times New Roman" w:hAnsi="Times New Roman" w:cs="Times New Roman"/>
                <w:color w:val="auto"/>
                <w:sz w:val="24"/>
                <w:u w:val="single"/>
                <w:lang w:val="en-US" w:eastAsia="zh-CN"/>
              </w:rPr>
              <w:t>12.424</w:t>
            </w:r>
            <w:r>
              <w:rPr>
                <w:rFonts w:hint="default" w:ascii="Times New Roman" w:hAnsi="Times New Roman" w:cs="Times New Roman"/>
                <w:color w:val="auto"/>
                <w:sz w:val="24"/>
                <w:szCs w:val="24"/>
              </w:rPr>
              <w:t>秒，</w:t>
            </w:r>
            <w:r>
              <w:rPr>
                <w:rFonts w:hint="default" w:ascii="Times New Roman" w:hAnsi="Times New Roman" w:cs="Times New Roman"/>
                <w:color w:val="auto"/>
                <w:sz w:val="24"/>
              </w:rPr>
              <w:t>北纬：</w:t>
            </w:r>
            <w:r>
              <w:rPr>
                <w:rFonts w:hint="default" w:ascii="Times New Roman" w:hAnsi="Times New Roman" w:cs="Times New Roman"/>
                <w:color w:val="auto"/>
                <w:sz w:val="24"/>
                <w:u w:val="single"/>
              </w:rPr>
              <w:t>24</w:t>
            </w:r>
            <w:r>
              <w:rPr>
                <w:rFonts w:hint="default" w:ascii="Times New Roman" w:hAnsi="Times New Roman" w:cs="Times New Roman"/>
                <w:color w:val="auto"/>
                <w:sz w:val="24"/>
                <w:szCs w:val="24"/>
              </w:rPr>
              <w:t>度</w:t>
            </w:r>
            <w:r>
              <w:rPr>
                <w:rFonts w:hint="eastAsia" w:ascii="Times New Roman" w:hAnsi="Times New Roman" w:cs="Times New Roman"/>
                <w:color w:val="auto"/>
                <w:sz w:val="24"/>
                <w:u w:val="single"/>
                <w:lang w:val="en-US" w:eastAsia="zh-CN"/>
              </w:rPr>
              <w:t>06</w:t>
            </w:r>
            <w:r>
              <w:rPr>
                <w:rFonts w:hint="default" w:ascii="Times New Roman" w:hAnsi="Times New Roman" w:cs="Times New Roman"/>
                <w:color w:val="auto"/>
                <w:sz w:val="24"/>
                <w:szCs w:val="24"/>
              </w:rPr>
              <w:t>分</w:t>
            </w:r>
            <w:r>
              <w:rPr>
                <w:rFonts w:hint="eastAsia" w:ascii="Times New Roman" w:hAnsi="Times New Roman" w:cs="Times New Roman"/>
                <w:color w:val="auto"/>
                <w:sz w:val="24"/>
                <w:u w:val="single"/>
                <w:lang w:val="en-US" w:eastAsia="zh-CN"/>
              </w:rPr>
              <w:t>10.431</w:t>
            </w:r>
            <w:r>
              <w:rPr>
                <w:rFonts w:hint="default" w:ascii="Times New Roman" w:hAnsi="Times New Roman" w:cs="Times New Roman"/>
                <w:color w:val="auto"/>
                <w:sz w:val="24"/>
                <w:szCs w:val="24"/>
              </w:rPr>
              <w:t>秒）</w:t>
            </w:r>
          </w:p>
        </w:tc>
      </w:tr>
      <w:tr w14:paraId="297C2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39" w:type="dxa"/>
            <w:tcMar>
              <w:top w:w="16" w:type="dxa"/>
              <w:left w:w="16" w:type="dxa"/>
              <w:right w:w="16" w:type="dxa"/>
            </w:tcMar>
            <w:vAlign w:val="center"/>
          </w:tcPr>
          <w:p w14:paraId="73F6849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国民经济行业类别</w:t>
            </w:r>
          </w:p>
        </w:tc>
        <w:tc>
          <w:tcPr>
            <w:tcW w:w="1645" w:type="dxa"/>
            <w:vAlign w:val="center"/>
          </w:tcPr>
          <w:p w14:paraId="534A0B12">
            <w:pPr>
              <w:autoSpaceDE w:val="0"/>
              <w:autoSpaceDN w:val="0"/>
              <w:adjustRightInd w:val="0"/>
              <w:snapToGrid w:val="0"/>
              <w:spacing w:line="400" w:lineRule="exact"/>
              <w:jc w:val="center"/>
              <w:rPr>
                <w:rFonts w:hint="default" w:ascii="Times New Roman" w:hAnsi="Times New Roman" w:cs="Times New Roman"/>
                <w:color w:val="auto"/>
                <w:sz w:val="24"/>
              </w:rPr>
            </w:pPr>
            <w:r>
              <w:rPr>
                <w:rFonts w:hint="eastAsia" w:cs="Times New Roman"/>
                <w:color w:val="auto"/>
                <w:sz w:val="24"/>
                <w:lang w:val="en-US" w:eastAsia="zh-CN"/>
              </w:rPr>
              <w:t>G5942</w:t>
            </w:r>
            <w:r>
              <w:rPr>
                <w:rFonts w:hint="default" w:ascii="Times New Roman" w:hAnsi="Times New Roman" w:cs="Times New Roman"/>
                <w:color w:val="auto"/>
                <w:sz w:val="24"/>
              </w:rPr>
              <w:t>危险化学品仓储</w:t>
            </w:r>
          </w:p>
        </w:tc>
        <w:tc>
          <w:tcPr>
            <w:tcW w:w="1558" w:type="dxa"/>
            <w:vAlign w:val="center"/>
          </w:tcPr>
          <w:p w14:paraId="5A978695">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建设项目行业类别</w:t>
            </w:r>
          </w:p>
        </w:tc>
        <w:tc>
          <w:tcPr>
            <w:tcW w:w="4084" w:type="dxa"/>
            <w:vAlign w:val="center"/>
          </w:tcPr>
          <w:p w14:paraId="0212E231">
            <w:pPr>
              <w:autoSpaceDE w:val="0"/>
              <w:autoSpaceDN w:val="0"/>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sz w:val="24"/>
              </w:rPr>
              <w:t>五十三、装卸搬运和仓储业 59—危险品仓储 594（不含加油站的油库；不含加气站的气库）—其他（含有毒、有害、危险品的仓储；含液化天然气库）</w:t>
            </w:r>
          </w:p>
        </w:tc>
      </w:tr>
      <w:tr w14:paraId="517C3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6" w:hRule="atLeast"/>
          <w:jc w:val="center"/>
        </w:trPr>
        <w:tc>
          <w:tcPr>
            <w:tcW w:w="1039" w:type="dxa"/>
            <w:tcMar>
              <w:top w:w="16" w:type="dxa"/>
              <w:left w:w="16" w:type="dxa"/>
              <w:right w:w="16" w:type="dxa"/>
            </w:tcMar>
            <w:vAlign w:val="center"/>
          </w:tcPr>
          <w:p w14:paraId="19E5AF8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645" w:type="dxa"/>
            <w:vAlign w:val="center"/>
          </w:tcPr>
          <w:p w14:paraId="1B8B5F47">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新建（迁建）</w:t>
            </w:r>
          </w:p>
          <w:p w14:paraId="4CD2F817">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54846744">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扩建</w:t>
            </w:r>
          </w:p>
          <w:p w14:paraId="767A7E88">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1558" w:type="dxa"/>
            <w:vAlign w:val="center"/>
          </w:tcPr>
          <w:p w14:paraId="545517A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建设项目申报情形</w:t>
            </w:r>
          </w:p>
        </w:tc>
        <w:tc>
          <w:tcPr>
            <w:tcW w:w="4084" w:type="dxa"/>
            <w:vAlign w:val="center"/>
          </w:tcPr>
          <w:p w14:paraId="5F79190A">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43C27763">
            <w:pPr>
              <w:ind w:left="240" w:hanging="240" w:hangingChars="10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166AFA3E">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210ED7DE">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6BC52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1039" w:type="dxa"/>
            <w:tcMar>
              <w:top w:w="16" w:type="dxa"/>
              <w:left w:w="16" w:type="dxa"/>
              <w:right w:w="16" w:type="dxa"/>
            </w:tcMar>
            <w:vAlign w:val="center"/>
          </w:tcPr>
          <w:p w14:paraId="24E74B6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584430E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1645" w:type="dxa"/>
            <w:vAlign w:val="center"/>
          </w:tcPr>
          <w:p w14:paraId="4B147471">
            <w:pPr>
              <w:autoSpaceDE w:val="0"/>
              <w:autoSpaceDN w:val="0"/>
              <w:adjustRightInd w:val="0"/>
              <w:snapToGrid w:val="0"/>
              <w:spacing w:line="400" w:lineRule="exact"/>
              <w:jc w:val="center"/>
              <w:rPr>
                <w:rFonts w:hint="default" w:ascii="Times New Roman" w:hAnsi="Times New Roman" w:cs="Times New Roman"/>
                <w:color w:val="auto"/>
                <w:sz w:val="24"/>
              </w:rPr>
            </w:pPr>
            <w:r>
              <w:rPr>
                <w:rFonts w:hint="eastAsia" w:cs="Times New Roman"/>
                <w:color w:val="auto"/>
                <w:sz w:val="24"/>
                <w:lang w:val="en-US" w:eastAsia="zh-CN"/>
              </w:rPr>
              <w:t>新平</w:t>
            </w:r>
            <w:r>
              <w:rPr>
                <w:rFonts w:hint="default" w:ascii="Times New Roman" w:hAnsi="Times New Roman" w:cs="Times New Roman"/>
                <w:color w:val="auto"/>
                <w:sz w:val="24"/>
              </w:rPr>
              <w:t>县发展和改革局</w:t>
            </w:r>
          </w:p>
        </w:tc>
        <w:tc>
          <w:tcPr>
            <w:tcW w:w="1558" w:type="dxa"/>
            <w:vAlign w:val="center"/>
          </w:tcPr>
          <w:p w14:paraId="6AC3F62E">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项目审批（核准/备案）文号（选填）</w:t>
            </w:r>
          </w:p>
        </w:tc>
        <w:tc>
          <w:tcPr>
            <w:tcW w:w="4084" w:type="dxa"/>
            <w:vAlign w:val="center"/>
          </w:tcPr>
          <w:p w14:paraId="7AC82876">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2601-530427-04-01-205541</w:t>
            </w:r>
          </w:p>
        </w:tc>
      </w:tr>
      <w:tr w14:paraId="6DA1E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39" w:type="dxa"/>
            <w:tcMar>
              <w:top w:w="16" w:type="dxa"/>
              <w:left w:w="16" w:type="dxa"/>
              <w:right w:w="16" w:type="dxa"/>
            </w:tcMar>
            <w:vAlign w:val="center"/>
          </w:tcPr>
          <w:p w14:paraId="05F5D54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645" w:type="dxa"/>
            <w:vAlign w:val="center"/>
          </w:tcPr>
          <w:p w14:paraId="4303A28A">
            <w:pPr>
              <w:autoSpaceDE w:val="0"/>
              <w:autoSpaceDN w:val="0"/>
              <w:adjustRightInd w:val="0"/>
              <w:snapToGrid w:val="0"/>
              <w:spacing w:line="40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530</w:t>
            </w:r>
          </w:p>
        </w:tc>
        <w:tc>
          <w:tcPr>
            <w:tcW w:w="1558" w:type="dxa"/>
            <w:tcMar>
              <w:top w:w="16" w:type="dxa"/>
              <w:left w:w="16" w:type="dxa"/>
              <w:right w:w="16" w:type="dxa"/>
            </w:tcMar>
            <w:vAlign w:val="center"/>
          </w:tcPr>
          <w:p w14:paraId="7D7F663D">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4084" w:type="dxa"/>
            <w:vAlign w:val="center"/>
          </w:tcPr>
          <w:p w14:paraId="1B8237C3">
            <w:pPr>
              <w:autoSpaceDE w:val="0"/>
              <w:autoSpaceDN w:val="0"/>
              <w:adjustRightInd w:val="0"/>
              <w:snapToGrid w:val="0"/>
              <w:spacing w:line="400" w:lineRule="exact"/>
              <w:jc w:val="center"/>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5</w:t>
            </w:r>
          </w:p>
        </w:tc>
      </w:tr>
      <w:tr w14:paraId="45E1D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39" w:type="dxa"/>
            <w:tcMar>
              <w:top w:w="16" w:type="dxa"/>
              <w:left w:w="16" w:type="dxa"/>
              <w:right w:w="16" w:type="dxa"/>
            </w:tcMar>
            <w:vAlign w:val="center"/>
          </w:tcPr>
          <w:p w14:paraId="767068E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645" w:type="dxa"/>
            <w:vAlign w:val="center"/>
          </w:tcPr>
          <w:p w14:paraId="5174D80E">
            <w:pPr>
              <w:autoSpaceDE w:val="0"/>
              <w:autoSpaceDN w:val="0"/>
              <w:adjustRightInd w:val="0"/>
              <w:snapToGrid w:val="0"/>
              <w:spacing w:line="40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4.72</w:t>
            </w:r>
          </w:p>
        </w:tc>
        <w:tc>
          <w:tcPr>
            <w:tcW w:w="1558" w:type="dxa"/>
            <w:tcMar>
              <w:top w:w="16" w:type="dxa"/>
              <w:left w:w="16" w:type="dxa"/>
              <w:right w:w="16" w:type="dxa"/>
            </w:tcMar>
            <w:vAlign w:val="center"/>
          </w:tcPr>
          <w:p w14:paraId="0A917A37">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4084" w:type="dxa"/>
            <w:vAlign w:val="center"/>
          </w:tcPr>
          <w:p w14:paraId="0A0A3D64">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6个月</w:t>
            </w:r>
          </w:p>
        </w:tc>
      </w:tr>
      <w:tr w14:paraId="0F25F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39" w:type="dxa"/>
            <w:tcMar>
              <w:top w:w="16" w:type="dxa"/>
              <w:left w:w="16" w:type="dxa"/>
              <w:right w:w="16" w:type="dxa"/>
            </w:tcMar>
            <w:vAlign w:val="center"/>
          </w:tcPr>
          <w:p w14:paraId="04B4639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1645" w:type="dxa"/>
            <w:vAlign w:val="center"/>
          </w:tcPr>
          <w:p w14:paraId="175D9477">
            <w:pPr>
              <w:autoSpaceDE w:val="0"/>
              <w:autoSpaceDN w:val="0"/>
              <w:adjustRightInd w:val="0"/>
              <w:snapToGrid w:val="0"/>
              <w:spacing w:line="400" w:lineRule="exact"/>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14:paraId="7C154F53">
            <w:pPr>
              <w:autoSpaceDE w:val="0"/>
              <w:autoSpaceDN w:val="0"/>
              <w:adjustRightInd w:val="0"/>
              <w:snapToGrid w:val="0"/>
              <w:spacing w:line="360" w:lineRule="auto"/>
              <w:jc w:val="left"/>
              <w:rPr>
                <w:rFonts w:hint="default" w:ascii="Times New Roman" w:hAnsi="Times New Roman" w:cs="Times New Roman"/>
                <w:color w:val="auto"/>
                <w:sz w:val="24"/>
                <w:u w:val="single"/>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p>
        </w:tc>
        <w:tc>
          <w:tcPr>
            <w:tcW w:w="1558" w:type="dxa"/>
            <w:tcMar>
              <w:top w:w="16" w:type="dxa"/>
              <w:left w:w="16" w:type="dxa"/>
              <w:right w:w="16" w:type="dxa"/>
            </w:tcMar>
            <w:vAlign w:val="center"/>
          </w:tcPr>
          <w:p w14:paraId="589128E6">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用地（用海）面积（m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4084" w:type="dxa"/>
            <w:vAlign w:val="center"/>
          </w:tcPr>
          <w:p w14:paraId="53DAE23C">
            <w:pPr>
              <w:autoSpaceDE w:val="0"/>
              <w:autoSpaceDN w:val="0"/>
              <w:adjustRightInd w:val="0"/>
              <w:snapToGrid w:val="0"/>
              <w:spacing w:line="40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highlight w:val="none"/>
                <w:lang w:val="en-US" w:eastAsia="zh-CN"/>
              </w:rPr>
              <w:t>11820.20m</w:t>
            </w:r>
            <w:r>
              <w:rPr>
                <w:rFonts w:hint="eastAsia" w:cs="Times New Roman"/>
                <w:color w:val="auto"/>
                <w:sz w:val="24"/>
                <w:highlight w:val="none"/>
                <w:vertAlign w:val="superscript"/>
                <w:lang w:val="en-US" w:eastAsia="zh-CN"/>
              </w:rPr>
              <w:t>2</w:t>
            </w:r>
          </w:p>
        </w:tc>
      </w:tr>
      <w:tr w14:paraId="5F3B3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9" w:type="dxa"/>
            <w:vAlign w:val="center"/>
          </w:tcPr>
          <w:p w14:paraId="3EF89D46">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专项评价设置情况</w:t>
            </w:r>
          </w:p>
        </w:tc>
        <w:tc>
          <w:tcPr>
            <w:tcW w:w="7287" w:type="dxa"/>
            <w:gridSpan w:val="3"/>
            <w:vAlign w:val="center"/>
          </w:tcPr>
          <w:p w14:paraId="62B65A7F">
            <w:pPr>
              <w:autoSpaceDE w:val="0"/>
              <w:autoSpaceDN w:val="0"/>
              <w:spacing w:before="120" w:beforeLines="50"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w:t>
            </w:r>
            <w:r>
              <w:rPr>
                <w:rFonts w:hint="eastAsia" w:cs="Times New Roman"/>
                <w:color w:val="auto"/>
                <w:kern w:val="0"/>
                <w:sz w:val="24"/>
                <w:lang w:eastAsia="zh-CN"/>
              </w:rPr>
              <w:t>《建设项目环境影响报告表编制技术指南  污染影响类（试行）》</w:t>
            </w:r>
            <w:r>
              <w:rPr>
                <w:rFonts w:hint="default" w:ascii="Times New Roman" w:hAnsi="Times New Roman" w:cs="Times New Roman"/>
                <w:color w:val="auto"/>
                <w:kern w:val="0"/>
                <w:sz w:val="24"/>
              </w:rPr>
              <w:t>，项目周边不涉及集中式饮用水水源和热水、矿泉水、温泉等特殊地下水资源保护区，因此本项目不设地下水专项评价工作。同时结合</w:t>
            </w:r>
            <w:r>
              <w:rPr>
                <w:rFonts w:hint="eastAsia" w:cs="Times New Roman"/>
                <w:color w:val="auto"/>
                <w:kern w:val="0"/>
                <w:sz w:val="24"/>
                <w:lang w:eastAsia="zh-CN"/>
              </w:rPr>
              <w:t>《建设项目环境影响报告表编制技术指南  污染影响类（试行）》</w:t>
            </w:r>
            <w:r>
              <w:rPr>
                <w:rFonts w:hint="default" w:ascii="Times New Roman" w:hAnsi="Times New Roman" w:cs="Times New Roman"/>
                <w:color w:val="auto"/>
                <w:kern w:val="0"/>
                <w:sz w:val="24"/>
              </w:rPr>
              <w:t>中表1确定是否设置项目专项评价。</w:t>
            </w:r>
          </w:p>
          <w:p w14:paraId="08BAB2B3">
            <w:pPr>
              <w:autoSpaceDE w:val="0"/>
              <w:autoSpaceDN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表1-1    专项评价设置原则表</w:t>
            </w:r>
          </w:p>
          <w:tbl>
            <w:tblPr>
              <w:tblStyle w:val="3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777"/>
              <w:gridCol w:w="2769"/>
              <w:gridCol w:w="611"/>
            </w:tblGrid>
            <w:tr w14:paraId="66BC1C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7D663A77">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专项评价的类别</w:t>
                  </w:r>
                </w:p>
              </w:tc>
              <w:tc>
                <w:tcPr>
                  <w:tcW w:w="1965" w:type="pct"/>
                  <w:tcBorders>
                    <w:tl2br w:val="nil"/>
                    <w:tr2bl w:val="nil"/>
                  </w:tcBorders>
                  <w:vAlign w:val="center"/>
                </w:tcPr>
                <w:p w14:paraId="55DDE55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设置原则</w:t>
                  </w:r>
                </w:p>
              </w:tc>
              <w:tc>
                <w:tcPr>
                  <w:tcW w:w="1959" w:type="pct"/>
                  <w:tcBorders>
                    <w:tl2br w:val="nil"/>
                    <w:tr2bl w:val="nil"/>
                  </w:tcBorders>
                  <w:vAlign w:val="center"/>
                </w:tcPr>
                <w:p w14:paraId="3CB3E2B1">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430" w:type="pct"/>
                  <w:tcBorders>
                    <w:tl2br w:val="nil"/>
                    <w:tr2bl w:val="nil"/>
                  </w:tcBorders>
                  <w:vAlign w:val="center"/>
                </w:tcPr>
                <w:p w14:paraId="5C0C80F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设置与否</w:t>
                  </w:r>
                </w:p>
              </w:tc>
            </w:tr>
            <w:tr w14:paraId="315C83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59B0AB30">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1965" w:type="pct"/>
                  <w:tcBorders>
                    <w:tl2br w:val="nil"/>
                    <w:tr2bl w:val="nil"/>
                  </w:tcBorders>
                  <w:vAlign w:val="center"/>
                </w:tcPr>
                <w:p w14:paraId="69A440C1">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排放废气中含有有毒有害污染物、二噁英、苯并芘、氰化物、氯气且厂外500m范围内有环境空气保护目标的建设项目。</w:t>
                  </w:r>
                </w:p>
              </w:tc>
              <w:tc>
                <w:tcPr>
                  <w:tcW w:w="1959" w:type="pct"/>
                  <w:tcBorders>
                    <w:tl2br w:val="nil"/>
                    <w:tr2bl w:val="nil"/>
                  </w:tcBorders>
                  <w:vAlign w:val="center"/>
                </w:tcPr>
                <w:p w14:paraId="5D5510AA">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项目厂界外500m范围内没有村庄</w:t>
                  </w:r>
                  <w:r>
                    <w:rPr>
                      <w:rFonts w:hint="eastAsia" w:cs="Times New Roman"/>
                      <w:color w:val="auto"/>
                      <w:kern w:val="0"/>
                      <w:sz w:val="18"/>
                      <w:szCs w:val="18"/>
                      <w:lang w:val="en-US" w:eastAsia="zh-CN"/>
                    </w:rPr>
                    <w:t>分布</w:t>
                  </w:r>
                  <w:r>
                    <w:rPr>
                      <w:rFonts w:hint="default" w:ascii="Times New Roman" w:hAnsi="Times New Roman" w:cs="Times New Roman"/>
                      <w:color w:val="auto"/>
                      <w:kern w:val="0"/>
                      <w:sz w:val="18"/>
                      <w:szCs w:val="18"/>
                    </w:rPr>
                    <w:t>，且</w:t>
                  </w:r>
                  <w:r>
                    <w:rPr>
                      <w:rFonts w:hint="eastAsia" w:cs="Times New Roman"/>
                      <w:color w:val="auto"/>
                      <w:kern w:val="0"/>
                      <w:sz w:val="18"/>
                      <w:szCs w:val="18"/>
                      <w:lang w:val="en-US" w:eastAsia="zh-CN"/>
                    </w:rPr>
                    <w:t>项目仅为民用爆炸物品储存库建设项目，运营期废气主要为运输车辆产生的车辆废气和扬尘，</w:t>
                  </w:r>
                  <w:r>
                    <w:rPr>
                      <w:rFonts w:hint="default" w:ascii="Times New Roman" w:hAnsi="Times New Roman" w:cs="Times New Roman"/>
                      <w:color w:val="auto"/>
                      <w:kern w:val="0"/>
                      <w:sz w:val="18"/>
                      <w:szCs w:val="18"/>
                    </w:rPr>
                    <w:t>排放的废气中不涉及有毒有害物质，因此不设大气专项评价。</w:t>
                  </w:r>
                </w:p>
              </w:tc>
              <w:tc>
                <w:tcPr>
                  <w:tcW w:w="430" w:type="pct"/>
                  <w:tcBorders>
                    <w:tl2br w:val="nil"/>
                    <w:tr2bl w:val="nil"/>
                  </w:tcBorders>
                  <w:vAlign w:val="center"/>
                </w:tcPr>
                <w:p w14:paraId="236D40D2">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3A818E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4539C65D">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1965" w:type="pct"/>
                  <w:tcBorders>
                    <w:tl2br w:val="nil"/>
                    <w:tr2bl w:val="nil"/>
                  </w:tcBorders>
                  <w:vAlign w:val="center"/>
                </w:tcPr>
                <w:p w14:paraId="547BA4AB">
                  <w:pPr>
                    <w:jc w:val="center"/>
                    <w:textAlignment w:val="baseline"/>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新增工业废水直排建设项目（槽罐车外运污水处理厂的除外）；新增废水直排的污水集中处理厂</w:t>
                  </w:r>
                  <w:r>
                    <w:rPr>
                      <w:rFonts w:hint="eastAsia" w:cs="Times New Roman"/>
                      <w:color w:val="auto"/>
                      <w:sz w:val="18"/>
                      <w:szCs w:val="18"/>
                      <w:lang w:eastAsia="zh-CN"/>
                    </w:rPr>
                    <w:t>。</w:t>
                  </w:r>
                </w:p>
              </w:tc>
              <w:tc>
                <w:tcPr>
                  <w:tcW w:w="1959" w:type="pct"/>
                  <w:tcBorders>
                    <w:tl2br w:val="nil"/>
                    <w:tr2bl w:val="nil"/>
                  </w:tcBorders>
                  <w:vAlign w:val="center"/>
                </w:tcPr>
                <w:p w14:paraId="26690785">
                  <w:pPr>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本项目</w:t>
                  </w:r>
                  <w:r>
                    <w:rPr>
                      <w:rFonts w:hint="eastAsia" w:cs="Times New Roman"/>
                      <w:color w:val="auto"/>
                      <w:sz w:val="18"/>
                      <w:szCs w:val="18"/>
                      <w:lang w:val="en-US" w:eastAsia="zh-CN"/>
                    </w:rPr>
                    <w:t>为仓储项目，无</w:t>
                  </w:r>
                  <w:r>
                    <w:rPr>
                      <w:rFonts w:hint="default" w:ascii="Times New Roman" w:hAnsi="Times New Roman" w:cs="Times New Roman"/>
                      <w:color w:val="auto"/>
                      <w:sz w:val="18"/>
                      <w:szCs w:val="18"/>
                    </w:rPr>
                    <w:t>生产废水</w:t>
                  </w:r>
                  <w:r>
                    <w:rPr>
                      <w:rFonts w:hint="eastAsia" w:cs="Times New Roman"/>
                      <w:color w:val="auto"/>
                      <w:sz w:val="18"/>
                      <w:szCs w:val="18"/>
                      <w:lang w:val="en-US" w:eastAsia="zh-CN"/>
                    </w:rPr>
                    <w:t>产生及排放</w:t>
                  </w:r>
                  <w:r>
                    <w:rPr>
                      <w:rFonts w:hint="default" w:ascii="Times New Roman" w:hAnsi="Times New Roman" w:cs="Times New Roman"/>
                      <w:color w:val="auto"/>
                      <w:sz w:val="18"/>
                      <w:szCs w:val="18"/>
                    </w:rPr>
                    <w:t>。</w:t>
                  </w:r>
                  <w:r>
                    <w:rPr>
                      <w:rFonts w:hint="eastAsia" w:cs="Times New Roman"/>
                      <w:color w:val="auto"/>
                      <w:sz w:val="18"/>
                      <w:szCs w:val="18"/>
                      <w:lang w:val="en-US" w:eastAsia="zh-CN"/>
                    </w:rPr>
                    <w:t>生活污水经化粪池收集后运至玉溪大红山矿业有限公司现有的生活污水处理站处理。</w:t>
                  </w:r>
                </w:p>
              </w:tc>
              <w:tc>
                <w:tcPr>
                  <w:tcW w:w="430" w:type="pct"/>
                  <w:tcBorders>
                    <w:tl2br w:val="nil"/>
                    <w:tr2bl w:val="nil"/>
                  </w:tcBorders>
                  <w:vAlign w:val="center"/>
                </w:tcPr>
                <w:p w14:paraId="2652332A">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15992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1741BFF8">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1965" w:type="pct"/>
                  <w:tcBorders>
                    <w:tl2br w:val="nil"/>
                    <w:tr2bl w:val="nil"/>
                  </w:tcBorders>
                  <w:vAlign w:val="center"/>
                </w:tcPr>
                <w:p w14:paraId="506E54CD">
                  <w:pPr>
                    <w:jc w:val="center"/>
                    <w:textAlignment w:val="baseline"/>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有毒有害和易燃易爆危险物质存储量超过临界量的建设项目</w:t>
                  </w:r>
                  <w:r>
                    <w:rPr>
                      <w:rFonts w:hint="eastAsia" w:cs="Times New Roman"/>
                      <w:color w:val="auto"/>
                      <w:sz w:val="18"/>
                      <w:szCs w:val="18"/>
                      <w:lang w:eastAsia="zh-CN"/>
                    </w:rPr>
                    <w:t>。</w:t>
                  </w:r>
                </w:p>
              </w:tc>
              <w:tc>
                <w:tcPr>
                  <w:tcW w:w="1959" w:type="pct"/>
                  <w:tcBorders>
                    <w:tl2br w:val="nil"/>
                    <w:tr2bl w:val="nil"/>
                  </w:tcBorders>
                  <w:vAlign w:val="center"/>
                </w:tcPr>
                <w:p w14:paraId="33B80FCB">
                  <w:pPr>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本项目厂内的易燃易爆物质</w:t>
                  </w:r>
                  <w:r>
                    <w:rPr>
                      <w:rFonts w:hint="eastAsia" w:cs="Times New Roman"/>
                      <w:color w:val="auto"/>
                      <w:sz w:val="18"/>
                      <w:szCs w:val="18"/>
                      <w:highlight w:val="none"/>
                      <w:lang w:val="en-US" w:eastAsia="zh-CN"/>
                    </w:rPr>
                    <w:t>为炸药、雷管，折合成硝酸铵15.02t，根据《建设项目环境风险评价技术导则》（HJ169-2018）附录B，硝酸铵临界量为50t，本项目风险物质Q值为0.3004&lt;1，</w:t>
                  </w:r>
                  <w:r>
                    <w:rPr>
                      <w:rFonts w:hint="default" w:ascii="Times New Roman" w:hAnsi="Times New Roman" w:cs="Times New Roman"/>
                      <w:color w:val="auto"/>
                      <w:sz w:val="18"/>
                      <w:szCs w:val="18"/>
                      <w:highlight w:val="none"/>
                    </w:rPr>
                    <w:t>不超过临界量</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不需设置专项评价。</w:t>
                  </w:r>
                </w:p>
              </w:tc>
              <w:tc>
                <w:tcPr>
                  <w:tcW w:w="430" w:type="pct"/>
                  <w:tcBorders>
                    <w:tl2br w:val="nil"/>
                    <w:tr2bl w:val="nil"/>
                  </w:tcBorders>
                  <w:vAlign w:val="center"/>
                </w:tcPr>
                <w:p w14:paraId="3742B7FD">
                  <w:pPr>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否</w:t>
                  </w:r>
                </w:p>
              </w:tc>
            </w:tr>
            <w:tr w14:paraId="5C98ED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2F34E986">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1965" w:type="pct"/>
                  <w:tcBorders>
                    <w:tl2br w:val="nil"/>
                    <w:tr2bl w:val="nil"/>
                  </w:tcBorders>
                  <w:vAlign w:val="center"/>
                </w:tcPr>
                <w:p w14:paraId="1BEF84E9">
                  <w:pPr>
                    <w:jc w:val="center"/>
                    <w:textAlignment w:val="baseline"/>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取水口下游500m范围有重要水生生物的自然产卵场、索饵场、越冬场和洄游通道的新增河道取水的污染类建设项目</w:t>
                  </w:r>
                  <w:r>
                    <w:rPr>
                      <w:rFonts w:hint="eastAsia" w:cs="Times New Roman"/>
                      <w:color w:val="auto"/>
                      <w:sz w:val="18"/>
                      <w:szCs w:val="18"/>
                      <w:lang w:eastAsia="zh-CN"/>
                    </w:rPr>
                    <w:t>。</w:t>
                  </w:r>
                </w:p>
              </w:tc>
              <w:tc>
                <w:tcPr>
                  <w:tcW w:w="1959" w:type="pct"/>
                  <w:tcBorders>
                    <w:tl2br w:val="nil"/>
                    <w:tr2bl w:val="nil"/>
                  </w:tcBorders>
                  <w:vAlign w:val="center"/>
                </w:tcPr>
                <w:p w14:paraId="4ECAA03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本项目用水从项目区旁的矿山现有供水系统接入，不从河道直接取水。</w:t>
                  </w:r>
                </w:p>
              </w:tc>
              <w:tc>
                <w:tcPr>
                  <w:tcW w:w="430" w:type="pct"/>
                  <w:tcBorders>
                    <w:tl2br w:val="nil"/>
                    <w:tr2bl w:val="nil"/>
                  </w:tcBorders>
                  <w:vAlign w:val="center"/>
                </w:tcPr>
                <w:p w14:paraId="4E70E89F">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67EF2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71E23453">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w:t>
                  </w:r>
                </w:p>
              </w:tc>
              <w:tc>
                <w:tcPr>
                  <w:tcW w:w="1965" w:type="pct"/>
                  <w:tcBorders>
                    <w:tl2br w:val="nil"/>
                    <w:tr2bl w:val="nil"/>
                  </w:tcBorders>
                  <w:vAlign w:val="center"/>
                </w:tcPr>
                <w:p w14:paraId="0DFE3C62">
                  <w:pPr>
                    <w:jc w:val="center"/>
                    <w:textAlignment w:val="baseline"/>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涉及集中式饮用水水源和热水、矿泉水、温泉等特殊地下水资源保护区</w:t>
                  </w:r>
                  <w:r>
                    <w:rPr>
                      <w:rFonts w:hint="eastAsia" w:cs="Times New Roman"/>
                      <w:color w:val="auto"/>
                      <w:sz w:val="18"/>
                      <w:szCs w:val="18"/>
                      <w:lang w:eastAsia="zh-CN"/>
                    </w:rPr>
                    <w:t>。</w:t>
                  </w:r>
                </w:p>
              </w:tc>
              <w:tc>
                <w:tcPr>
                  <w:tcW w:w="1959" w:type="pct"/>
                  <w:tcBorders>
                    <w:tl2br w:val="nil"/>
                    <w:tr2bl w:val="nil"/>
                  </w:tcBorders>
                  <w:vAlign w:val="center"/>
                </w:tcPr>
                <w:p w14:paraId="6D5F2230">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本项目不涉及集中式饮用水水源和热水、矿泉水、温泉等特殊地下水资源保护区。</w:t>
                  </w:r>
                </w:p>
              </w:tc>
              <w:tc>
                <w:tcPr>
                  <w:tcW w:w="430" w:type="pct"/>
                  <w:tcBorders>
                    <w:tl2br w:val="nil"/>
                    <w:tr2bl w:val="nil"/>
                  </w:tcBorders>
                  <w:vAlign w:val="center"/>
                </w:tcPr>
                <w:p w14:paraId="75AF7A2E">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192E4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vAlign w:val="center"/>
                </w:tcPr>
                <w:p w14:paraId="5C0CA3EE">
                  <w:pPr>
                    <w:autoSpaceDE w:val="0"/>
                    <w:autoSpaceDN w:val="0"/>
                    <w:adjustRightInd w:val="0"/>
                    <w:snapToGrid w:val="0"/>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注：</w:t>
                  </w:r>
                </w:p>
                <w:p w14:paraId="6BF9CA35">
                  <w:pPr>
                    <w:autoSpaceDE w:val="0"/>
                    <w:autoSpaceDN w:val="0"/>
                    <w:adjustRightInd w:val="0"/>
                    <w:snapToGrid w:val="0"/>
                    <w:spacing w:line="276" w:lineRule="auto"/>
                    <w:ind w:firstLine="360" w:firstLineChars="20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1、废气中有毒有害污染物指纳入《有毒有害大气污染物名录》的污染物（不包括无排放标准的污染物）；</w:t>
                  </w:r>
                </w:p>
                <w:p w14:paraId="68CF50E8">
                  <w:pPr>
                    <w:autoSpaceDE w:val="0"/>
                    <w:autoSpaceDN w:val="0"/>
                    <w:adjustRightInd w:val="0"/>
                    <w:snapToGrid w:val="0"/>
                    <w:spacing w:line="276" w:lineRule="auto"/>
                    <w:ind w:firstLine="360" w:firstLineChars="20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2、环境空气保护目标指自然保护区、风景名胜区、居住区、文化区和农村地区中人群较集中的区域。</w:t>
                  </w:r>
                </w:p>
                <w:p w14:paraId="745FC5A5">
                  <w:pPr>
                    <w:ind w:firstLine="360" w:firstLineChars="200"/>
                    <w:textAlignment w:val="baseline"/>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3、临界量及其计算方法可参照《建设项目环境风险评价技术原则》（HJ169）附录B、附录C。</w:t>
                  </w:r>
                </w:p>
              </w:tc>
            </w:tr>
          </w:tbl>
          <w:p w14:paraId="1F0007E2">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sz w:val="24"/>
              </w:rPr>
              <w:t>综上所述，项目大气、地表水、地下水、土壤、生态、环境风险均不设置专项评价。</w:t>
            </w:r>
          </w:p>
        </w:tc>
      </w:tr>
      <w:tr w14:paraId="6832E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39" w:type="dxa"/>
            <w:vAlign w:val="center"/>
          </w:tcPr>
          <w:p w14:paraId="7E2818DE">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规划情况</w:t>
            </w:r>
          </w:p>
        </w:tc>
        <w:tc>
          <w:tcPr>
            <w:tcW w:w="7287" w:type="dxa"/>
            <w:gridSpan w:val="3"/>
            <w:vAlign w:val="center"/>
          </w:tcPr>
          <w:p w14:paraId="634EFC53">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lang w:eastAsia="zh-CN"/>
              </w:rPr>
            </w:pPr>
            <w:r>
              <w:rPr>
                <w:rFonts w:hint="eastAsia" w:cs="Times New Roman"/>
                <w:color w:val="auto"/>
                <w:sz w:val="24"/>
                <w:lang w:val="en-US" w:eastAsia="zh-CN"/>
              </w:rPr>
              <w:t>无</w:t>
            </w:r>
          </w:p>
        </w:tc>
      </w:tr>
      <w:tr w14:paraId="0A8C4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39" w:type="dxa"/>
            <w:vAlign w:val="center"/>
          </w:tcPr>
          <w:p w14:paraId="04DA4A71">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规划环境影响评价情况</w:t>
            </w:r>
          </w:p>
        </w:tc>
        <w:tc>
          <w:tcPr>
            <w:tcW w:w="7287" w:type="dxa"/>
            <w:gridSpan w:val="3"/>
            <w:vAlign w:val="center"/>
          </w:tcPr>
          <w:p w14:paraId="45668F17">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lang w:eastAsia="zh-CN"/>
              </w:rPr>
            </w:pPr>
            <w:r>
              <w:rPr>
                <w:rFonts w:hint="eastAsia" w:cs="Times New Roman"/>
                <w:color w:val="auto"/>
                <w:sz w:val="24"/>
                <w:lang w:val="en-US" w:eastAsia="zh-CN"/>
              </w:rPr>
              <w:t>无</w:t>
            </w:r>
          </w:p>
        </w:tc>
      </w:tr>
      <w:tr w14:paraId="5A85C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9" w:type="dxa"/>
            <w:vAlign w:val="center"/>
          </w:tcPr>
          <w:p w14:paraId="43AB9874">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规划及规划环境影响评价符合性分析</w:t>
            </w:r>
          </w:p>
        </w:tc>
        <w:tc>
          <w:tcPr>
            <w:tcW w:w="7287" w:type="dxa"/>
            <w:gridSpan w:val="3"/>
            <w:vAlign w:val="center"/>
          </w:tcPr>
          <w:p w14:paraId="088B13DD">
            <w:pPr>
              <w:autoSpaceDE w:val="0"/>
              <w:autoSpaceDN w:val="0"/>
              <w:spacing w:before="120" w:beforeLines="50" w:line="360" w:lineRule="auto"/>
              <w:ind w:firstLine="482" w:firstLineChars="200"/>
              <w:rPr>
                <w:rFonts w:hint="eastAsia" w:ascii="Times New Roman" w:hAnsi="Times New Roman" w:eastAsia="宋体" w:cs="Times New Roman"/>
                <w:color w:val="auto"/>
                <w:lang w:eastAsia="zh-CN"/>
              </w:rPr>
            </w:pPr>
            <w:r>
              <w:rPr>
                <w:rFonts w:hint="eastAsia" w:cs="Times New Roman"/>
                <w:b/>
                <w:bCs/>
                <w:color w:val="auto"/>
                <w:kern w:val="0"/>
                <w:sz w:val="24"/>
                <w:lang w:val="en-US" w:eastAsia="zh-CN"/>
              </w:rPr>
              <w:t>无</w:t>
            </w:r>
          </w:p>
        </w:tc>
      </w:tr>
      <w:tr w14:paraId="67A9B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039" w:type="dxa"/>
            <w:vAlign w:val="center"/>
          </w:tcPr>
          <w:p w14:paraId="5A273ED1">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rPr>
              <w:t>其他符合性分析</w:t>
            </w:r>
          </w:p>
        </w:tc>
        <w:tc>
          <w:tcPr>
            <w:tcW w:w="7287" w:type="dxa"/>
            <w:gridSpan w:val="3"/>
            <w:vAlign w:val="center"/>
          </w:tcPr>
          <w:p w14:paraId="2EA1BECE">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1、产业政策符合性分析</w:t>
            </w:r>
          </w:p>
          <w:p w14:paraId="1B9439A4">
            <w:pPr>
              <w:pStyle w:val="32"/>
              <w:autoSpaceDE w:val="0"/>
              <w:autoSpaceDN w:val="0"/>
              <w:spacing w:before="0" w:beforeAutospacing="0" w:after="0" w:afterAutospacing="0"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本项目属于危险品的仓储项目，根据</w:t>
            </w:r>
            <w:r>
              <w:rPr>
                <w:rFonts w:hint="eastAsia" w:ascii="Times New Roman" w:hAnsi="Times New Roman" w:cs="Times New Roman"/>
                <w:color w:val="auto"/>
                <w:lang w:val="en-US" w:eastAsia="zh-CN"/>
              </w:rPr>
              <w:t>2023</w:t>
            </w:r>
            <w:r>
              <w:rPr>
                <w:rFonts w:hint="default" w:ascii="Times New Roman" w:hAnsi="Times New Roman" w:cs="Times New Roman"/>
                <w:color w:val="auto"/>
              </w:rPr>
              <w:t>年</w:t>
            </w:r>
            <w:r>
              <w:rPr>
                <w:rFonts w:hint="eastAsia" w:ascii="Times New Roman" w:hAnsi="Times New Roman" w:cs="Times New Roman"/>
                <w:color w:val="auto"/>
                <w:lang w:val="en-US" w:eastAsia="zh-CN"/>
              </w:rPr>
              <w:t>12</w:t>
            </w:r>
            <w:r>
              <w:rPr>
                <w:rFonts w:hint="default" w:ascii="Times New Roman" w:hAnsi="Times New Roman" w:cs="Times New Roman"/>
                <w:color w:val="auto"/>
              </w:rPr>
              <w:t>月</w:t>
            </w:r>
            <w:r>
              <w:rPr>
                <w:rFonts w:hint="eastAsia" w:ascii="Times New Roman" w:hAnsi="Times New Roman" w:cs="Times New Roman"/>
                <w:color w:val="auto"/>
                <w:lang w:val="en-US" w:eastAsia="zh-CN"/>
              </w:rPr>
              <w:t>27</w:t>
            </w:r>
            <w:r>
              <w:rPr>
                <w:rFonts w:hint="default" w:ascii="Times New Roman" w:hAnsi="Times New Roman" w:cs="Times New Roman"/>
                <w:color w:val="auto"/>
              </w:rPr>
              <w:t>日中华人民共和国国家发展和改革委员会令 第</w:t>
            </w:r>
            <w:r>
              <w:rPr>
                <w:rFonts w:hint="eastAsia" w:ascii="Times New Roman" w:hAnsi="Times New Roman" w:cs="Times New Roman"/>
                <w:color w:val="auto"/>
                <w:lang w:val="en-US" w:eastAsia="zh-CN"/>
              </w:rPr>
              <w:t>7</w:t>
            </w:r>
            <w:r>
              <w:rPr>
                <w:rFonts w:hint="default" w:ascii="Times New Roman" w:hAnsi="Times New Roman" w:cs="Times New Roman"/>
                <w:color w:val="auto"/>
              </w:rPr>
              <w:t>号《产业结构调整指导目录</w:t>
            </w:r>
            <w:r>
              <w:rPr>
                <w:rFonts w:hint="eastAsia" w:ascii="Times New Roman" w:hAnsi="Times New Roman" w:cs="Times New Roman"/>
                <w:color w:val="auto"/>
                <w:lang w:eastAsia="zh-CN"/>
              </w:rPr>
              <w:t>（</w:t>
            </w:r>
            <w:r>
              <w:rPr>
                <w:rFonts w:hint="default" w:ascii="Times New Roman" w:hAnsi="Times New Roman" w:cs="Times New Roman"/>
                <w:color w:val="auto"/>
              </w:rPr>
              <w:t>20</w:t>
            </w:r>
            <w:r>
              <w:rPr>
                <w:rFonts w:hint="eastAsia" w:ascii="Times New Roman" w:hAnsi="Times New Roman" w:cs="Times New Roman"/>
                <w:color w:val="auto"/>
                <w:lang w:val="en-US" w:eastAsia="zh-CN"/>
              </w:rPr>
              <w:t>24</w:t>
            </w:r>
            <w:r>
              <w:rPr>
                <w:rFonts w:hint="default" w:ascii="Times New Roman" w:hAnsi="Times New Roman" w:cs="Times New Roman"/>
                <w:color w:val="auto"/>
              </w:rPr>
              <w:t>年本</w:t>
            </w:r>
            <w:r>
              <w:rPr>
                <w:rFonts w:hint="eastAsia" w:ascii="Times New Roman" w:hAnsi="Times New Roman" w:cs="Times New Roman"/>
                <w:color w:val="auto"/>
                <w:lang w:eastAsia="zh-CN"/>
              </w:rPr>
              <w:t>）</w:t>
            </w:r>
            <w:r>
              <w:rPr>
                <w:rFonts w:hint="default" w:ascii="Times New Roman" w:hAnsi="Times New Roman" w:cs="Times New Roman"/>
                <w:color w:val="auto"/>
              </w:rPr>
              <w:t>》，本项目生产工艺和产品不属于鼓励类、限制类和淘汰类，且符合国家有关</w:t>
            </w:r>
            <w:r>
              <w:rPr>
                <w:rFonts w:hint="eastAsia" w:ascii="Times New Roman" w:hAnsi="Times New Roman" w:cs="Times New Roman"/>
                <w:color w:val="auto"/>
                <w:lang w:eastAsia="zh-CN"/>
              </w:rPr>
              <w:t>法律法规</w:t>
            </w:r>
            <w:r>
              <w:rPr>
                <w:rFonts w:hint="default" w:ascii="Times New Roman" w:hAnsi="Times New Roman" w:cs="Times New Roman"/>
                <w:color w:val="auto"/>
              </w:rPr>
              <w:t>和政策规定的，</w:t>
            </w:r>
            <w:r>
              <w:rPr>
                <w:rFonts w:hint="eastAsia" w:ascii="Times New Roman" w:hAnsi="Times New Roman" w:cs="Times New Roman"/>
                <w:color w:val="auto"/>
                <w:lang w:val="en-US" w:eastAsia="zh-CN"/>
              </w:rPr>
              <w:t>可视</w:t>
            </w:r>
            <w:r>
              <w:rPr>
                <w:rFonts w:hint="default" w:ascii="Times New Roman" w:hAnsi="Times New Roman" w:cs="Times New Roman"/>
                <w:color w:val="auto"/>
              </w:rPr>
              <w:t>为允许类项目，该建设满足国家的产业政策。</w:t>
            </w:r>
          </w:p>
          <w:p w14:paraId="48E126A9">
            <w:pPr>
              <w:pStyle w:val="32"/>
              <w:autoSpaceDE w:val="0"/>
              <w:autoSpaceDN w:val="0"/>
              <w:spacing w:before="0" w:beforeAutospacing="0" w:after="0" w:afterAutospacing="0" w:line="360" w:lineRule="auto"/>
              <w:ind w:firstLine="480"/>
              <w:rPr>
                <w:rFonts w:hint="default" w:ascii="Times New Roman" w:hAnsi="Times New Roman" w:cs="Times New Roman"/>
                <w:color w:val="auto"/>
              </w:rPr>
            </w:pPr>
            <w:r>
              <w:rPr>
                <w:rFonts w:hint="default" w:ascii="Times New Roman" w:hAnsi="Times New Roman" w:cs="Times New Roman"/>
                <w:color w:val="auto"/>
              </w:rPr>
              <w:t>此外，</w:t>
            </w:r>
            <w:r>
              <w:rPr>
                <w:rFonts w:hint="eastAsia" w:ascii="Times New Roman" w:hAnsi="Times New Roman" w:cs="Times New Roman"/>
                <w:color w:val="auto"/>
                <w:lang w:eastAsia="zh-CN"/>
              </w:rPr>
              <w:t>2026年1月12日</w:t>
            </w:r>
            <w:r>
              <w:rPr>
                <w:rFonts w:hint="default" w:ascii="Times New Roman" w:hAnsi="Times New Roman" w:cs="Times New Roman"/>
                <w:color w:val="auto"/>
              </w:rPr>
              <w:t>取得了新平县发展和改革局下发的《云南省固定资产投资项目备案证》，项目代码：2601-530427-04-01-205541，同意项目建设。</w:t>
            </w:r>
          </w:p>
          <w:p w14:paraId="04A157B7">
            <w:pPr>
              <w:pStyle w:val="32"/>
              <w:autoSpaceDE w:val="0"/>
              <w:autoSpaceDN w:val="0"/>
              <w:spacing w:before="0" w:beforeAutospacing="0" w:after="0" w:afterAutospacing="0" w:line="360" w:lineRule="auto"/>
              <w:ind w:firstLine="480"/>
              <w:rPr>
                <w:rFonts w:hint="default" w:ascii="Times New Roman" w:hAnsi="Times New Roman" w:cs="Times New Roman"/>
                <w:color w:val="auto"/>
              </w:rPr>
            </w:pPr>
            <w:r>
              <w:rPr>
                <w:rFonts w:hint="default" w:ascii="Times New Roman" w:hAnsi="Times New Roman" w:cs="Times New Roman"/>
                <w:color w:val="auto"/>
              </w:rPr>
              <w:t>因此，项目符合国家</w:t>
            </w:r>
            <w:r>
              <w:rPr>
                <w:rFonts w:hint="eastAsia" w:ascii="Times New Roman" w:hAnsi="Times New Roman" w:cs="Times New Roman"/>
                <w:color w:val="auto"/>
                <w:lang w:val="en-US" w:eastAsia="zh-CN"/>
              </w:rPr>
              <w:t>及地方</w:t>
            </w:r>
            <w:r>
              <w:rPr>
                <w:rFonts w:hint="default" w:ascii="Times New Roman" w:hAnsi="Times New Roman" w:cs="Times New Roman"/>
                <w:color w:val="auto"/>
              </w:rPr>
              <w:t>产业政策。</w:t>
            </w:r>
          </w:p>
          <w:p w14:paraId="3CAEADEB">
            <w:pPr>
              <w:pStyle w:val="5"/>
              <w:rPr>
                <w:rFonts w:hint="default" w:ascii="Times New Roman" w:hAnsi="Times New Roman" w:cs="Times New Roman"/>
                <w:color w:val="auto"/>
                <w:sz w:val="24"/>
              </w:rPr>
            </w:pPr>
            <w:r>
              <w:rPr>
                <w:rFonts w:hint="default" w:ascii="Times New Roman" w:hAnsi="Times New Roman" w:cs="Times New Roman"/>
                <w:color w:val="auto"/>
                <w:sz w:val="24"/>
              </w:rPr>
              <w:t>2、与</w:t>
            </w:r>
            <w:bookmarkStart w:id="8" w:name="_Toc213919552"/>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玉溪</w:t>
            </w:r>
            <w:r>
              <w:rPr>
                <w:rFonts w:hint="eastAsia" w:ascii="Times New Roman" w:hAnsi="Times New Roman" w:cs="Times New Roman"/>
                <w:color w:val="auto"/>
                <w:sz w:val="24"/>
              </w:rPr>
              <w:t>市国土空间总体规划（2021-2035年）》</w:t>
            </w:r>
            <w:bookmarkEnd w:id="8"/>
            <w:r>
              <w:rPr>
                <w:rFonts w:hint="default" w:ascii="Times New Roman" w:hAnsi="Times New Roman" w:cs="Times New Roman"/>
                <w:color w:val="auto"/>
                <w:sz w:val="24"/>
              </w:rPr>
              <w:t>的协调性分析</w:t>
            </w:r>
          </w:p>
          <w:p w14:paraId="3D4AEB0C">
            <w:pPr>
              <w:spacing w:line="360" w:lineRule="auto"/>
              <w:ind w:firstLine="480" w:firstLineChars="200"/>
              <w:rPr>
                <w:color w:val="auto"/>
                <w:sz w:val="24"/>
                <w:szCs w:val="24"/>
                <w:highlight w:val="none"/>
              </w:rPr>
            </w:pPr>
            <w:bookmarkStart w:id="9" w:name="OLE_LINK212"/>
            <w:r>
              <w:rPr>
                <w:rFonts w:hint="eastAsia"/>
                <w:color w:val="auto"/>
                <w:sz w:val="24"/>
                <w:szCs w:val="24"/>
                <w:highlight w:val="none"/>
              </w:rPr>
              <w:t>《</w:t>
            </w:r>
            <w:r>
              <w:rPr>
                <w:rFonts w:hint="eastAsia"/>
                <w:color w:val="auto"/>
                <w:sz w:val="24"/>
                <w:szCs w:val="24"/>
                <w:highlight w:val="none"/>
                <w:lang w:val="en-US" w:eastAsia="zh-CN"/>
              </w:rPr>
              <w:t>玉溪</w:t>
            </w:r>
            <w:r>
              <w:rPr>
                <w:rFonts w:hint="eastAsia"/>
                <w:color w:val="auto"/>
                <w:sz w:val="24"/>
                <w:szCs w:val="24"/>
                <w:highlight w:val="none"/>
              </w:rPr>
              <w:t>市国土空间总体规划（2021-2035年）》已于202</w:t>
            </w:r>
            <w:r>
              <w:rPr>
                <w:rFonts w:hint="eastAsia"/>
                <w:color w:val="auto"/>
                <w:sz w:val="24"/>
                <w:szCs w:val="24"/>
                <w:highlight w:val="none"/>
                <w:lang w:val="en-US" w:eastAsia="zh-CN"/>
              </w:rPr>
              <w:t>4</w:t>
            </w:r>
            <w:r>
              <w:rPr>
                <w:rFonts w:hint="eastAsia"/>
                <w:color w:val="auto"/>
                <w:sz w:val="24"/>
                <w:szCs w:val="24"/>
                <w:highlight w:val="none"/>
              </w:rPr>
              <w:t>年</w:t>
            </w:r>
            <w:r>
              <w:rPr>
                <w:rFonts w:hint="eastAsia"/>
                <w:color w:val="auto"/>
                <w:sz w:val="24"/>
                <w:szCs w:val="24"/>
                <w:highlight w:val="none"/>
                <w:lang w:val="en-US" w:eastAsia="zh-CN"/>
              </w:rPr>
              <w:t>3</w:t>
            </w:r>
            <w:r>
              <w:rPr>
                <w:rFonts w:hint="eastAsia"/>
                <w:color w:val="auto"/>
                <w:sz w:val="24"/>
                <w:szCs w:val="24"/>
                <w:highlight w:val="none"/>
              </w:rPr>
              <w:t>月</w:t>
            </w:r>
            <w:r>
              <w:rPr>
                <w:rFonts w:hint="eastAsia"/>
                <w:color w:val="auto"/>
                <w:sz w:val="24"/>
                <w:szCs w:val="24"/>
                <w:highlight w:val="none"/>
                <w:lang w:val="en-US" w:eastAsia="zh-CN"/>
              </w:rPr>
              <w:t>29</w:t>
            </w:r>
            <w:r>
              <w:rPr>
                <w:rFonts w:hint="eastAsia"/>
                <w:color w:val="auto"/>
                <w:sz w:val="24"/>
                <w:szCs w:val="24"/>
                <w:highlight w:val="none"/>
              </w:rPr>
              <w:t>日由</w:t>
            </w:r>
            <w:r>
              <w:rPr>
                <w:rFonts w:hint="eastAsia"/>
                <w:color w:val="auto"/>
                <w:sz w:val="24"/>
                <w:szCs w:val="24"/>
                <w:highlight w:val="none"/>
                <w:lang w:val="en-US" w:eastAsia="zh-CN"/>
              </w:rPr>
              <w:t>云南省</w:t>
            </w:r>
            <w:r>
              <w:rPr>
                <w:rFonts w:hint="eastAsia"/>
                <w:color w:val="auto"/>
                <w:sz w:val="24"/>
                <w:szCs w:val="24"/>
                <w:highlight w:val="none"/>
              </w:rPr>
              <w:t>人民政府</w:t>
            </w:r>
            <w:r>
              <w:rPr>
                <w:rFonts w:hint="eastAsia"/>
                <w:color w:val="auto"/>
                <w:sz w:val="24"/>
                <w:szCs w:val="24"/>
                <w:highlight w:val="none"/>
                <w:lang w:val="en-US" w:eastAsia="zh-CN"/>
              </w:rPr>
              <w:t>批复，2025年1月由玉溪市人民政府</w:t>
            </w:r>
            <w:r>
              <w:rPr>
                <w:rFonts w:hint="eastAsia"/>
                <w:color w:val="auto"/>
                <w:sz w:val="24"/>
                <w:szCs w:val="24"/>
                <w:highlight w:val="none"/>
              </w:rPr>
              <w:t>发布实施。根据《云南省国土空间规划（2021-2035年）》，建立国土空间规划体系并监督实施，将主体功能区规划、土地利用规划、城乡规划等空间规划融合为统一的国土空间规划，实现“多规合一”，强化国土空间规划对各专项规划的指导约束作用，是党中央、国务院作出的重大战略部署。本次环评主要针对项目用地与《</w:t>
            </w:r>
            <w:r>
              <w:rPr>
                <w:rFonts w:hint="eastAsia"/>
                <w:color w:val="auto"/>
                <w:sz w:val="24"/>
                <w:szCs w:val="24"/>
                <w:highlight w:val="none"/>
                <w:lang w:val="en-US" w:eastAsia="zh-CN"/>
              </w:rPr>
              <w:t>玉溪</w:t>
            </w:r>
            <w:r>
              <w:rPr>
                <w:rFonts w:hint="eastAsia"/>
                <w:color w:val="auto"/>
                <w:sz w:val="24"/>
                <w:szCs w:val="24"/>
                <w:highlight w:val="none"/>
              </w:rPr>
              <w:t>市国土空间总体规划（2021-2035年）》中“三区三线”及主体功能区规划的相关内容进行符合性分析，具体如下所述。</w:t>
            </w:r>
          </w:p>
          <w:p w14:paraId="3AD7D609">
            <w:pPr>
              <w:spacing w:line="360" w:lineRule="auto"/>
              <w:ind w:firstLine="482" w:firstLineChars="200"/>
              <w:outlineLvl w:val="4"/>
              <w:rPr>
                <w:b/>
                <w:bCs/>
                <w:color w:val="auto"/>
                <w:sz w:val="24"/>
                <w:szCs w:val="24"/>
                <w:highlight w:val="none"/>
              </w:rPr>
            </w:pPr>
            <w:r>
              <w:rPr>
                <w:rFonts w:hint="eastAsia"/>
                <w:b/>
                <w:bCs/>
                <w:color w:val="auto"/>
                <w:sz w:val="24"/>
                <w:szCs w:val="24"/>
                <w:highlight w:val="none"/>
              </w:rPr>
              <w:t>（</w:t>
            </w:r>
            <w:r>
              <w:rPr>
                <w:b/>
                <w:bCs/>
                <w:color w:val="auto"/>
                <w:sz w:val="24"/>
                <w:szCs w:val="24"/>
                <w:highlight w:val="none"/>
              </w:rPr>
              <w:t>1</w:t>
            </w:r>
            <w:r>
              <w:rPr>
                <w:rFonts w:hint="eastAsia"/>
                <w:b/>
                <w:bCs/>
                <w:color w:val="auto"/>
                <w:sz w:val="24"/>
                <w:szCs w:val="24"/>
                <w:highlight w:val="none"/>
              </w:rPr>
              <w:t>）相关内容概述</w:t>
            </w:r>
          </w:p>
          <w:p w14:paraId="053AE4F9">
            <w:pPr>
              <w:spacing w:line="360" w:lineRule="auto"/>
              <w:ind w:firstLine="480" w:firstLineChars="200"/>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玉溪</w:t>
            </w:r>
            <w:r>
              <w:rPr>
                <w:rFonts w:hint="eastAsia"/>
                <w:color w:val="auto"/>
                <w:sz w:val="24"/>
                <w:szCs w:val="24"/>
                <w:highlight w:val="none"/>
              </w:rPr>
              <w:t>市国土空间总体规划（2021-2035年）》相关内容如下所述。</w:t>
            </w:r>
          </w:p>
          <w:p w14:paraId="628C6E51">
            <w:pPr>
              <w:spacing w:line="360" w:lineRule="auto"/>
              <w:jc w:val="center"/>
              <w:rPr>
                <w:rFonts w:hint="default" w:eastAsia="宋体"/>
                <w:b/>
                <w:bCs/>
                <w:color w:val="auto"/>
                <w:sz w:val="24"/>
                <w:szCs w:val="24"/>
                <w:highlight w:val="none"/>
                <w:lang w:val="en-US" w:eastAsia="zh-CN"/>
              </w:rPr>
            </w:pPr>
            <w:r>
              <w:rPr>
                <w:rFonts w:hint="eastAsia"/>
                <w:b/>
                <w:bCs/>
                <w:color w:val="auto"/>
                <w:sz w:val="24"/>
                <w:szCs w:val="24"/>
                <w:highlight w:val="none"/>
              </w:rPr>
              <w:t xml:space="preserve">第二章 </w:t>
            </w:r>
            <w:r>
              <w:rPr>
                <w:rFonts w:hint="eastAsia"/>
                <w:b/>
                <w:bCs/>
                <w:color w:val="auto"/>
                <w:sz w:val="24"/>
                <w:szCs w:val="24"/>
                <w:highlight w:val="none"/>
                <w:lang w:val="en-US" w:eastAsia="zh-CN"/>
              </w:rPr>
              <w:t>目标定位与空间战略</w:t>
            </w:r>
          </w:p>
          <w:p w14:paraId="48481EAE">
            <w:pPr>
              <w:spacing w:line="360" w:lineRule="auto"/>
              <w:jc w:val="center"/>
              <w:rPr>
                <w:b/>
                <w:bCs/>
                <w:color w:val="auto"/>
                <w:sz w:val="24"/>
                <w:szCs w:val="24"/>
                <w:highlight w:val="none"/>
              </w:rPr>
            </w:pPr>
            <w:r>
              <w:rPr>
                <w:rFonts w:hint="eastAsia"/>
                <w:b/>
                <w:bCs/>
                <w:color w:val="auto"/>
                <w:sz w:val="24"/>
                <w:szCs w:val="24"/>
                <w:highlight w:val="none"/>
              </w:rPr>
              <w:t>第</w:t>
            </w:r>
            <w:r>
              <w:rPr>
                <w:rFonts w:hint="eastAsia"/>
                <w:b/>
                <w:bCs/>
                <w:color w:val="auto"/>
                <w:sz w:val="24"/>
                <w:szCs w:val="24"/>
                <w:highlight w:val="none"/>
                <w:lang w:val="en-US" w:eastAsia="zh-CN"/>
              </w:rPr>
              <w:t>三</w:t>
            </w:r>
            <w:r>
              <w:rPr>
                <w:rFonts w:hint="eastAsia"/>
                <w:b/>
                <w:bCs/>
                <w:color w:val="auto"/>
                <w:sz w:val="24"/>
                <w:szCs w:val="24"/>
                <w:highlight w:val="none"/>
              </w:rPr>
              <w:t>节 国土空间开发保护战略</w:t>
            </w:r>
          </w:p>
          <w:p w14:paraId="1031BE91">
            <w:pPr>
              <w:spacing w:line="360" w:lineRule="auto"/>
              <w:ind w:firstLine="480" w:firstLineChars="200"/>
              <w:rPr>
                <w:rFonts w:hint="eastAsia"/>
                <w:color w:val="auto"/>
                <w:sz w:val="24"/>
                <w:szCs w:val="24"/>
                <w:highlight w:val="none"/>
              </w:rPr>
            </w:pPr>
            <w:r>
              <w:rPr>
                <w:rFonts w:hint="eastAsia"/>
                <w:color w:val="auto"/>
                <w:sz w:val="24"/>
                <w:szCs w:val="24"/>
                <w:highlight w:val="none"/>
              </w:rPr>
              <w:t>第9条</w:t>
            </w:r>
            <w:r>
              <w:rPr>
                <w:rFonts w:hint="eastAsia"/>
                <w:color w:val="auto"/>
                <w:sz w:val="24"/>
                <w:szCs w:val="24"/>
                <w:highlight w:val="none"/>
                <w:lang w:val="en-US" w:eastAsia="zh-CN"/>
              </w:rPr>
              <w:t xml:space="preserve">  </w:t>
            </w:r>
            <w:r>
              <w:rPr>
                <w:rFonts w:hint="eastAsia"/>
                <w:color w:val="auto"/>
                <w:sz w:val="24"/>
                <w:szCs w:val="24"/>
                <w:highlight w:val="none"/>
              </w:rPr>
              <w:t>筑牢底线，全域统筹优化三生空间</w:t>
            </w:r>
          </w:p>
          <w:p w14:paraId="0B634559">
            <w:pPr>
              <w:spacing w:line="360" w:lineRule="auto"/>
              <w:ind w:firstLine="480" w:firstLineChars="200"/>
              <w:rPr>
                <w:color w:val="auto"/>
                <w:sz w:val="24"/>
                <w:szCs w:val="24"/>
                <w:highlight w:val="yellow"/>
              </w:rPr>
            </w:pPr>
            <w:r>
              <w:rPr>
                <w:rFonts w:hint="eastAsia"/>
                <w:color w:val="auto"/>
                <w:sz w:val="24"/>
                <w:szCs w:val="24"/>
                <w:highlight w:val="none"/>
              </w:rPr>
              <w:t>实施耕地“三位一体”保护，严格划定耕地和永久基本农田，保护坝区长期稳定利用耕地，全面推进高标准农田建设。严守生态保护红线，锚固“四湖一屏一带、两廊多点”的生态安全格局，深入推进“湖泊革命”，加强“四湖”流域空间管控，推动高原湖泊水环境、水生态持续好转，筑牢云南哀牢山一元江河谷山地生态屏障，提升水土保持、水源涵养及生物多样性维护水平，增加生态系统碳汇能力。按照集约适度、绿色发展要求，合理划定城镇开发边界，重点提升中心城区、县城、园区的发展质量，推动坝区土地集约高效利用。</w:t>
            </w:r>
          </w:p>
          <w:p w14:paraId="6694D44F">
            <w:pPr>
              <w:spacing w:line="360" w:lineRule="auto"/>
              <w:jc w:val="center"/>
              <w:rPr>
                <w:rFonts w:hint="eastAsia"/>
                <w:b/>
                <w:bCs/>
                <w:color w:val="auto"/>
                <w:sz w:val="24"/>
                <w:szCs w:val="24"/>
                <w:highlight w:val="none"/>
              </w:rPr>
            </w:pPr>
            <w:r>
              <w:rPr>
                <w:rFonts w:hint="eastAsia"/>
                <w:b/>
                <w:bCs/>
                <w:color w:val="auto"/>
                <w:sz w:val="24"/>
                <w:szCs w:val="24"/>
                <w:highlight w:val="none"/>
              </w:rPr>
              <w:t>第三章</w:t>
            </w:r>
            <w:r>
              <w:rPr>
                <w:rFonts w:hint="eastAsia"/>
                <w:b/>
                <w:bCs/>
                <w:color w:val="auto"/>
                <w:sz w:val="24"/>
                <w:szCs w:val="24"/>
                <w:highlight w:val="none"/>
                <w:lang w:val="en-US" w:eastAsia="zh-CN"/>
              </w:rPr>
              <w:t xml:space="preserve"> </w:t>
            </w:r>
            <w:r>
              <w:rPr>
                <w:rFonts w:hint="eastAsia"/>
                <w:b/>
                <w:bCs/>
                <w:color w:val="auto"/>
                <w:sz w:val="24"/>
                <w:szCs w:val="24"/>
                <w:highlight w:val="none"/>
              </w:rPr>
              <w:t>夯实三区三线，优化国土空间开发保护格局</w:t>
            </w:r>
          </w:p>
          <w:p w14:paraId="20E18EA8">
            <w:pPr>
              <w:spacing w:line="360" w:lineRule="auto"/>
              <w:jc w:val="center"/>
              <w:rPr>
                <w:rFonts w:hint="eastAsia" w:eastAsia="宋体"/>
                <w:b/>
                <w:bCs/>
                <w:color w:val="auto"/>
                <w:sz w:val="24"/>
                <w:szCs w:val="24"/>
                <w:highlight w:val="none"/>
                <w:lang w:eastAsia="zh-CN"/>
              </w:rPr>
            </w:pPr>
            <w:r>
              <w:rPr>
                <w:rFonts w:hint="eastAsia"/>
                <w:b/>
                <w:bCs/>
                <w:color w:val="auto"/>
                <w:sz w:val="24"/>
                <w:szCs w:val="24"/>
                <w:highlight w:val="none"/>
              </w:rPr>
              <w:t xml:space="preserve">第二节 </w:t>
            </w:r>
            <w:r>
              <w:rPr>
                <w:rFonts w:hint="eastAsia"/>
                <w:b/>
                <w:bCs/>
                <w:color w:val="auto"/>
                <w:sz w:val="24"/>
                <w:szCs w:val="24"/>
                <w:highlight w:val="none"/>
                <w:lang w:val="en-US" w:eastAsia="zh-CN"/>
              </w:rPr>
              <w:t>细化</w:t>
            </w:r>
            <w:r>
              <w:rPr>
                <w:rFonts w:hint="eastAsia"/>
                <w:b/>
                <w:bCs/>
                <w:color w:val="auto"/>
                <w:sz w:val="24"/>
                <w:szCs w:val="24"/>
                <w:highlight w:val="none"/>
              </w:rPr>
              <w:t>落实主体功能区</w:t>
            </w:r>
            <w:r>
              <w:rPr>
                <w:rFonts w:hint="eastAsia"/>
                <w:b/>
                <w:bCs/>
                <w:color w:val="auto"/>
                <w:sz w:val="24"/>
                <w:szCs w:val="24"/>
                <w:highlight w:val="none"/>
                <w:lang w:val="en-US" w:eastAsia="zh-CN"/>
              </w:rPr>
              <w:t>战略</w:t>
            </w:r>
          </w:p>
          <w:p w14:paraId="73DE9C97">
            <w:pPr>
              <w:spacing w:line="360" w:lineRule="auto"/>
              <w:ind w:firstLine="480" w:firstLineChars="200"/>
              <w:rPr>
                <w:color w:val="auto"/>
                <w:sz w:val="24"/>
                <w:szCs w:val="24"/>
                <w:highlight w:val="none"/>
              </w:rPr>
            </w:pPr>
            <w:r>
              <w:rPr>
                <w:rFonts w:hint="eastAsia"/>
                <w:color w:val="auto"/>
                <w:sz w:val="24"/>
                <w:szCs w:val="24"/>
                <w:highlight w:val="none"/>
              </w:rPr>
              <w:t>第1</w:t>
            </w:r>
            <w:r>
              <w:rPr>
                <w:rFonts w:hint="eastAsia"/>
                <w:color w:val="auto"/>
                <w:sz w:val="24"/>
                <w:szCs w:val="24"/>
                <w:highlight w:val="none"/>
                <w:lang w:val="en-US" w:eastAsia="zh-CN"/>
              </w:rPr>
              <w:t>6</w:t>
            </w:r>
            <w:r>
              <w:rPr>
                <w:rFonts w:hint="eastAsia"/>
                <w:color w:val="auto"/>
                <w:sz w:val="24"/>
                <w:szCs w:val="24"/>
                <w:highlight w:val="none"/>
              </w:rPr>
              <w:t>条 细化主体功能分区</w:t>
            </w:r>
          </w:p>
          <w:p w14:paraId="4E75F3B1">
            <w:pPr>
              <w:spacing w:line="360" w:lineRule="auto"/>
              <w:ind w:firstLine="480" w:firstLineChars="200"/>
              <w:outlineLvl w:val="4"/>
              <w:rPr>
                <w:rFonts w:hint="eastAsia"/>
                <w:color w:val="auto"/>
                <w:sz w:val="24"/>
                <w:szCs w:val="24"/>
                <w:highlight w:val="none"/>
              </w:rPr>
            </w:pPr>
            <w:r>
              <w:rPr>
                <w:rFonts w:hint="eastAsia"/>
                <w:color w:val="auto"/>
                <w:sz w:val="24"/>
                <w:szCs w:val="24"/>
                <w:highlight w:val="none"/>
              </w:rPr>
              <w:t>严格落实上位规划主体功能定位。按照《云南省国土空间规划</w:t>
            </w:r>
            <w:r>
              <w:rPr>
                <w:rFonts w:hint="eastAsia"/>
                <w:color w:val="auto"/>
                <w:sz w:val="24"/>
                <w:szCs w:val="24"/>
                <w:highlight w:val="none"/>
                <w:lang w:eastAsia="zh-CN"/>
              </w:rPr>
              <w:t>（</w:t>
            </w:r>
            <w:r>
              <w:rPr>
                <w:rFonts w:hint="eastAsia"/>
                <w:color w:val="auto"/>
                <w:sz w:val="24"/>
                <w:szCs w:val="24"/>
                <w:highlight w:val="none"/>
              </w:rPr>
              <w:t>2021-2035年</w:t>
            </w:r>
            <w:r>
              <w:rPr>
                <w:rFonts w:hint="eastAsia"/>
                <w:color w:val="auto"/>
                <w:sz w:val="24"/>
                <w:szCs w:val="24"/>
                <w:highlight w:val="none"/>
                <w:lang w:eastAsia="zh-CN"/>
              </w:rPr>
              <w:t>）</w:t>
            </w:r>
            <w:r>
              <w:rPr>
                <w:rFonts w:hint="eastAsia"/>
                <w:color w:val="auto"/>
                <w:sz w:val="24"/>
                <w:szCs w:val="24"/>
                <w:highlight w:val="none"/>
              </w:rPr>
              <w:t>》确定的主体功能定位，玉溪市新平彝族傣族自治县、元江哈尼族彝族傣族自治县为国家级农产品主产区，江川区、澄江市、通海县、华宁县为国家级重点生态功能区，红塔区、易门县、峨山彝族自治县为国家级城市化地区。</w:t>
            </w:r>
          </w:p>
          <w:p w14:paraId="78AB5284">
            <w:pPr>
              <w:spacing w:line="360" w:lineRule="auto"/>
              <w:ind w:firstLine="480" w:firstLineChars="200"/>
              <w:outlineLvl w:val="4"/>
              <w:rPr>
                <w:rFonts w:hint="eastAsia"/>
                <w:color w:val="auto"/>
                <w:sz w:val="24"/>
                <w:szCs w:val="24"/>
                <w:highlight w:val="none"/>
              </w:rPr>
            </w:pPr>
            <w:r>
              <w:rPr>
                <w:rFonts w:hint="eastAsia"/>
                <w:color w:val="auto"/>
                <w:sz w:val="24"/>
                <w:szCs w:val="24"/>
                <w:highlight w:val="none"/>
              </w:rPr>
              <w:t>深化乡镇、街道主体功能定位。立足资源禀赋和经济社会发展实际，以乡镇、街道为单元深化主体功能定位。将甸中镇、戛洒镇、那诺乡等21个乡镇优先划定为农产品主产区。将龙街街道、路居镇、高大傣族彝族乡等21个街道和乡镇协调划定为重点生态功能区。将玉兴街道、龙泉街道、化念镇等34个街道和乡镇协调划定为城市化地区。除特殊说明外，原则上经批准设立的各级各类园区、开发区、化工园区、产业集聚区在通过环境影响评估和生态环境部门审查后可按城市化地区管理。</w:t>
            </w:r>
          </w:p>
          <w:p w14:paraId="28C34D9D">
            <w:pPr>
              <w:spacing w:line="360" w:lineRule="auto"/>
              <w:ind w:firstLine="480" w:firstLineChars="200"/>
              <w:outlineLvl w:val="4"/>
              <w:rPr>
                <w:rFonts w:hint="eastAsia"/>
                <w:color w:val="auto"/>
                <w:sz w:val="24"/>
                <w:szCs w:val="24"/>
                <w:highlight w:val="yellow"/>
              </w:rPr>
            </w:pPr>
            <w:r>
              <w:rPr>
                <w:rFonts w:hint="eastAsia"/>
                <w:color w:val="auto"/>
                <w:sz w:val="24"/>
                <w:szCs w:val="24"/>
                <w:highlight w:val="none"/>
              </w:rPr>
              <w:t>“四湖”流域内的城市化地区应以社区和村庄为单元，落实高原湖泊“两线三区”、“三线一单”等管控要求。江川区星云街道、宁海街道、前卫镇，澄江市凤麓街道、九村镇，通海县秀山街道、九龙街道应严格落实“四湖”生态保护管控要求。对于江川区星云街道河咀社区、宁海街道大庄社区、海浒社区、大营社区、前卫镇杨家咀村、渔村村、后卫村、小街村，通海县秀山街道金山社区、六一社区、长河社区、大树社区、万家社区、黄龙社区、东村社区等15个涉及湖滨生态红线和湖泊生态黄线的村庄</w:t>
            </w:r>
            <w:r>
              <w:rPr>
                <w:rFonts w:hint="eastAsia"/>
                <w:color w:val="auto"/>
                <w:sz w:val="24"/>
                <w:szCs w:val="24"/>
                <w:highlight w:val="none"/>
                <w:lang w:eastAsia="zh-CN"/>
              </w:rPr>
              <w:t>（</w:t>
            </w:r>
            <w:r>
              <w:rPr>
                <w:rFonts w:hint="eastAsia"/>
                <w:color w:val="auto"/>
                <w:sz w:val="24"/>
                <w:szCs w:val="24"/>
                <w:highlight w:val="none"/>
              </w:rPr>
              <w:t>社区</w:t>
            </w:r>
            <w:r>
              <w:rPr>
                <w:rFonts w:hint="eastAsia"/>
                <w:color w:val="auto"/>
                <w:sz w:val="24"/>
                <w:szCs w:val="24"/>
                <w:highlight w:val="none"/>
                <w:lang w:eastAsia="zh-CN"/>
              </w:rPr>
              <w:t>）</w:t>
            </w:r>
            <w:r>
              <w:rPr>
                <w:rFonts w:hint="eastAsia"/>
                <w:color w:val="auto"/>
                <w:sz w:val="24"/>
                <w:szCs w:val="24"/>
                <w:highlight w:val="none"/>
              </w:rPr>
              <w:t>，应严格落实生态保护核心区、生态保护缓冲区的管控要求，按照重点生态功能区进行管理，并由下位规划予以落实。</w:t>
            </w:r>
          </w:p>
          <w:p w14:paraId="707B104C">
            <w:pPr>
              <w:spacing w:line="360" w:lineRule="auto"/>
              <w:ind w:firstLine="482" w:firstLineChars="200"/>
              <w:outlineLvl w:val="4"/>
              <w:rPr>
                <w:b/>
                <w:bCs/>
                <w:color w:val="auto"/>
                <w:sz w:val="24"/>
                <w:szCs w:val="24"/>
                <w:highlight w:val="none"/>
              </w:rPr>
            </w:pPr>
            <w:r>
              <w:rPr>
                <w:rFonts w:hint="eastAsia"/>
                <w:b/>
                <w:bCs/>
                <w:color w:val="auto"/>
                <w:sz w:val="24"/>
                <w:szCs w:val="24"/>
                <w:highlight w:val="none"/>
              </w:rPr>
              <w:t>（2）符合性分析</w:t>
            </w:r>
          </w:p>
          <w:p w14:paraId="7FC2BEA4">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本次环评引用已发布实施的</w:t>
            </w:r>
            <w:r>
              <w:rPr>
                <w:rFonts w:hint="eastAsia"/>
                <w:color w:val="auto"/>
                <w:sz w:val="24"/>
                <w:szCs w:val="24"/>
                <w:highlight w:val="none"/>
                <w:lang w:val="en-US" w:eastAsia="zh-CN"/>
              </w:rPr>
              <w:t>新平</w:t>
            </w:r>
            <w:r>
              <w:rPr>
                <w:rFonts w:hint="eastAsia"/>
                <w:color w:val="auto"/>
                <w:sz w:val="24"/>
                <w:szCs w:val="24"/>
                <w:highlight w:val="none"/>
              </w:rPr>
              <w:t>县“三区三线”划定成果进行分析。</w:t>
            </w:r>
            <w:r>
              <w:rPr>
                <w:rFonts w:hint="eastAsia"/>
                <w:color w:val="auto"/>
                <w:sz w:val="24"/>
                <w:szCs w:val="24"/>
                <w:highlight w:val="none"/>
                <w:lang w:val="en-US" w:eastAsia="zh-CN"/>
              </w:rPr>
              <w:t>根据新平县自然资源局于2026年3月9日出具的《永久基本农田审查意见表》：项目不涉及占用永久基本农田。根据新平县自然资源局于2026年3月9日出具的《关于玉溪大红山矿业民用爆炸物品储存库建设项目是否占用新平县生态保护红线的查询结果》，项目用地不涉及占用新平县生态保护红线，位于优化后城镇开发边界外，未占用耕地后备资源，未占用耕地后备资源补充空间。</w:t>
            </w:r>
          </w:p>
          <w:p w14:paraId="56BBDB60">
            <w:pPr>
              <w:spacing w:line="360" w:lineRule="auto"/>
              <w:ind w:firstLine="480" w:firstLineChars="200"/>
              <w:rPr>
                <w:color w:val="auto"/>
                <w:sz w:val="24"/>
                <w:szCs w:val="24"/>
                <w:highlight w:val="none"/>
              </w:rPr>
            </w:pPr>
            <w:r>
              <w:rPr>
                <w:rFonts w:hint="eastAsia"/>
                <w:color w:val="auto"/>
                <w:sz w:val="24"/>
                <w:szCs w:val="24"/>
                <w:highlight w:val="none"/>
              </w:rPr>
              <w:t>本项目位于玉溪市新平县戛洒镇米尺莫村委会哈母白租村民小组，</w:t>
            </w:r>
            <w:r>
              <w:rPr>
                <w:rFonts w:hint="eastAsia"/>
                <w:color w:val="auto"/>
                <w:sz w:val="24"/>
                <w:szCs w:val="24"/>
                <w:highlight w:val="none"/>
                <w:lang w:val="en-US" w:eastAsia="zh-CN"/>
              </w:rPr>
              <w:t>不在城镇开发边界内，与</w:t>
            </w:r>
            <w:r>
              <w:rPr>
                <w:rFonts w:hint="eastAsia"/>
                <w:color w:val="auto"/>
                <w:sz w:val="24"/>
                <w:szCs w:val="24"/>
                <w:highlight w:val="none"/>
              </w:rPr>
              <w:t>《</w:t>
            </w:r>
            <w:r>
              <w:rPr>
                <w:rFonts w:hint="eastAsia"/>
                <w:color w:val="auto"/>
                <w:sz w:val="24"/>
                <w:szCs w:val="24"/>
                <w:highlight w:val="none"/>
                <w:lang w:val="en-US" w:eastAsia="zh-CN"/>
              </w:rPr>
              <w:t>玉溪</w:t>
            </w:r>
            <w:r>
              <w:rPr>
                <w:rFonts w:hint="eastAsia"/>
                <w:color w:val="auto"/>
                <w:sz w:val="24"/>
                <w:szCs w:val="24"/>
                <w:highlight w:val="none"/>
              </w:rPr>
              <w:t>市国土空间总体规划（2021-2035年）》的相关规定</w:t>
            </w:r>
            <w:r>
              <w:rPr>
                <w:rFonts w:hint="eastAsia"/>
                <w:color w:val="auto"/>
                <w:sz w:val="24"/>
                <w:szCs w:val="24"/>
                <w:highlight w:val="none"/>
                <w:lang w:val="en-US" w:eastAsia="zh-CN"/>
              </w:rPr>
              <w:t>不冲突</w:t>
            </w:r>
            <w:r>
              <w:rPr>
                <w:rFonts w:hint="eastAsia"/>
                <w:color w:val="auto"/>
                <w:sz w:val="24"/>
                <w:szCs w:val="24"/>
                <w:highlight w:val="none"/>
              </w:rPr>
              <w:t>。</w:t>
            </w:r>
          </w:p>
          <w:p w14:paraId="24BBD865">
            <w:pPr>
              <w:pStyle w:val="5"/>
              <w:numPr>
                <w:ilvl w:val="0"/>
                <w:numId w:val="1"/>
              </w:numPr>
              <w:adjustRightInd w:val="0"/>
              <w:snapToGrid w:val="0"/>
              <w:rPr>
                <w:rFonts w:hint="eastAsia" w:cs="Times New Roman"/>
                <w:color w:val="auto"/>
                <w:sz w:val="24"/>
                <w:lang w:val="en-US" w:eastAsia="zh-CN"/>
              </w:rPr>
            </w:pPr>
            <w:r>
              <w:rPr>
                <w:rFonts w:hint="eastAsia" w:cs="Times New Roman"/>
                <w:color w:val="auto"/>
                <w:sz w:val="24"/>
                <w:lang w:val="en-US" w:eastAsia="zh-CN"/>
              </w:rPr>
              <w:t>与《新平县国土空间总体规划（2021-2035年）》的协调性分析</w:t>
            </w:r>
          </w:p>
          <w:p w14:paraId="7585E2B5">
            <w:pPr>
              <w:spacing w:line="360" w:lineRule="auto"/>
              <w:ind w:firstLine="482" w:firstLineChars="200"/>
              <w:outlineLvl w:val="4"/>
              <w:rPr>
                <w:b/>
                <w:bCs/>
                <w:color w:val="auto"/>
                <w:sz w:val="24"/>
                <w:szCs w:val="24"/>
                <w:highlight w:val="none"/>
              </w:rPr>
            </w:pPr>
            <w:r>
              <w:rPr>
                <w:rFonts w:hint="eastAsia"/>
                <w:b/>
                <w:bCs/>
                <w:color w:val="auto"/>
                <w:sz w:val="24"/>
                <w:szCs w:val="24"/>
                <w:highlight w:val="none"/>
              </w:rPr>
              <w:t>（</w:t>
            </w:r>
            <w:r>
              <w:rPr>
                <w:b/>
                <w:bCs/>
                <w:color w:val="auto"/>
                <w:sz w:val="24"/>
                <w:szCs w:val="24"/>
                <w:highlight w:val="none"/>
              </w:rPr>
              <w:t>1</w:t>
            </w:r>
            <w:r>
              <w:rPr>
                <w:rFonts w:hint="eastAsia"/>
                <w:b/>
                <w:bCs/>
                <w:color w:val="auto"/>
                <w:sz w:val="24"/>
                <w:szCs w:val="24"/>
                <w:highlight w:val="none"/>
              </w:rPr>
              <w:t>）相关内容概述</w:t>
            </w:r>
          </w:p>
          <w:p w14:paraId="1584863A">
            <w:pPr>
              <w:spacing w:line="360" w:lineRule="auto"/>
              <w:ind w:firstLine="480" w:firstLineChars="200"/>
              <w:rPr>
                <w:rFonts w:hint="default"/>
                <w:color w:val="auto"/>
                <w:sz w:val="24"/>
                <w:szCs w:val="24"/>
                <w:highlight w:val="none"/>
                <w:lang w:val="en-US"/>
              </w:rPr>
            </w:pPr>
            <w:r>
              <w:rPr>
                <w:rFonts w:hint="eastAsia" w:cs="Times New Roman"/>
                <w:color w:val="auto"/>
                <w:sz w:val="24"/>
                <w:szCs w:val="24"/>
                <w:lang w:val="en-US" w:eastAsia="zh-CN"/>
              </w:rPr>
              <w:t>《新平县国土空间总体规划（2021-2035年）》的规划期限为2021-2035年，近期目标年为2025年，远景目标年为2035年，远景展望至2050年。规划范围为新平县全域，面积4267.03平方公里。</w:t>
            </w:r>
          </w:p>
          <w:p w14:paraId="0E8D5E1C">
            <w:pPr>
              <w:spacing w:line="360" w:lineRule="auto"/>
              <w:ind w:firstLine="482" w:firstLineChars="200"/>
              <w:outlineLvl w:val="4"/>
              <w:rPr>
                <w:rFonts w:hint="eastAsia"/>
                <w:color w:val="auto"/>
                <w:sz w:val="24"/>
                <w:szCs w:val="24"/>
                <w:highlight w:val="none"/>
              </w:rPr>
            </w:pPr>
            <w:r>
              <w:rPr>
                <w:rFonts w:hint="eastAsia"/>
                <w:b/>
                <w:bCs/>
                <w:color w:val="auto"/>
                <w:sz w:val="24"/>
                <w:szCs w:val="24"/>
                <w:highlight w:val="none"/>
              </w:rPr>
              <w:t>（2）符合性分析</w:t>
            </w:r>
          </w:p>
          <w:p w14:paraId="308B15FF">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本次环评引用已发布实施的</w:t>
            </w:r>
            <w:r>
              <w:rPr>
                <w:rFonts w:hint="eastAsia"/>
                <w:color w:val="auto"/>
                <w:sz w:val="24"/>
                <w:szCs w:val="24"/>
                <w:highlight w:val="none"/>
                <w:lang w:val="en-US" w:eastAsia="zh-CN"/>
              </w:rPr>
              <w:t>新平</w:t>
            </w:r>
            <w:r>
              <w:rPr>
                <w:rFonts w:hint="eastAsia"/>
                <w:color w:val="auto"/>
                <w:sz w:val="24"/>
                <w:szCs w:val="24"/>
                <w:highlight w:val="none"/>
              </w:rPr>
              <w:t>县“三区三线”划定成果进行分析。</w:t>
            </w:r>
            <w:r>
              <w:rPr>
                <w:rFonts w:hint="eastAsia"/>
                <w:color w:val="auto"/>
                <w:sz w:val="24"/>
                <w:szCs w:val="24"/>
                <w:highlight w:val="none"/>
                <w:lang w:val="en-US" w:eastAsia="zh-CN"/>
              </w:rPr>
              <w:t>根据新平县自然资源局于2026年3月9日出具的《永久基本农田审查意见表》：项目不涉及占用永久基本农田。根据新平县自然资源局于2026年3月9日出具的《关于玉溪大红山矿业民用爆炸物品储存库建设项目是否占用新平县生态保护红线的查询结果》，项目用地不涉及占用新平县生态保护红线，位于优化后城镇开发边界外，未占用耕地后备资源，未占用耕地后备资源补充空间。</w:t>
            </w:r>
          </w:p>
          <w:p w14:paraId="5757B123">
            <w:pPr>
              <w:spacing w:line="360" w:lineRule="auto"/>
              <w:ind w:firstLine="480" w:firstLineChars="200"/>
              <w:rPr>
                <w:rFonts w:hint="eastAsia"/>
                <w:color w:val="auto"/>
                <w:sz w:val="24"/>
                <w:szCs w:val="24"/>
                <w:lang w:val="en-US" w:eastAsia="zh-CN"/>
              </w:rPr>
            </w:pPr>
            <w:r>
              <w:rPr>
                <w:rFonts w:hint="eastAsia"/>
                <w:color w:val="auto"/>
                <w:sz w:val="24"/>
                <w:szCs w:val="24"/>
                <w:highlight w:val="none"/>
              </w:rPr>
              <w:t>本项目位于玉溪市新平县戛洒镇米尺莫村委会哈母白租村民小组，</w:t>
            </w:r>
            <w:r>
              <w:rPr>
                <w:rFonts w:hint="eastAsia"/>
                <w:color w:val="auto"/>
                <w:sz w:val="24"/>
                <w:szCs w:val="24"/>
                <w:highlight w:val="none"/>
                <w:lang w:val="en-US" w:eastAsia="zh-CN"/>
              </w:rPr>
              <w:t>不在城镇开发边界内，与</w:t>
            </w:r>
            <w:r>
              <w:rPr>
                <w:rFonts w:hint="eastAsia"/>
                <w:color w:val="auto"/>
                <w:sz w:val="24"/>
                <w:szCs w:val="24"/>
                <w:highlight w:val="none"/>
              </w:rPr>
              <w:t>《</w:t>
            </w:r>
            <w:r>
              <w:rPr>
                <w:rFonts w:hint="eastAsia"/>
                <w:color w:val="auto"/>
                <w:sz w:val="24"/>
                <w:szCs w:val="24"/>
                <w:highlight w:val="none"/>
                <w:lang w:val="en-US" w:eastAsia="zh-CN"/>
              </w:rPr>
              <w:t>新平县</w:t>
            </w:r>
            <w:r>
              <w:rPr>
                <w:rFonts w:hint="eastAsia"/>
                <w:color w:val="auto"/>
                <w:sz w:val="24"/>
                <w:szCs w:val="24"/>
                <w:highlight w:val="none"/>
              </w:rPr>
              <w:t>国土空间总体规划（2021-2035年）》的相关规定</w:t>
            </w:r>
            <w:r>
              <w:rPr>
                <w:rFonts w:hint="eastAsia"/>
                <w:color w:val="auto"/>
                <w:sz w:val="24"/>
                <w:szCs w:val="24"/>
                <w:highlight w:val="none"/>
                <w:lang w:val="en-US" w:eastAsia="zh-CN"/>
              </w:rPr>
              <w:t>不冲突</w:t>
            </w:r>
            <w:r>
              <w:rPr>
                <w:rFonts w:hint="eastAsia"/>
                <w:color w:val="auto"/>
                <w:sz w:val="24"/>
                <w:szCs w:val="24"/>
                <w:highlight w:val="none"/>
              </w:rPr>
              <w:t>。</w:t>
            </w:r>
          </w:p>
          <w:p w14:paraId="6E6F7C19">
            <w:pPr>
              <w:pStyle w:val="5"/>
              <w:adjustRightInd w:val="0"/>
              <w:snapToGrid w:val="0"/>
              <w:rPr>
                <w:rFonts w:hint="default" w:ascii="Times New Roman" w:hAnsi="Times New Roman" w:cs="Times New Roman"/>
                <w:color w:val="auto"/>
                <w:sz w:val="24"/>
              </w:rPr>
            </w:pPr>
            <w:r>
              <w:rPr>
                <w:rFonts w:hint="eastAsia" w:cs="Times New Roman"/>
                <w:color w:val="auto"/>
                <w:sz w:val="24"/>
                <w:lang w:val="en-US" w:eastAsia="zh-CN"/>
              </w:rPr>
              <w:t>4、</w:t>
            </w:r>
            <w:r>
              <w:rPr>
                <w:rFonts w:hint="default" w:ascii="Times New Roman" w:hAnsi="Times New Roman" w:cs="Times New Roman"/>
                <w:color w:val="auto"/>
                <w:sz w:val="24"/>
              </w:rPr>
              <w:t>与《云南省生态功能区划》相符性分析</w:t>
            </w:r>
          </w:p>
          <w:p w14:paraId="45F8BF4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根据《云南省生态功能区划》，项目区生态功能区为III1-5绿汁江河谷水土保持与综合整治生态功能区；所在区域为易门、峨山、双柏、新平等县的河谷地带，面积5172.51平方公里；主要生态特征</w:t>
            </w:r>
            <w:r>
              <w:rPr>
                <w:rFonts w:hint="eastAsia" w:cs="Times New Roman"/>
                <w:color w:val="auto"/>
                <w:sz w:val="24"/>
                <w:lang w:val="en-US" w:eastAsia="zh-CN"/>
              </w:rPr>
              <w:t>大部地区为中山河谷地貌。降雨量800-1000毫米，现存植被以云南松林为主，土壤以紫色土为主</w:t>
            </w:r>
            <w:r>
              <w:rPr>
                <w:rFonts w:hint="default" w:ascii="Times New Roman" w:hAnsi="Times New Roman" w:cs="Times New Roman"/>
                <w:color w:val="auto"/>
                <w:sz w:val="24"/>
              </w:rPr>
              <w:t>；主要生态环境问题为不合理的土地利用带来的水土流失严重；生态环境敏感性为</w:t>
            </w:r>
            <w:r>
              <w:rPr>
                <w:rFonts w:hint="eastAsia" w:cs="Times New Roman"/>
                <w:color w:val="auto"/>
                <w:sz w:val="24"/>
                <w:lang w:val="en-US" w:eastAsia="zh-CN"/>
              </w:rPr>
              <w:t>土壤侵蚀高度敏感</w:t>
            </w:r>
            <w:r>
              <w:rPr>
                <w:rFonts w:hint="default" w:ascii="Times New Roman" w:hAnsi="Times New Roman" w:cs="Times New Roman"/>
                <w:color w:val="auto"/>
                <w:sz w:val="24"/>
              </w:rPr>
              <w:t>；主要生态系统服务功能为水土流失严重地区的综合整治；保护措施与发展方向为工程治理与生物治理相结合，改造水土流失严重地区的生态环境，加大封山育林的强度，调整土地利用方式，发展多种经营。</w:t>
            </w:r>
          </w:p>
          <w:p w14:paraId="72CF95F5">
            <w:pPr>
              <w:widowControl/>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kern w:val="0"/>
                <w:sz w:val="24"/>
              </w:rPr>
              <w:t>本项目</w:t>
            </w:r>
            <w:r>
              <w:rPr>
                <w:rFonts w:hint="eastAsia" w:cs="Times New Roman"/>
                <w:bCs/>
                <w:color w:val="auto"/>
                <w:kern w:val="0"/>
                <w:sz w:val="24"/>
                <w:lang w:val="en-US" w:eastAsia="zh-CN"/>
              </w:rPr>
              <w:t>在</w:t>
            </w:r>
            <w:r>
              <w:rPr>
                <w:rFonts w:hint="default" w:ascii="Times New Roman" w:hAnsi="Times New Roman" w:cs="Times New Roman"/>
                <w:bCs/>
                <w:color w:val="auto"/>
                <w:kern w:val="0"/>
                <w:sz w:val="24"/>
              </w:rPr>
              <w:t>玉溪大红山矿业有限公司铁矿</w:t>
            </w:r>
            <w:r>
              <w:rPr>
                <w:rFonts w:hint="eastAsia" w:cs="Times New Roman"/>
                <w:bCs/>
                <w:color w:val="auto"/>
                <w:kern w:val="0"/>
                <w:sz w:val="24"/>
                <w:lang w:val="en-US" w:eastAsia="zh-CN"/>
              </w:rPr>
              <w:t>现有工业用地上建设</w:t>
            </w:r>
            <w:r>
              <w:rPr>
                <w:rFonts w:hint="default" w:ascii="Times New Roman" w:hAnsi="Times New Roman" w:cs="Times New Roman"/>
                <w:bCs/>
                <w:color w:val="auto"/>
                <w:kern w:val="0"/>
                <w:sz w:val="24"/>
              </w:rPr>
              <w:t>，废气主要为运输车辆产生的车辆废气和扬尘；</w:t>
            </w:r>
            <w:r>
              <w:rPr>
                <w:rFonts w:hint="eastAsia" w:cs="Times New Roman"/>
                <w:bCs/>
                <w:color w:val="auto"/>
                <w:kern w:val="0"/>
                <w:sz w:val="24"/>
                <w:lang w:val="en-US" w:eastAsia="zh-CN"/>
              </w:rPr>
              <w:t>无</w:t>
            </w:r>
            <w:r>
              <w:rPr>
                <w:rFonts w:hint="default" w:ascii="Times New Roman" w:hAnsi="Times New Roman" w:cs="Times New Roman"/>
                <w:bCs/>
                <w:color w:val="auto"/>
                <w:kern w:val="0"/>
                <w:sz w:val="24"/>
              </w:rPr>
              <w:t>生产废水</w:t>
            </w:r>
            <w:r>
              <w:rPr>
                <w:rFonts w:hint="eastAsia" w:cs="Times New Roman"/>
                <w:bCs/>
                <w:color w:val="auto"/>
                <w:kern w:val="0"/>
                <w:sz w:val="24"/>
                <w:lang w:val="en-US" w:eastAsia="zh-CN"/>
              </w:rPr>
              <w:t>产生</w:t>
            </w:r>
            <w:r>
              <w:rPr>
                <w:rFonts w:hint="eastAsia" w:cs="Times New Roman"/>
                <w:bCs/>
                <w:color w:val="auto"/>
                <w:kern w:val="0"/>
                <w:sz w:val="24"/>
                <w:lang w:eastAsia="zh-CN"/>
              </w:rPr>
              <w:t>，</w:t>
            </w:r>
            <w:r>
              <w:rPr>
                <w:rFonts w:hint="default" w:ascii="Times New Roman" w:hAnsi="Times New Roman" w:cs="Times New Roman"/>
                <w:bCs/>
                <w:color w:val="auto"/>
                <w:kern w:val="0"/>
                <w:sz w:val="24"/>
              </w:rPr>
              <w:t>生活污水</w:t>
            </w:r>
            <w:r>
              <w:rPr>
                <w:rFonts w:hint="eastAsia" w:cs="Times New Roman"/>
                <w:bCs/>
                <w:color w:val="auto"/>
                <w:kern w:val="0"/>
                <w:sz w:val="24"/>
                <w:lang w:val="en-US" w:eastAsia="zh-CN"/>
              </w:rPr>
              <w:t>经化粪池收集后运至玉溪大红山矿业有限公司现有的生活污水处理站处理达《城市污水再生利用  城市杂用水水质》（GB/T18920-2</w:t>
            </w:r>
            <w:bookmarkStart w:id="71" w:name="_GoBack"/>
            <w:bookmarkEnd w:id="71"/>
            <w:r>
              <w:rPr>
                <w:rFonts w:hint="eastAsia" w:cs="Times New Roman"/>
                <w:bCs/>
                <w:color w:val="auto"/>
                <w:kern w:val="0"/>
                <w:sz w:val="24"/>
                <w:lang w:val="en-US" w:eastAsia="zh-CN"/>
              </w:rPr>
              <w:t>020）表1中绿化、道路清扫标准限值要求后回用于矿山洒水降尘，不外排；</w:t>
            </w:r>
            <w:r>
              <w:rPr>
                <w:rFonts w:hint="default" w:ascii="Times New Roman" w:hAnsi="Times New Roman" w:cs="Times New Roman"/>
                <w:bCs/>
                <w:color w:val="auto"/>
                <w:kern w:val="0"/>
                <w:sz w:val="24"/>
              </w:rPr>
              <w:t>固废合理处置。因此，项目的建设不违反云南省生态功能区划中确定的保护措施和发展方向，总体上符合《云南省生态功能区划》的要求。</w:t>
            </w:r>
          </w:p>
          <w:bookmarkEnd w:id="9"/>
          <w:p w14:paraId="20B8BF8F">
            <w:pPr>
              <w:pStyle w:val="5"/>
              <w:adjustRightInd w:val="0"/>
              <w:snapToGrid w:val="0"/>
              <w:rPr>
                <w:rFonts w:hint="default" w:ascii="Times New Roman" w:hAnsi="Times New Roman" w:cs="Times New Roman"/>
                <w:color w:val="auto"/>
                <w:sz w:val="24"/>
              </w:rPr>
            </w:pPr>
            <w:r>
              <w:rPr>
                <w:rFonts w:hint="eastAsia" w:cs="Times New Roman"/>
                <w:color w:val="auto"/>
                <w:sz w:val="24"/>
                <w:lang w:val="en-US" w:eastAsia="zh-CN"/>
              </w:rPr>
              <w:t>5</w:t>
            </w:r>
            <w:r>
              <w:rPr>
                <w:rFonts w:hint="default" w:ascii="Times New Roman" w:hAnsi="Times New Roman" w:cs="Times New Roman"/>
                <w:color w:val="auto"/>
                <w:sz w:val="24"/>
              </w:rPr>
              <w:t>、与玉溪市生态环境分区管控要求的符合性分析</w:t>
            </w:r>
          </w:p>
          <w:p w14:paraId="6A99859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认真贯彻落实国家部署要求，云南省生态环境厅组织开展了州（市）生态环境分区管控动态更新工作，并汇总各州（市）成果，编制了《云南省2023年生态环境分区管控成果动态更新备案材料》，经省人民政府同意上报生态环境部，目前已通过国家备案，收到正式反馈的分区管控成果矢量数据，并赋予了国家标识码。2024年4月28日，云南省生态环境厅下发了《关于发布州（市）生态环境分区管控动态更新成果的函》（云环函〔2024〕147号），明确全省统一于2024年4月28日起正式应用下发的生态环境分区管控成果。2024年6月7日，玉溪市生态环境局《关于印发玉溪市生态环境分区管控动态更新调整方案（2023年）的通知》（玉市环〔2024〕40号）发布实施。</w:t>
            </w:r>
          </w:p>
          <w:p w14:paraId="1EA81934">
            <w:pPr>
              <w:pStyle w:val="18"/>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本项目与其符合性分析如下：</w:t>
            </w:r>
            <w:bookmarkStart w:id="10" w:name="OLE_LINK194"/>
          </w:p>
          <w:bookmarkEnd w:id="10"/>
          <w:p w14:paraId="31DB9DB5">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（1）生态保护红线和一般生态空间</w:t>
            </w:r>
          </w:p>
          <w:p w14:paraId="513DFCF9">
            <w:pPr>
              <w:spacing w:line="360" w:lineRule="auto"/>
              <w:ind w:firstLine="480" w:firstLineChars="200"/>
              <w:rPr>
                <w:rFonts w:hint="default" w:ascii="Times New Roman" w:hAnsi="Times New Roman" w:eastAsia="Arial" w:cs="Times New Roman"/>
                <w:snapToGrid w:val="0"/>
                <w:color w:val="auto"/>
                <w:kern w:val="0"/>
                <w:sz w:val="24"/>
                <w:szCs w:val="21"/>
              </w:rPr>
            </w:pPr>
            <w:r>
              <w:rPr>
                <w:rFonts w:hint="default" w:ascii="Times New Roman" w:hAnsi="Times New Roman" w:cs="Times New Roman"/>
                <w:color w:val="auto"/>
                <w:sz w:val="24"/>
              </w:rPr>
              <w:t>本项目位于</w:t>
            </w:r>
            <w:r>
              <w:rPr>
                <w:rFonts w:hint="default" w:ascii="Times New Roman" w:hAnsi="Times New Roman" w:cs="Times New Roman"/>
                <w:bCs/>
                <w:color w:val="auto"/>
                <w:sz w:val="24"/>
                <w:lang w:val="zh-CN"/>
              </w:rPr>
              <w:t>戛洒镇米尺莫村委会哈母白租村民小组，</w:t>
            </w:r>
            <w:r>
              <w:rPr>
                <w:rFonts w:hint="default" w:ascii="Times New Roman" w:hAnsi="Times New Roman" w:eastAsia="Arial" w:cs="Times New Roman"/>
                <w:snapToGrid w:val="0"/>
                <w:color w:val="auto"/>
                <w:kern w:val="0"/>
                <w:sz w:val="24"/>
                <w:szCs w:val="21"/>
              </w:rPr>
              <w:t>项目不在生态保护红线的自然保护地、饮用水水源保护区、重要湿地、基本草原等生态功能重要、生态环境敏感区域内，不涉及生态保护红线范围。</w:t>
            </w:r>
          </w:p>
          <w:p w14:paraId="521EBC97">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（2）环境质量底线</w:t>
            </w:r>
          </w:p>
          <w:p w14:paraId="0035C86C">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项目区周边地表水体现状水质为</w:t>
            </w:r>
            <w:r>
              <w:rPr>
                <w:rFonts w:hint="default" w:ascii="Times New Roman" w:hAnsi="Times New Roman" w:cs="Times New Roman"/>
                <w:color w:val="auto"/>
                <w:sz w:val="24"/>
              </w:rPr>
              <w:t>Ⅲ类，规划水平年水质目标</w:t>
            </w:r>
            <w:r>
              <w:rPr>
                <w:rFonts w:hint="default" w:ascii="Times New Roman" w:hAnsi="Times New Roman" w:cs="Times New Roman"/>
                <w:color w:val="auto"/>
                <w:kern w:val="0"/>
                <w:sz w:val="24"/>
              </w:rPr>
              <w:t>为</w:t>
            </w:r>
            <w:r>
              <w:rPr>
                <w:rFonts w:hint="default" w:ascii="Times New Roman" w:hAnsi="Times New Roman" w:cs="Times New Roman"/>
                <w:color w:val="auto"/>
                <w:sz w:val="24"/>
              </w:rPr>
              <w:t>Ⅲ类，根据周边地表水体的监测数据可知，</w:t>
            </w:r>
            <w:r>
              <w:rPr>
                <w:rFonts w:hint="eastAsia" w:cs="Times New Roman"/>
                <w:color w:val="auto"/>
                <w:sz w:val="24"/>
                <w:lang w:val="en-US" w:eastAsia="zh-CN"/>
              </w:rPr>
              <w:t>项目区周边地表水体</w:t>
            </w:r>
            <w:r>
              <w:rPr>
                <w:rFonts w:hint="default" w:ascii="Times New Roman" w:hAnsi="Times New Roman" w:cs="Times New Roman"/>
                <w:color w:val="auto"/>
                <w:kern w:val="0"/>
                <w:sz w:val="24"/>
              </w:rPr>
              <w:t>满足《地表水环境质量标准》（GB3838-2002）Ⅲ</w:t>
            </w:r>
            <w:r>
              <w:rPr>
                <w:rFonts w:hint="default" w:ascii="Times New Roman" w:hAnsi="Times New Roman" w:cs="Times New Roman"/>
                <w:color w:val="auto"/>
                <w:sz w:val="24"/>
              </w:rPr>
              <w:t>类标准要求，本项目</w:t>
            </w:r>
            <w:r>
              <w:rPr>
                <w:rFonts w:hint="eastAsia" w:cs="Times New Roman"/>
                <w:color w:val="auto"/>
                <w:sz w:val="24"/>
                <w:lang w:val="en-US" w:eastAsia="zh-CN"/>
              </w:rPr>
              <w:t>无</w:t>
            </w:r>
            <w:r>
              <w:rPr>
                <w:rFonts w:hint="default" w:ascii="Times New Roman" w:hAnsi="Times New Roman" w:cs="Times New Roman"/>
                <w:color w:val="auto"/>
                <w:sz w:val="24"/>
              </w:rPr>
              <w:t>生产废水</w:t>
            </w:r>
            <w:r>
              <w:rPr>
                <w:rFonts w:hint="eastAsia" w:cs="Times New Roman"/>
                <w:color w:val="auto"/>
                <w:sz w:val="24"/>
                <w:lang w:val="en-US" w:eastAsia="zh-CN"/>
              </w:rPr>
              <w:t>产生</w:t>
            </w:r>
            <w:r>
              <w:rPr>
                <w:rFonts w:hint="default" w:ascii="Times New Roman" w:hAnsi="Times New Roman" w:cs="Times New Roman"/>
                <w:color w:val="auto"/>
                <w:sz w:val="24"/>
              </w:rPr>
              <w:t>；生活污水经化粪池收集后运至玉溪大红山矿业有限公司现有的生活污水处理站处理</w:t>
            </w:r>
            <w:r>
              <w:rPr>
                <w:rFonts w:hint="eastAsia" w:cs="Times New Roman"/>
                <w:color w:val="auto"/>
                <w:sz w:val="24"/>
                <w:lang w:val="en-US" w:eastAsia="zh-CN"/>
              </w:rPr>
              <w:t>达《城市污水再生利用  城市杂用水水质》（GB/T18920-2020）</w:t>
            </w:r>
            <w:r>
              <w:rPr>
                <w:rFonts w:hint="default" w:ascii="Times New Roman" w:hAnsi="Times New Roman" w:eastAsia="宋体" w:cs="Times New Roman"/>
                <w:color w:val="auto"/>
                <w:sz w:val="24"/>
                <w:szCs w:val="24"/>
                <w:lang w:val="zh-TW" w:eastAsia="zh-TW"/>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TW" w:eastAsia="zh-TW"/>
              </w:rPr>
              <w:t>中</w:t>
            </w:r>
            <w:r>
              <w:rPr>
                <w:rFonts w:hint="eastAsia" w:ascii="Times New Roman" w:hAnsi="Times New Roman" w:eastAsia="宋体" w:cs="Times New Roman"/>
                <w:color w:val="auto"/>
                <w:sz w:val="24"/>
                <w:szCs w:val="24"/>
                <w:lang w:val="en-US" w:eastAsia="zh-CN"/>
              </w:rPr>
              <w:t>绿化、道路清扫</w:t>
            </w:r>
            <w:r>
              <w:rPr>
                <w:rFonts w:hint="default" w:ascii="Times New Roman" w:hAnsi="Times New Roman" w:eastAsia="宋体" w:cs="Times New Roman"/>
                <w:color w:val="auto"/>
                <w:sz w:val="24"/>
                <w:szCs w:val="24"/>
                <w:lang w:val="zh-TW" w:eastAsia="zh-TW"/>
              </w:rPr>
              <w:t>标准限值</w:t>
            </w:r>
            <w:r>
              <w:rPr>
                <w:rFonts w:hint="default" w:ascii="Times New Roman" w:hAnsi="Times New Roman" w:eastAsia="宋体" w:cs="Times New Roman"/>
                <w:color w:val="auto"/>
                <w:sz w:val="24"/>
                <w:szCs w:val="24"/>
                <w:lang w:val="en-US" w:eastAsia="zh-CN"/>
              </w:rPr>
              <w:t>要求</w:t>
            </w:r>
            <w:r>
              <w:rPr>
                <w:rFonts w:hint="eastAsia" w:ascii="Times New Roman" w:hAnsi="Times New Roman" w:eastAsia="宋体" w:cs="Times New Roman"/>
                <w:color w:val="auto"/>
                <w:sz w:val="24"/>
                <w:szCs w:val="24"/>
                <w:lang w:val="en-US" w:eastAsia="zh-CN"/>
              </w:rPr>
              <w:t>后回用于矿山洒水降尘，不外排</w:t>
            </w:r>
            <w:r>
              <w:rPr>
                <w:rFonts w:hint="default" w:ascii="Times New Roman" w:hAnsi="Times New Roman" w:cs="Times New Roman"/>
                <w:color w:val="auto"/>
                <w:sz w:val="24"/>
              </w:rPr>
              <w:t>，对周围地表水体的影响较小；项目选址区域为环境空气功能区二类区，执行《环境空气质量标准》（GB3095-20</w:t>
            </w:r>
            <w:r>
              <w:rPr>
                <w:rFonts w:hint="eastAsia" w:cs="Times New Roman"/>
                <w:color w:val="auto"/>
                <w:sz w:val="24"/>
                <w:lang w:val="en-US" w:eastAsia="zh-CN"/>
              </w:rPr>
              <w:t>26</w:t>
            </w:r>
            <w:r>
              <w:rPr>
                <w:rFonts w:hint="default" w:ascii="Times New Roman" w:hAnsi="Times New Roman" w:cs="Times New Roman"/>
                <w:color w:val="auto"/>
                <w:sz w:val="24"/>
              </w:rPr>
              <w:t>）二级标准，根据环境空气质量现状的监测数据，选址区域环境空气质量能够达到《环境空气质量标准》（GB3095-2012）</w:t>
            </w:r>
            <w:r>
              <w:rPr>
                <w:rFonts w:hint="eastAsia" w:cs="Times New Roman"/>
                <w:color w:val="auto"/>
                <w:sz w:val="24"/>
                <w:lang w:val="en-US" w:eastAsia="zh-CN"/>
              </w:rPr>
              <w:t>及</w:t>
            </w:r>
            <w:r>
              <w:rPr>
                <w:rFonts w:hint="default" w:ascii="Times New Roman" w:hAnsi="Times New Roman" w:cs="Times New Roman"/>
                <w:color w:val="auto"/>
                <w:sz w:val="24"/>
              </w:rPr>
              <w:t>《环境空气质量标准》（GB3095-20</w:t>
            </w:r>
            <w:r>
              <w:rPr>
                <w:rFonts w:hint="eastAsia" w:cs="Times New Roman"/>
                <w:color w:val="auto"/>
                <w:sz w:val="24"/>
                <w:lang w:val="en-US" w:eastAsia="zh-CN"/>
              </w:rPr>
              <w:t>26</w:t>
            </w:r>
            <w:r>
              <w:rPr>
                <w:rFonts w:hint="default" w:ascii="Times New Roman" w:hAnsi="Times New Roman" w:cs="Times New Roman"/>
                <w:color w:val="auto"/>
                <w:sz w:val="24"/>
              </w:rPr>
              <w:t>）二级标准要求，根据预测分析，项目采取措施后大气污染物对周围环境的影响较小。</w:t>
            </w:r>
          </w:p>
          <w:p w14:paraId="2A56895D">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综上所述，项目建设满足环境质量底线要求。</w:t>
            </w:r>
          </w:p>
          <w:p w14:paraId="54E07C1E">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（3）资源利用上线</w:t>
            </w:r>
          </w:p>
          <w:p w14:paraId="43067020">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根据“通知”，玉溪市需强化节约集约利用，持续提升资源能源利用效率，水资源、土地资源、能源消耗完成省级下达的控制目标。</w:t>
            </w:r>
          </w:p>
          <w:p w14:paraId="690864AC">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①水资源利用上线</w:t>
            </w:r>
          </w:p>
          <w:p w14:paraId="020B0DA7">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根据云南省“三线一单”要求，到2020年底，全省年用水总量控制在214.6亿立方米以内。本项目用水量</w:t>
            </w:r>
            <w:r>
              <w:rPr>
                <w:rFonts w:hint="eastAsia" w:cs="Times New Roman"/>
                <w:color w:val="auto"/>
                <w:kern w:val="0"/>
                <w:sz w:val="24"/>
                <w:lang w:val="en-US" w:eastAsia="zh-CN"/>
              </w:rPr>
              <w:t>仅为值班人员生活用水，用水量极</w:t>
            </w:r>
            <w:r>
              <w:rPr>
                <w:rFonts w:hint="default" w:ascii="Times New Roman" w:hAnsi="Times New Roman" w:cs="Times New Roman"/>
                <w:color w:val="auto"/>
                <w:kern w:val="0"/>
                <w:sz w:val="24"/>
              </w:rPr>
              <w:t>小，符合水资源利用上线要求。</w:t>
            </w:r>
          </w:p>
          <w:p w14:paraId="7D177A1C">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②土地资源利用上线</w:t>
            </w:r>
          </w:p>
          <w:p w14:paraId="08B47818">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根据云南省“三线一单”要求，到2020年底，全省耕地保有量不低于584.53万公顷，基本农田</w:t>
            </w:r>
            <w:r>
              <w:rPr>
                <w:rFonts w:hint="default" w:ascii="Times New Roman" w:hAnsi="Times New Roman" w:cs="Times New Roman"/>
                <w:color w:val="auto"/>
                <w:kern w:val="0"/>
                <w:sz w:val="24"/>
              </w:rPr>
              <w:t>保护面积不低于489.4万公顷，建设用地总规模控制在115.4万公顷以内。</w:t>
            </w:r>
            <w:bookmarkStart w:id="11" w:name="OLE_LINK202"/>
            <w:r>
              <w:rPr>
                <w:rFonts w:hint="default" w:ascii="Times New Roman" w:hAnsi="Times New Roman" w:cs="Times New Roman"/>
                <w:color w:val="auto"/>
                <w:kern w:val="0"/>
                <w:sz w:val="24"/>
              </w:rPr>
              <w:t>项目占地面积</w:t>
            </w:r>
            <w:r>
              <w:rPr>
                <w:rFonts w:hint="default" w:ascii="Times New Roman" w:hAnsi="Times New Roman" w:cs="Times New Roman"/>
                <w:color w:val="auto"/>
                <w:kern w:val="0"/>
                <w:sz w:val="24"/>
                <w:highlight w:val="none"/>
              </w:rPr>
              <w:t>为</w:t>
            </w:r>
            <w:r>
              <w:rPr>
                <w:rFonts w:hint="eastAsia" w:cs="Times New Roman"/>
                <w:color w:val="auto"/>
                <w:kern w:val="0"/>
                <w:sz w:val="24"/>
                <w:highlight w:val="none"/>
                <w:lang w:eastAsia="zh-CN"/>
              </w:rPr>
              <w:t>11820.20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项</w:t>
            </w:r>
            <w:r>
              <w:rPr>
                <w:rFonts w:hint="default" w:ascii="Times New Roman" w:hAnsi="Times New Roman" w:cs="Times New Roman"/>
                <w:color w:val="auto"/>
                <w:sz w:val="24"/>
              </w:rPr>
              <w:t>目占地不涉及基本农田，占地类型为工业用地，占比较小，符合土地资源利用上线要求。</w:t>
            </w:r>
          </w:p>
          <w:bookmarkEnd w:id="11"/>
          <w:p w14:paraId="0E6FD4C3">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③能源利用上线</w:t>
            </w:r>
          </w:p>
          <w:p w14:paraId="7341FE79">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三线一单”要求，到2020年底，全省万元地区生产总值能耗较2015年下降14%，能源消耗总量控制在国家下达目标以内，非化石能源消费量占能源消费总量比重达到42%。项目生产过程中主要消耗电和水，项目用量</w:t>
            </w:r>
            <w:r>
              <w:rPr>
                <w:rFonts w:hint="eastAsia" w:cs="Times New Roman"/>
                <w:color w:val="auto"/>
                <w:sz w:val="24"/>
                <w:lang w:val="en-US" w:eastAsia="zh-CN"/>
              </w:rPr>
              <w:t>均</w:t>
            </w:r>
            <w:r>
              <w:rPr>
                <w:rFonts w:hint="default" w:ascii="Times New Roman" w:hAnsi="Times New Roman" w:cs="Times New Roman"/>
                <w:color w:val="auto"/>
                <w:sz w:val="24"/>
              </w:rPr>
              <w:t>较小，符合能源利用上线要求。</w:t>
            </w:r>
          </w:p>
          <w:p w14:paraId="45CC6CA8">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综上所述，项目建设符合资源利用上线要求。</w:t>
            </w:r>
          </w:p>
          <w:p w14:paraId="4E7136E2">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（4）生态环境准入清单</w:t>
            </w:r>
          </w:p>
          <w:p w14:paraId="68534B60">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2024年6月7日，玉溪市生态环境局《关于印发玉溪市生态环境分区管控动态更新调整方案（2023年）的通知》（玉市环〔2024〕40号）发布实施。</w:t>
            </w:r>
          </w:p>
          <w:p w14:paraId="5E7F8275">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具体符合性如下：</w:t>
            </w:r>
          </w:p>
          <w:p w14:paraId="5CBCA183">
            <w:pPr>
              <w:autoSpaceDE w:val="0"/>
              <w:autoSpaceDN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w:t>
            </w:r>
            <w:r>
              <w:rPr>
                <w:rFonts w:hint="eastAsia" w:eastAsia="黑体" w:cs="Times New Roman"/>
                <w:bCs/>
                <w:color w:val="auto"/>
                <w:szCs w:val="21"/>
                <w:lang w:val="en-US" w:eastAsia="zh-CN"/>
              </w:rPr>
              <w:t>2</w:t>
            </w:r>
            <w:r>
              <w:rPr>
                <w:rFonts w:hint="default" w:ascii="Times New Roman" w:hAnsi="Times New Roman" w:eastAsia="黑体" w:cs="Times New Roman"/>
                <w:bCs/>
                <w:color w:val="auto"/>
                <w:szCs w:val="21"/>
              </w:rPr>
              <w:t xml:space="preserve">   项目与玉溪市生态环境分区管控总体要求符合性分析</w:t>
            </w:r>
          </w:p>
          <w:tbl>
            <w:tblPr>
              <w:tblStyle w:val="36"/>
              <w:tblpPr w:leftFromText="180" w:rightFromText="180" w:vertAnchor="text" w:tblpY="1"/>
              <w:tblOverlap w:val="never"/>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3"/>
              <w:gridCol w:w="4501"/>
              <w:gridCol w:w="1799"/>
              <w:gridCol w:w="324"/>
            </w:tblGrid>
            <w:tr w14:paraId="5A2C3A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314" w:type="pct"/>
                  <w:tcBorders>
                    <w:tl2br w:val="nil"/>
                    <w:tr2bl w:val="nil"/>
                  </w:tcBorders>
                  <w:vAlign w:val="center"/>
                </w:tcPr>
                <w:p w14:paraId="4B8D04B7">
                  <w:pPr>
                    <w:jc w:val="center"/>
                    <w:rPr>
                      <w:rFonts w:hint="default" w:ascii="Times New Roman" w:hAnsi="Times New Roman" w:cs="Times New Roman"/>
                      <w:color w:val="auto"/>
                      <w:sz w:val="18"/>
                      <w:szCs w:val="18"/>
                    </w:rPr>
                  </w:pPr>
                  <w:bookmarkStart w:id="12" w:name="_Hlk152575897"/>
                  <w:r>
                    <w:rPr>
                      <w:rFonts w:hint="default" w:ascii="Times New Roman" w:hAnsi="Times New Roman" w:cs="Times New Roman"/>
                      <w:color w:val="auto"/>
                      <w:sz w:val="18"/>
                      <w:szCs w:val="18"/>
                    </w:rPr>
                    <w:t>管控领域</w:t>
                  </w:r>
                </w:p>
              </w:tc>
              <w:tc>
                <w:tcPr>
                  <w:tcW w:w="3183" w:type="pct"/>
                  <w:tcBorders>
                    <w:tl2br w:val="nil"/>
                    <w:tr2bl w:val="nil"/>
                  </w:tcBorders>
                  <w:vAlign w:val="center"/>
                </w:tcPr>
                <w:p w14:paraId="7BFAD0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更新管控要求</w:t>
                  </w:r>
                </w:p>
              </w:tc>
              <w:tc>
                <w:tcPr>
                  <w:tcW w:w="1272" w:type="pct"/>
                  <w:tcBorders>
                    <w:tl2br w:val="nil"/>
                    <w:tr2bl w:val="nil"/>
                  </w:tcBorders>
                  <w:vAlign w:val="center"/>
                </w:tcPr>
                <w:p w14:paraId="601AA7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229" w:type="pct"/>
                  <w:tcBorders>
                    <w:tl2br w:val="nil"/>
                    <w:tr2bl w:val="nil"/>
                  </w:tcBorders>
                  <w:vAlign w:val="center"/>
                </w:tcPr>
                <w:p w14:paraId="799167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32A54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6DDC0163">
                  <w:pPr>
                    <w:jc w:val="center"/>
                    <w:rPr>
                      <w:rFonts w:hint="default" w:ascii="Times New Roman" w:hAnsi="Times New Roman" w:cs="Times New Roman"/>
                      <w:color w:val="auto"/>
                      <w:sz w:val="18"/>
                      <w:szCs w:val="18"/>
                    </w:rPr>
                  </w:pPr>
                  <w:bookmarkStart w:id="13" w:name="_Hlk156301754"/>
                  <w:r>
                    <w:rPr>
                      <w:rFonts w:hint="default" w:ascii="Times New Roman" w:hAnsi="Times New Roman" w:cs="Times New Roman"/>
                      <w:color w:val="auto"/>
                      <w:sz w:val="18"/>
                      <w:szCs w:val="18"/>
                    </w:rPr>
                    <w:t>空间布局约束</w:t>
                  </w:r>
                </w:p>
              </w:tc>
              <w:tc>
                <w:tcPr>
                  <w:tcW w:w="3183" w:type="pct"/>
                  <w:tcBorders>
                    <w:tl2br w:val="nil"/>
                    <w:tr2bl w:val="nil"/>
                  </w:tcBorders>
                  <w:vAlign w:val="center"/>
                </w:tcPr>
                <w:p w14:paraId="2C2E1486">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7ED61F55">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2、加强河湖水域岸线空间管控，严格落实九大高原湖泊（抚仙湖、星云湖、杞麓湖）“两线三区”相关管控要求。</w:t>
                  </w:r>
                </w:p>
                <w:p w14:paraId="777D0B18">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加快推动重点区域、重点流域落后和过剩产能退出。依法加快城市建成区重污染企业搬迁改造或关闭退出。</w:t>
                  </w:r>
                </w:p>
                <w:p w14:paraId="131F8471">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B28AC1B">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4、禁止在</w:t>
                  </w:r>
                  <w:bookmarkStart w:id="14" w:name="OLE_LINK197"/>
                  <w:r>
                    <w:rPr>
                      <w:rFonts w:hint="default" w:ascii="Times New Roman" w:hAnsi="Times New Roman" w:cs="Times New Roman"/>
                      <w:color w:val="auto"/>
                      <w:sz w:val="18"/>
                      <w:szCs w:val="18"/>
                    </w:rPr>
                    <w:t>九大高原湖泊（抚仙湖、星云湖、杞麓湖）流域内</w:t>
                  </w:r>
                  <w:bookmarkEnd w:id="14"/>
                  <w:r>
                    <w:rPr>
                      <w:rFonts w:hint="default" w:ascii="Times New Roman" w:hAnsi="Times New Roman" w:cs="Times New Roman"/>
                      <w:color w:val="auto"/>
                      <w:sz w:val="18"/>
                      <w:szCs w:val="18"/>
                    </w:rPr>
                    <w:t>新建、改建、扩建污染环境、高耗水、高耗能、破坏生态平衡和自然景观的项目。</w:t>
                  </w:r>
                </w:p>
                <w:p w14:paraId="225F6579">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5、落实云南省碳达峰碳中和相关要求，处理好发展和减排、整体和局部、长远目标和短期目标、政府和市场的关系，坚定不移走生态优先、绿色低碳的高质量发展道路。</w:t>
                  </w:r>
                </w:p>
              </w:tc>
              <w:tc>
                <w:tcPr>
                  <w:tcW w:w="1272" w:type="pct"/>
                  <w:tcBorders>
                    <w:tl2br w:val="nil"/>
                    <w:tr2bl w:val="nil"/>
                  </w:tcBorders>
                  <w:vAlign w:val="center"/>
                </w:tcPr>
                <w:p w14:paraId="40C48862">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r>
                    <w:rPr>
                      <w:rFonts w:hint="eastAsia" w:cs="Times New Roman"/>
                      <w:color w:val="auto"/>
                      <w:sz w:val="18"/>
                      <w:szCs w:val="18"/>
                      <w:lang w:val="en-US" w:eastAsia="zh-CN"/>
                    </w:rPr>
                    <w:t>项目不涉及长江流域</w:t>
                  </w:r>
                  <w:r>
                    <w:rPr>
                      <w:rFonts w:hint="default" w:ascii="Times New Roman" w:hAnsi="Times New Roman" w:cs="Times New Roman"/>
                      <w:color w:val="auto"/>
                      <w:sz w:val="18"/>
                      <w:szCs w:val="18"/>
                    </w:rPr>
                    <w:t>。</w:t>
                  </w:r>
                </w:p>
                <w:p w14:paraId="4EB0DEA2">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2、项目不涉及抚仙湖、星云湖、杞麓湖。</w:t>
                  </w:r>
                </w:p>
                <w:p w14:paraId="0EE07927">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r>
                    <w:rPr>
                      <w:rFonts w:hint="eastAsia" w:ascii="Times New Roman" w:hAnsi="Times New Roman" w:cs="Times New Roman"/>
                      <w:color w:val="auto"/>
                      <w:sz w:val="18"/>
                      <w:szCs w:val="18"/>
                      <w:lang w:val="en-US" w:eastAsia="zh-CN"/>
                    </w:rPr>
                    <w:t>项目为民用爆炸物品储存库建设项目，不属于钢铁、石化、化工、焦化、建材、有色、制浆造纸行业中的高污染项目</w:t>
                  </w:r>
                  <w:r>
                    <w:rPr>
                      <w:rFonts w:hint="default" w:ascii="Times New Roman" w:hAnsi="Times New Roman" w:cs="Times New Roman"/>
                      <w:color w:val="auto"/>
                      <w:sz w:val="18"/>
                      <w:szCs w:val="18"/>
                    </w:rPr>
                    <w:t>。</w:t>
                  </w:r>
                </w:p>
                <w:p w14:paraId="28B4B047">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4、</w:t>
                  </w:r>
                  <w:bookmarkStart w:id="15" w:name="OLE_LINK200"/>
                  <w:r>
                    <w:rPr>
                      <w:rFonts w:hint="default" w:ascii="Times New Roman" w:hAnsi="Times New Roman" w:cs="Times New Roman"/>
                      <w:color w:val="auto"/>
                      <w:sz w:val="18"/>
                      <w:szCs w:val="18"/>
                    </w:rPr>
                    <w:t>本项目不在九大高原湖泊（抚仙湖、星云湖、杞麓湖）流域内。</w:t>
                  </w:r>
                  <w:bookmarkEnd w:id="15"/>
                </w:p>
              </w:tc>
              <w:tc>
                <w:tcPr>
                  <w:tcW w:w="229" w:type="pct"/>
                  <w:tcBorders>
                    <w:tl2br w:val="nil"/>
                    <w:tr2bl w:val="nil"/>
                  </w:tcBorders>
                  <w:vAlign w:val="center"/>
                </w:tcPr>
                <w:p w14:paraId="62820FCE">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bookmarkEnd w:id="13"/>
            <w:tr w14:paraId="23F6E0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0AAB026C">
                  <w:pPr>
                    <w:jc w:val="center"/>
                    <w:rPr>
                      <w:rFonts w:hint="default" w:ascii="Times New Roman" w:hAnsi="Times New Roman" w:cs="Times New Roman"/>
                      <w:color w:val="auto"/>
                      <w:sz w:val="18"/>
                      <w:szCs w:val="18"/>
                    </w:rPr>
                  </w:pPr>
                  <w:bookmarkStart w:id="16" w:name="_Hlk152575885"/>
                  <w:r>
                    <w:rPr>
                      <w:rFonts w:hint="default" w:ascii="Times New Roman" w:hAnsi="Times New Roman" w:cs="Times New Roman"/>
                      <w:color w:val="auto"/>
                      <w:sz w:val="18"/>
                      <w:szCs w:val="18"/>
                    </w:rPr>
                    <w:t>污染物排放管控</w:t>
                  </w:r>
                </w:p>
              </w:tc>
              <w:tc>
                <w:tcPr>
                  <w:tcW w:w="3183" w:type="pct"/>
                  <w:tcBorders>
                    <w:tl2br w:val="nil"/>
                    <w:tr2bl w:val="nil"/>
                  </w:tcBorders>
                  <w:vAlign w:val="center"/>
                </w:tcPr>
                <w:p w14:paraId="5D8898BD">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1、严格落实强制性清洁生产审核要求，引导重点行业实施清洁生产改造，到2025年底，重点行业企业基本达到国内清洁生产先进水平。</w:t>
                  </w:r>
                </w:p>
                <w:p w14:paraId="5C586AA4">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47000991">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3、严格保护城乡饮用水水源地，整治饮用水水源保护区内的污染源，确保饮水安全。</w:t>
                  </w:r>
                </w:p>
                <w:p w14:paraId="677BE068">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165CE2BB">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5、加大环境污染物减排力度，到2025年，实现氮氧化物减排1224吨，挥发性有机物减排1393吨，化学需氧量减排2461吨，氨氮减排230吨。</w:t>
                  </w:r>
                </w:p>
                <w:p w14:paraId="0472D776">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44C06DD5">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 4%。</w:t>
                  </w:r>
                </w:p>
                <w:p w14:paraId="2542656A">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8、到2025年，中心城区细颗粒物（PM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）平均浓度控制在21微克/立方米以内，城市空气质量优良天数比率达到98.5%以上，坚决防范重度及以上污染天气发生，全市地表水国控断面优良水体比例达80%，消除城市黑臭水体，消除劣Ⅴ类水体。</w:t>
                  </w:r>
                </w:p>
              </w:tc>
              <w:tc>
                <w:tcPr>
                  <w:tcW w:w="1272" w:type="pct"/>
                  <w:tcBorders>
                    <w:tl2br w:val="nil"/>
                    <w:tr2bl w:val="nil"/>
                  </w:tcBorders>
                  <w:vAlign w:val="center"/>
                </w:tcPr>
                <w:p w14:paraId="7F394F99">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1、本项目不在九大高原湖泊（抚仙湖、星云湖、杞麓湖）流域内。</w:t>
                  </w:r>
                </w:p>
                <w:p w14:paraId="54AF9458">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2、项目所在地不涉及集中式饮用水水源地。项目区采取分区防渗减小地下水影响，且环评提出加强区域环境监测发现问题及时解决。</w:t>
                  </w:r>
                </w:p>
                <w:p w14:paraId="6EDAE63B">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3、项目为炸药及雷管的仓储，未涉及生产，</w:t>
                  </w:r>
                  <w:r>
                    <w:rPr>
                      <w:rFonts w:hint="eastAsia" w:ascii="Times New Roman" w:hAnsi="Times New Roman" w:cs="Times New Roman"/>
                      <w:color w:val="auto"/>
                      <w:sz w:val="18"/>
                      <w:szCs w:val="18"/>
                      <w:lang w:val="en-US" w:eastAsia="zh-CN"/>
                    </w:rPr>
                    <w:t>不涉及饮用水源保护区，对饮水安全无影响</w:t>
                  </w:r>
                  <w:r>
                    <w:rPr>
                      <w:rFonts w:hint="default" w:ascii="Times New Roman" w:hAnsi="Times New Roman" w:cs="Times New Roman"/>
                      <w:color w:val="auto"/>
                      <w:sz w:val="18"/>
                      <w:szCs w:val="18"/>
                    </w:rPr>
                    <w:t>。</w:t>
                  </w:r>
                </w:p>
                <w:p w14:paraId="5EBF65B6">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4-7、本项目不涉及。</w:t>
                  </w:r>
                </w:p>
                <w:p w14:paraId="6FADCFC1">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8、本项目</w:t>
                  </w:r>
                  <w:r>
                    <w:rPr>
                      <w:rFonts w:hint="eastAsia" w:ascii="Times New Roman" w:hAnsi="Times New Roman" w:cs="Times New Roman"/>
                      <w:color w:val="auto"/>
                      <w:sz w:val="18"/>
                      <w:szCs w:val="18"/>
                      <w:lang w:val="en-US" w:eastAsia="zh-CN"/>
                    </w:rPr>
                    <w:t>仅为危险化学品仓储，废气产生量较小，对周围环境影响较小</w:t>
                  </w:r>
                  <w:r>
                    <w:rPr>
                      <w:rFonts w:hint="default" w:ascii="Times New Roman" w:hAnsi="Times New Roman" w:cs="Times New Roman"/>
                      <w:color w:val="auto"/>
                      <w:sz w:val="18"/>
                      <w:szCs w:val="18"/>
                    </w:rPr>
                    <w:t>。</w:t>
                  </w:r>
                </w:p>
              </w:tc>
              <w:tc>
                <w:tcPr>
                  <w:tcW w:w="229" w:type="pct"/>
                  <w:tcBorders>
                    <w:tl2br w:val="nil"/>
                    <w:tr2bl w:val="nil"/>
                  </w:tcBorders>
                  <w:vAlign w:val="center"/>
                </w:tcPr>
                <w:p w14:paraId="7A081ABE">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5B984D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510174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环境风险防控</w:t>
                  </w:r>
                </w:p>
              </w:tc>
              <w:tc>
                <w:tcPr>
                  <w:tcW w:w="3183" w:type="pct"/>
                  <w:tcBorders>
                    <w:tl2br w:val="nil"/>
                    <w:tr2bl w:val="nil"/>
                  </w:tcBorders>
                  <w:vAlign w:val="center"/>
                </w:tcPr>
                <w:p w14:paraId="3FF0B777">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1、强化与其他滇中城市的大气、水污染防治联防联控协作机制，加强区域内重污染天气和跨界水体风险应急联动。</w:t>
                  </w:r>
                </w:p>
                <w:p w14:paraId="10BB2F9E">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272" w:type="pct"/>
                  <w:tcBorders>
                    <w:tl2br w:val="nil"/>
                    <w:tr2bl w:val="nil"/>
                  </w:tcBorders>
                  <w:vAlign w:val="center"/>
                </w:tcPr>
                <w:p w14:paraId="781E7CA3">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本项目后续将按要求</w:t>
                  </w:r>
                  <w:r>
                    <w:rPr>
                      <w:rFonts w:hint="eastAsia" w:ascii="Times New Roman" w:hAnsi="Times New Roman" w:cs="Times New Roman"/>
                      <w:color w:val="auto"/>
                      <w:sz w:val="18"/>
                      <w:szCs w:val="18"/>
                      <w:lang w:val="en-US" w:eastAsia="zh-CN"/>
                    </w:rPr>
                    <w:t>编制</w:t>
                  </w:r>
                  <w:r>
                    <w:rPr>
                      <w:rFonts w:hint="default" w:ascii="Times New Roman" w:hAnsi="Times New Roman" w:cs="Times New Roman"/>
                      <w:color w:val="auto"/>
                      <w:sz w:val="18"/>
                      <w:szCs w:val="18"/>
                    </w:rPr>
                    <w:t>突发环境事件应急预案</w:t>
                  </w:r>
                  <w:r>
                    <w:rPr>
                      <w:rFonts w:hint="eastAsia" w:ascii="Times New Roman" w:hAnsi="Times New Roman" w:cs="Times New Roman"/>
                      <w:color w:val="auto"/>
                      <w:sz w:val="18"/>
                      <w:szCs w:val="18"/>
                      <w:lang w:val="en-US" w:eastAsia="zh-CN"/>
                    </w:rPr>
                    <w:t>并报玉溪市生态环境局新平分局备案</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后续</w:t>
                  </w:r>
                  <w:r>
                    <w:rPr>
                      <w:rFonts w:hint="default" w:ascii="Times New Roman" w:hAnsi="Times New Roman" w:cs="Times New Roman"/>
                      <w:color w:val="auto"/>
                      <w:sz w:val="18"/>
                      <w:szCs w:val="18"/>
                    </w:rPr>
                    <w:t>按要求严格落实风险防范措施。</w:t>
                  </w:r>
                </w:p>
              </w:tc>
              <w:tc>
                <w:tcPr>
                  <w:tcW w:w="229" w:type="pct"/>
                  <w:tcBorders>
                    <w:tl2br w:val="nil"/>
                    <w:tr2bl w:val="nil"/>
                  </w:tcBorders>
                  <w:vAlign w:val="center"/>
                </w:tcPr>
                <w:p w14:paraId="44A07AEA">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bookmarkEnd w:id="16"/>
            <w:tr w14:paraId="14A9A1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7CD0069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资源利用效率</w:t>
                  </w:r>
                </w:p>
              </w:tc>
              <w:tc>
                <w:tcPr>
                  <w:tcW w:w="3183" w:type="pct"/>
                  <w:tcBorders>
                    <w:tl2br w:val="nil"/>
                    <w:tr2bl w:val="nil"/>
                  </w:tcBorders>
                  <w:vAlign w:val="center"/>
                </w:tcPr>
                <w:p w14:paraId="5398E0A3">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1、降低水、土地、能源、矿产资源消耗强度，强化约束性指标管理。</w:t>
                  </w:r>
                </w:p>
                <w:p w14:paraId="2AEE9FB6">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1F71E26F">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3、坚持最严格的耕地保护制度，守住耕地保护红线。坚持节约用地，严格执行耕地占补平衡等制度，提高土地投资强度和单位面积产出水平。</w:t>
                  </w:r>
                </w:p>
                <w:p w14:paraId="6F088394">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4、全市单位GDP二氧化碳排放累计下降率完成云南省下达的指标；单位GDP能耗持续下降，到2025 年，全市单位GDP能耗累计下降率14%。</w:t>
                  </w:r>
                </w:p>
                <w:p w14:paraId="34ACBB01">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5、高污染燃料禁燃区按照《高污染燃料目录》及当地有关禁燃区管理规定执行。</w:t>
                  </w:r>
                </w:p>
                <w:p w14:paraId="618EE11D">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6、实施高效节水灌溉工程，大力推广高效节水灌溉措施，到2025年，农田灌溉水有效利用系数达到0.55。</w:t>
                  </w:r>
                </w:p>
              </w:tc>
              <w:tc>
                <w:tcPr>
                  <w:tcW w:w="1272" w:type="pct"/>
                  <w:tcBorders>
                    <w:tl2br w:val="nil"/>
                    <w:tr2bl w:val="nil"/>
                  </w:tcBorders>
                  <w:vAlign w:val="center"/>
                </w:tcPr>
                <w:p w14:paraId="415F07E0">
                  <w:pPr>
                    <w:keepNext w:val="0"/>
                    <w:keepLines w:val="0"/>
                    <w:pageBreakBefore w:val="0"/>
                    <w:widowControl w:val="0"/>
                    <w:kinsoku/>
                    <w:wordWrap/>
                    <w:overflowPunct/>
                    <w:topLinePunct w:val="0"/>
                    <w:autoSpaceDE/>
                    <w:autoSpaceDN/>
                    <w:bidi w:val="0"/>
                    <w:adjustRightInd/>
                    <w:snapToGrid/>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项目占地不涉及基本农田，符合土地资源利用上线要求。</w:t>
                  </w:r>
                </w:p>
              </w:tc>
              <w:tc>
                <w:tcPr>
                  <w:tcW w:w="229" w:type="pct"/>
                  <w:tcBorders>
                    <w:tl2br w:val="nil"/>
                    <w:tr2bl w:val="nil"/>
                  </w:tcBorders>
                  <w:vAlign w:val="center"/>
                </w:tcPr>
                <w:p w14:paraId="75BDFD41">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bookmarkEnd w:id="12"/>
          </w:tbl>
          <w:p w14:paraId="1CF1516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选址位于云南省玉溪市新平县戛洒镇米尺莫村委会哈母白租村民小组，根据云南省生态环境分区管控公共服务查询平台查询，属于新平县矿产资源重点管控单元（单元编码为：ZH53042720004），查询结果见附件</w:t>
            </w:r>
            <w:r>
              <w:rPr>
                <w:rFonts w:hint="eastAsia" w:cs="Times New Roman"/>
                <w:color w:val="auto"/>
                <w:sz w:val="24"/>
                <w:lang w:val="en-US" w:eastAsia="zh-CN"/>
              </w:rPr>
              <w:t>5</w:t>
            </w:r>
            <w:r>
              <w:rPr>
                <w:rFonts w:hint="default" w:ascii="Times New Roman" w:hAnsi="Times New Roman" w:cs="Times New Roman"/>
                <w:color w:val="auto"/>
                <w:sz w:val="24"/>
              </w:rPr>
              <w:t>，项目所在区域管控单元图见附图</w:t>
            </w:r>
            <w:r>
              <w:rPr>
                <w:rFonts w:hint="eastAsia" w:cs="Times New Roman"/>
                <w:color w:val="auto"/>
                <w:sz w:val="24"/>
                <w:lang w:val="en-US" w:eastAsia="zh-CN"/>
              </w:rPr>
              <w:t>8</w:t>
            </w:r>
            <w:r>
              <w:rPr>
                <w:rFonts w:hint="default" w:ascii="Times New Roman" w:hAnsi="Times New Roman" w:cs="Times New Roman"/>
                <w:color w:val="auto"/>
                <w:sz w:val="24"/>
              </w:rPr>
              <w:t>。</w:t>
            </w:r>
          </w:p>
          <w:p w14:paraId="44F7DB21">
            <w:pPr>
              <w:spacing w:line="360" w:lineRule="auto"/>
              <w:ind w:firstLine="480" w:firstLineChars="200"/>
              <w:jc w:val="left"/>
              <w:rPr>
                <w:rFonts w:hint="default" w:ascii="Times New Roman" w:hAnsi="Times New Roman" w:cs="Times New Roman"/>
                <w:b/>
                <w:bCs/>
                <w:color w:val="auto"/>
                <w:szCs w:val="28"/>
              </w:rPr>
            </w:pPr>
            <w:r>
              <w:rPr>
                <w:rFonts w:hint="default" w:ascii="Times New Roman" w:hAnsi="Times New Roman" w:cs="Times New Roman"/>
                <w:color w:val="auto"/>
                <w:sz w:val="24"/>
              </w:rPr>
              <w:t>其符合性分析如下：</w:t>
            </w:r>
          </w:p>
          <w:p w14:paraId="739E5222">
            <w:pPr>
              <w:autoSpaceDE w:val="0"/>
              <w:autoSpaceDN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w:t>
            </w:r>
            <w:r>
              <w:rPr>
                <w:rFonts w:hint="eastAsia" w:ascii="Times New Roman" w:hAnsi="Times New Roman" w:eastAsia="黑体" w:cs="Times New Roman"/>
                <w:bCs/>
                <w:color w:val="auto"/>
                <w:szCs w:val="21"/>
                <w:lang w:val="en-US" w:eastAsia="zh-CN"/>
              </w:rPr>
              <w:t>3</w:t>
            </w:r>
            <w:r>
              <w:rPr>
                <w:rFonts w:hint="default" w:ascii="Times New Roman" w:hAnsi="Times New Roman" w:eastAsia="黑体" w:cs="Times New Roman"/>
                <w:bCs/>
                <w:color w:val="auto"/>
                <w:szCs w:val="21"/>
              </w:rPr>
              <w:t xml:space="preserve">   与项目所在管控单元生态环境准入清单符合性分析</w:t>
            </w:r>
          </w:p>
          <w:tbl>
            <w:tblPr>
              <w:tblStyle w:val="3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
              <w:gridCol w:w="379"/>
              <w:gridCol w:w="3983"/>
              <w:gridCol w:w="1560"/>
              <w:gridCol w:w="645"/>
            </w:tblGrid>
            <w:tr w14:paraId="64A19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2" w:type="pct"/>
                  <w:gridSpan w:val="2"/>
                  <w:vAlign w:val="center"/>
                </w:tcPr>
                <w:p w14:paraId="3881072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单元</w:t>
                  </w:r>
                </w:p>
                <w:p w14:paraId="767C662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名称</w:t>
                  </w:r>
                </w:p>
              </w:tc>
              <w:tc>
                <w:tcPr>
                  <w:tcW w:w="2817" w:type="pct"/>
                  <w:vAlign w:val="center"/>
                </w:tcPr>
                <w:p w14:paraId="1D6809F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管控要求</w:t>
                  </w:r>
                </w:p>
              </w:tc>
              <w:tc>
                <w:tcPr>
                  <w:tcW w:w="1103" w:type="pct"/>
                  <w:vAlign w:val="center"/>
                </w:tcPr>
                <w:p w14:paraId="3B52FEE7">
                  <w:pPr>
                    <w:adjustRightInd w:val="0"/>
                    <w:snapToGri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本规划情况</w:t>
                  </w:r>
                </w:p>
              </w:tc>
              <w:tc>
                <w:tcPr>
                  <w:tcW w:w="456" w:type="pct"/>
                  <w:vAlign w:val="center"/>
                </w:tcPr>
                <w:p w14:paraId="7A09CA44">
                  <w:pPr>
                    <w:adjustRightInd w:val="0"/>
                    <w:snapToGrid w:val="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符合性</w:t>
                  </w:r>
                </w:p>
              </w:tc>
            </w:tr>
            <w:tr w14:paraId="39272C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4" w:type="pct"/>
                  <w:vMerge w:val="restart"/>
                  <w:vAlign w:val="center"/>
                </w:tcPr>
                <w:p w14:paraId="263FD803">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shd w:val="clear" w:color="auto" w:fill="FFFFFF"/>
                    </w:rPr>
                    <w:t>新平县矿产资源重点管控单元</w:t>
                  </w:r>
                </w:p>
              </w:tc>
              <w:tc>
                <w:tcPr>
                  <w:tcW w:w="267" w:type="pct"/>
                  <w:vAlign w:val="center"/>
                </w:tcPr>
                <w:p w14:paraId="7A4EB21E">
                  <w:pPr>
                    <w:widowControl/>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空间布局约束</w:t>
                  </w:r>
                </w:p>
              </w:tc>
              <w:tc>
                <w:tcPr>
                  <w:tcW w:w="2817" w:type="pct"/>
                  <w:vAlign w:val="center"/>
                </w:tcPr>
                <w:p w14:paraId="558D9B6F">
                  <w:pPr>
                    <w:keepNext w:val="0"/>
                    <w:keepLines w:val="0"/>
                    <w:pageBreakBefore w:val="0"/>
                    <w:kinsoku/>
                    <w:wordWrap/>
                    <w:overflowPunct/>
                    <w:topLinePunct w:val="0"/>
                    <w:bidi w:val="0"/>
                    <w:adjustRightInd w:val="0"/>
                    <w:snapToGrid w:val="0"/>
                    <w:ind w:firstLine="360" w:firstLineChars="20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1.限制开采供过于求、国家规定保护性开采、资源总量不足和对生态环境影响较大的矿产，禁止开采可耕地的砖瓦用粘土等矿产。</w:t>
                  </w:r>
                </w:p>
                <w:p w14:paraId="6BC6C613">
                  <w:pPr>
                    <w:keepNext w:val="0"/>
                    <w:keepLines w:val="0"/>
                    <w:pageBreakBefore w:val="0"/>
                    <w:kinsoku/>
                    <w:wordWrap/>
                    <w:overflowPunct/>
                    <w:topLinePunct w:val="0"/>
                    <w:bidi w:val="0"/>
                    <w:adjustRightInd w:val="0"/>
                    <w:snapToGrid w:val="0"/>
                    <w:ind w:firstLine="360" w:firstLineChars="20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2.新建矿山严格控制最低开采规模及最低服务年限，原则上新建矿山设计规模应达到中型以上。</w:t>
                  </w:r>
                </w:p>
                <w:p w14:paraId="3FB983D8">
                  <w:pPr>
                    <w:keepNext w:val="0"/>
                    <w:keepLines w:val="0"/>
                    <w:pageBreakBefore w:val="0"/>
                    <w:kinsoku/>
                    <w:wordWrap/>
                    <w:overflowPunct/>
                    <w:topLinePunct w:val="0"/>
                    <w:bidi w:val="0"/>
                    <w:adjustRightInd w:val="0"/>
                    <w:snapToGrid w:val="0"/>
                    <w:ind w:firstLine="360" w:firstLineChars="20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严格执行禁止开采区规定，对各类保护区内已设置的商业探矿权和采矿权，依法退出；对各类保护区设立之前已存在的合法探矿权和采矿权，以及各类保护区设立之后各项手续完备且已征得保护区主管部门同意设立的探矿权和采矿权，分类提出差别化的补偿和退出方案，在保障探矿权和采矿权人合法权益的前提下，依法有序退出。</w:t>
                  </w:r>
                </w:p>
              </w:tc>
              <w:tc>
                <w:tcPr>
                  <w:tcW w:w="1103" w:type="pct"/>
                  <w:vAlign w:val="center"/>
                </w:tcPr>
                <w:p w14:paraId="0F83ABF2">
                  <w:pPr>
                    <w:keepNext w:val="0"/>
                    <w:keepLines w:val="0"/>
                    <w:pageBreakBefore w:val="0"/>
                    <w:kinsoku/>
                    <w:wordWrap/>
                    <w:overflowPunct/>
                    <w:topLinePunct w:val="0"/>
                    <w:bidi w:val="0"/>
                    <w:adjustRightInd w:val="0"/>
                    <w:snapToGrid w:val="0"/>
                    <w:ind w:firstLine="360" w:firstLineChars="200"/>
                    <w:jc w:val="left"/>
                    <w:textAlignment w:val="auto"/>
                    <w:rPr>
                      <w:rFonts w:hint="default" w:ascii="Times New Roman" w:hAnsi="Times New Roman" w:eastAsia="宋体" w:cs="Times New Roman"/>
                      <w:bCs/>
                      <w:color w:val="auto"/>
                      <w:kern w:val="0"/>
                      <w:sz w:val="18"/>
                      <w:szCs w:val="18"/>
                      <w:lang w:val="en-US" w:eastAsia="zh-CN"/>
                    </w:rPr>
                  </w:pPr>
                  <w:r>
                    <w:rPr>
                      <w:rFonts w:hint="eastAsia" w:cs="Times New Roman"/>
                      <w:bCs/>
                      <w:color w:val="auto"/>
                      <w:kern w:val="0"/>
                      <w:sz w:val="18"/>
                      <w:szCs w:val="18"/>
                      <w:lang w:val="en-US" w:eastAsia="zh-CN"/>
                    </w:rPr>
                    <w:t>项目为民用爆炸物品储存库建设项目，为玉溪大红山矿业有限公司铁矿采掘施工期间提供炸药及工业雷管，不涉及矿产资源开发。</w:t>
                  </w:r>
                </w:p>
              </w:tc>
              <w:tc>
                <w:tcPr>
                  <w:tcW w:w="456" w:type="pct"/>
                  <w:vAlign w:val="center"/>
                </w:tcPr>
                <w:p w14:paraId="4968162A">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4739FE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4" w:type="pct"/>
                  <w:vMerge w:val="continue"/>
                  <w:vAlign w:val="center"/>
                </w:tcPr>
                <w:p w14:paraId="2EDEB7B8">
                  <w:pPr>
                    <w:autoSpaceDE w:val="0"/>
                    <w:autoSpaceDN w:val="0"/>
                    <w:adjustRightInd w:val="0"/>
                    <w:snapToGrid w:val="0"/>
                    <w:jc w:val="center"/>
                    <w:rPr>
                      <w:rFonts w:hint="default" w:ascii="Times New Roman" w:hAnsi="Times New Roman" w:cs="Times New Roman"/>
                      <w:bCs/>
                      <w:color w:val="auto"/>
                      <w:sz w:val="18"/>
                      <w:szCs w:val="18"/>
                    </w:rPr>
                  </w:pPr>
                </w:p>
              </w:tc>
              <w:tc>
                <w:tcPr>
                  <w:tcW w:w="267" w:type="pct"/>
                  <w:vAlign w:val="center"/>
                </w:tcPr>
                <w:p w14:paraId="313ADAF2">
                  <w:pPr>
                    <w:widowControl/>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污染物排放管控</w:t>
                  </w:r>
                </w:p>
              </w:tc>
              <w:tc>
                <w:tcPr>
                  <w:tcW w:w="2817" w:type="pct"/>
                  <w:vAlign w:val="center"/>
                </w:tcPr>
                <w:p w14:paraId="5714370D">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1.推行清洁生产工艺，严格控制矿产资源开发的污染物排放。</w:t>
                  </w:r>
                </w:p>
                <w:p w14:paraId="2D1DE813">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2.对原有大中型矿山进行技术改造，淘汰污染严重、资源利用率低的落后设备与工艺。</w:t>
                  </w:r>
                </w:p>
                <w:p w14:paraId="55FF1BCE">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3.加强绿色勘查开采新技术、新方法和新工艺研发与推广，积极推进绿色勘查与开发。</w:t>
                  </w:r>
                </w:p>
                <w:p w14:paraId="6C8209AD">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4.推进绿色矿山建设，完善尾矿库污染防治措施，严格落实排污许可制度。</w:t>
                  </w:r>
                </w:p>
                <w:p w14:paraId="071287ED">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5.加快推进历史遗留矿山生态修复工作，争取到2025年，基本完成历史遗留露天矿山生态修复工作。</w:t>
                  </w:r>
                </w:p>
              </w:tc>
              <w:tc>
                <w:tcPr>
                  <w:tcW w:w="1103" w:type="pct"/>
                  <w:vAlign w:val="center"/>
                </w:tcPr>
                <w:p w14:paraId="7AD97D1C">
                  <w:pPr>
                    <w:keepNext w:val="0"/>
                    <w:keepLines w:val="0"/>
                    <w:pageBreakBefore w:val="0"/>
                    <w:kinsoku/>
                    <w:wordWrap/>
                    <w:overflowPunct/>
                    <w:topLinePunct w:val="0"/>
                    <w:bidi w:val="0"/>
                    <w:ind w:firstLine="360" w:firstLineChars="200"/>
                    <w:jc w:val="left"/>
                    <w:textAlignment w:val="auto"/>
                    <w:rPr>
                      <w:rFonts w:hint="default" w:ascii="Times New Roman" w:hAnsi="Times New Roman" w:cs="Times New Roman"/>
                      <w:color w:val="auto"/>
                      <w:sz w:val="18"/>
                      <w:szCs w:val="18"/>
                      <w:shd w:val="clear" w:color="auto" w:fill="FFFFFF"/>
                    </w:rPr>
                  </w:pPr>
                  <w:r>
                    <w:rPr>
                      <w:rFonts w:hint="eastAsia" w:cs="Times New Roman"/>
                      <w:bCs/>
                      <w:color w:val="auto"/>
                      <w:kern w:val="0"/>
                      <w:sz w:val="18"/>
                      <w:szCs w:val="18"/>
                      <w:lang w:val="en-US" w:eastAsia="zh-CN"/>
                    </w:rPr>
                    <w:t>项目为民用爆炸物品储存库建设项目，为玉溪大红山矿业有限公司铁矿采掘施工期间提供炸药及工业雷管，不涉及矿产资源开发及历史遗留矿山生态修复。</w:t>
                  </w:r>
                </w:p>
              </w:tc>
              <w:tc>
                <w:tcPr>
                  <w:tcW w:w="456" w:type="pct"/>
                  <w:vAlign w:val="center"/>
                </w:tcPr>
                <w:p w14:paraId="04A19E13">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572A7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54" w:type="pct"/>
                  <w:vMerge w:val="continue"/>
                  <w:vAlign w:val="center"/>
                </w:tcPr>
                <w:p w14:paraId="16F72F30">
                  <w:pPr>
                    <w:autoSpaceDE w:val="0"/>
                    <w:autoSpaceDN w:val="0"/>
                    <w:adjustRightInd w:val="0"/>
                    <w:snapToGrid w:val="0"/>
                    <w:jc w:val="center"/>
                    <w:rPr>
                      <w:rFonts w:hint="default" w:ascii="Times New Roman" w:hAnsi="Times New Roman" w:cs="Times New Roman"/>
                      <w:bCs/>
                      <w:color w:val="auto"/>
                      <w:sz w:val="18"/>
                      <w:szCs w:val="18"/>
                    </w:rPr>
                  </w:pPr>
                </w:p>
              </w:tc>
              <w:tc>
                <w:tcPr>
                  <w:tcW w:w="267" w:type="pct"/>
                  <w:vAlign w:val="center"/>
                </w:tcPr>
                <w:p w14:paraId="23D9F5AB">
                  <w:pPr>
                    <w:widowControl/>
                    <w:adjustRightInd w:val="0"/>
                    <w:snapToGrid w:val="0"/>
                    <w:contextualSpacing/>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环境风险防控</w:t>
                  </w:r>
                </w:p>
              </w:tc>
              <w:tc>
                <w:tcPr>
                  <w:tcW w:w="2817" w:type="pct"/>
                  <w:vAlign w:val="center"/>
                </w:tcPr>
                <w:p w14:paraId="1B6AAB2F">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1.矿山采选区、废水处理设施、固体废物储存场所等应配备完善的污染防治措施，严防对水体和土壤造成污染。</w:t>
                  </w:r>
                </w:p>
                <w:p w14:paraId="33707D8A">
                  <w:pPr>
                    <w:keepNext w:val="0"/>
                    <w:keepLines w:val="0"/>
                    <w:pageBreakBefore w:val="0"/>
                    <w:kinsoku/>
                    <w:wordWrap/>
                    <w:overflowPunct/>
                    <w:topLinePunct w:val="0"/>
                    <w:bidi w:val="0"/>
                    <w:ind w:firstLine="360" w:firstLineChars="200"/>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2.对尾矿库、废石堆通过平整、覆土、种植等措施开展复垦还绿，严防重金属污染。</w:t>
                  </w:r>
                </w:p>
              </w:tc>
              <w:tc>
                <w:tcPr>
                  <w:tcW w:w="1103" w:type="pct"/>
                  <w:vAlign w:val="center"/>
                </w:tcPr>
                <w:p w14:paraId="20FA29AB">
                  <w:pPr>
                    <w:keepNext w:val="0"/>
                    <w:keepLines w:val="0"/>
                    <w:pageBreakBefore w:val="0"/>
                    <w:widowControl/>
                    <w:kinsoku/>
                    <w:wordWrap/>
                    <w:overflowPunct/>
                    <w:topLinePunct w:val="0"/>
                    <w:bidi w:val="0"/>
                    <w:adjustRightInd w:val="0"/>
                    <w:snapToGrid w:val="0"/>
                    <w:ind w:firstLine="360" w:firstLineChars="200"/>
                    <w:contextualSpacing/>
                    <w:jc w:val="left"/>
                    <w:textAlignment w:val="auto"/>
                    <w:rPr>
                      <w:rFonts w:hint="default" w:ascii="Times New Roman" w:hAnsi="Times New Roman" w:cs="Times New Roman"/>
                      <w:bCs/>
                      <w:color w:val="auto"/>
                      <w:kern w:val="0"/>
                      <w:sz w:val="18"/>
                      <w:szCs w:val="18"/>
                    </w:rPr>
                  </w:pPr>
                  <w:r>
                    <w:rPr>
                      <w:rFonts w:hint="eastAsia" w:cs="Times New Roman"/>
                      <w:bCs/>
                      <w:color w:val="auto"/>
                      <w:kern w:val="0"/>
                      <w:sz w:val="18"/>
                      <w:szCs w:val="18"/>
                      <w:lang w:val="en-US" w:eastAsia="zh-CN"/>
                    </w:rPr>
                    <w:t>项目为民用爆炸物品储存库建设项目，为玉溪大红山矿业有限公司铁矿采掘施工期间提供炸药及工业雷管，不涉及矿山开采、尾矿库建设等。</w:t>
                  </w:r>
                </w:p>
              </w:tc>
              <w:tc>
                <w:tcPr>
                  <w:tcW w:w="456" w:type="pct"/>
                  <w:vAlign w:val="center"/>
                </w:tcPr>
                <w:p w14:paraId="381D4D47">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bl>
          <w:p w14:paraId="12A01BD4">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根据上表的分析可知，项目的建设</w:t>
            </w:r>
            <w:bookmarkStart w:id="17" w:name="OLE_LINK39"/>
            <w:r>
              <w:rPr>
                <w:rFonts w:hint="default" w:ascii="Times New Roman" w:hAnsi="Times New Roman" w:cs="Times New Roman"/>
                <w:color w:val="auto"/>
                <w:sz w:val="24"/>
              </w:rPr>
              <w:t>符合动态更新后的《玉溪市生态环境分区管控动态更新调整方案（2023年）》</w:t>
            </w:r>
            <w:r>
              <w:rPr>
                <w:rFonts w:hint="eastAsia" w:cs="Times New Roman"/>
                <w:color w:val="auto"/>
                <w:sz w:val="24"/>
                <w:lang w:val="en-US" w:eastAsia="zh-CN"/>
              </w:rPr>
              <w:t>中玉溪市生态环境分区管控总体要求及新平县矿产资源重点管控单元的</w:t>
            </w:r>
            <w:r>
              <w:rPr>
                <w:rFonts w:hint="default" w:ascii="Times New Roman" w:hAnsi="Times New Roman" w:cs="Times New Roman"/>
                <w:color w:val="auto"/>
                <w:sz w:val="24"/>
              </w:rPr>
              <w:t>相关管控要求。</w:t>
            </w:r>
            <w:bookmarkEnd w:id="17"/>
          </w:p>
          <w:p w14:paraId="7FEAF83C">
            <w:pPr>
              <w:pStyle w:val="5"/>
              <w:adjustRightInd w:val="0"/>
              <w:snapToGrid w:val="0"/>
              <w:rPr>
                <w:rFonts w:hint="default" w:ascii="Times New Roman" w:hAnsi="Times New Roman" w:cs="Times New Roman"/>
                <w:color w:val="auto"/>
                <w:sz w:val="24"/>
              </w:rPr>
            </w:pPr>
            <w:r>
              <w:rPr>
                <w:rFonts w:hint="eastAsia" w:cs="Times New Roman"/>
                <w:color w:val="auto"/>
                <w:sz w:val="24"/>
                <w:lang w:val="en-US" w:eastAsia="zh-CN"/>
              </w:rPr>
              <w:t>6</w:t>
            </w:r>
            <w:r>
              <w:rPr>
                <w:rFonts w:hint="default" w:ascii="Times New Roman" w:hAnsi="Times New Roman" w:cs="Times New Roman"/>
                <w:color w:val="auto"/>
                <w:sz w:val="24"/>
              </w:rPr>
              <w:t>、项目与</w:t>
            </w:r>
            <w:r>
              <w:rPr>
                <w:rFonts w:hint="eastAsia" w:ascii="Times New Roman" w:hAnsi="Times New Roman" w:cs="Times New Roman"/>
                <w:color w:val="auto"/>
                <w:sz w:val="24"/>
                <w:lang w:val="en-US" w:eastAsia="zh-CN"/>
              </w:rPr>
              <w:t>新平县</w:t>
            </w:r>
            <w:r>
              <w:rPr>
                <w:rFonts w:hint="default" w:ascii="Times New Roman" w:hAnsi="Times New Roman" w:cs="Times New Roman"/>
                <w:color w:val="auto"/>
                <w:sz w:val="24"/>
              </w:rPr>
              <w:t>“三区三线”符合性分析</w:t>
            </w:r>
          </w:p>
          <w:p w14:paraId="1BC331B2">
            <w:pPr>
              <w:adjustRightInd w:val="0"/>
              <w:snapToGrid w:val="0"/>
              <w:spacing w:line="360" w:lineRule="auto"/>
              <w:ind w:firstLine="482"/>
              <w:rPr>
                <w:rFonts w:hint="eastAsia"/>
                <w:color w:val="auto"/>
                <w:sz w:val="24"/>
                <w:szCs w:val="24"/>
                <w:highlight w:val="none"/>
                <w:lang w:val="en-US" w:eastAsia="zh-CN"/>
              </w:rPr>
            </w:pPr>
            <w:r>
              <w:rPr>
                <w:color w:val="auto"/>
                <w:sz w:val="24"/>
                <w:szCs w:val="24"/>
                <w:highlight w:val="none"/>
              </w:rPr>
              <w:t>根据</w:t>
            </w:r>
            <w:r>
              <w:rPr>
                <w:rFonts w:hint="eastAsia"/>
                <w:color w:val="auto"/>
                <w:sz w:val="24"/>
                <w:szCs w:val="24"/>
                <w:highlight w:val="none"/>
                <w:lang w:val="en-US" w:eastAsia="zh-CN"/>
              </w:rPr>
              <w:t>新平县</w:t>
            </w:r>
            <w:r>
              <w:rPr>
                <w:color w:val="auto"/>
                <w:sz w:val="24"/>
                <w:szCs w:val="24"/>
                <w:highlight w:val="none"/>
              </w:rPr>
              <w:t>自然资源局</w:t>
            </w:r>
            <w:r>
              <w:rPr>
                <w:rFonts w:hint="eastAsia"/>
                <w:color w:val="auto"/>
                <w:sz w:val="24"/>
                <w:szCs w:val="24"/>
                <w:highlight w:val="none"/>
                <w:lang w:val="en-US" w:eastAsia="zh-CN"/>
              </w:rPr>
              <w:t>于2026</w:t>
            </w:r>
            <w:r>
              <w:rPr>
                <w:color w:val="auto"/>
                <w:sz w:val="24"/>
                <w:szCs w:val="24"/>
                <w:highlight w:val="none"/>
              </w:rPr>
              <w:t>年</w:t>
            </w:r>
            <w:r>
              <w:rPr>
                <w:rFonts w:hint="eastAsia"/>
                <w:color w:val="auto"/>
                <w:sz w:val="24"/>
                <w:szCs w:val="24"/>
                <w:highlight w:val="none"/>
                <w:lang w:val="en-US" w:eastAsia="zh-CN"/>
              </w:rPr>
              <w:t>3</w:t>
            </w:r>
            <w:r>
              <w:rPr>
                <w:color w:val="auto"/>
                <w:sz w:val="24"/>
                <w:szCs w:val="24"/>
                <w:highlight w:val="none"/>
              </w:rPr>
              <w:t>月</w:t>
            </w:r>
            <w:r>
              <w:rPr>
                <w:rFonts w:hint="eastAsia"/>
                <w:color w:val="auto"/>
                <w:sz w:val="24"/>
                <w:szCs w:val="24"/>
                <w:highlight w:val="none"/>
                <w:lang w:val="en-US" w:eastAsia="zh-CN"/>
              </w:rPr>
              <w:t>9</w:t>
            </w:r>
            <w:r>
              <w:rPr>
                <w:color w:val="auto"/>
                <w:sz w:val="24"/>
                <w:szCs w:val="24"/>
                <w:highlight w:val="none"/>
              </w:rPr>
              <w:t>日出具的《</w:t>
            </w:r>
            <w:r>
              <w:rPr>
                <w:rFonts w:hint="eastAsia"/>
                <w:color w:val="auto"/>
                <w:sz w:val="24"/>
                <w:szCs w:val="24"/>
                <w:highlight w:val="none"/>
                <w:lang w:val="en-US" w:eastAsia="zh-CN"/>
              </w:rPr>
              <w:t>永久基本农田审查意见表</w:t>
            </w:r>
            <w:r>
              <w:rPr>
                <w:color w:val="auto"/>
                <w:sz w:val="24"/>
                <w:szCs w:val="24"/>
                <w:highlight w:val="none"/>
              </w:rPr>
              <w:t>》：</w:t>
            </w:r>
            <w:r>
              <w:rPr>
                <w:rFonts w:hint="eastAsia"/>
                <w:color w:val="auto"/>
                <w:sz w:val="24"/>
                <w:szCs w:val="24"/>
                <w:highlight w:val="none"/>
                <w:lang w:val="en-US" w:eastAsia="zh-CN"/>
              </w:rPr>
              <w:t>项目不涉及占用永久基本农田。</w:t>
            </w:r>
          </w:p>
          <w:p w14:paraId="3D11DFF0">
            <w:pPr>
              <w:adjustRightInd w:val="0"/>
              <w:snapToGrid w:val="0"/>
              <w:spacing w:line="360" w:lineRule="auto"/>
              <w:ind w:firstLine="482"/>
              <w:rPr>
                <w:rFonts w:hint="default" w:eastAsia="宋体"/>
                <w:color w:val="auto"/>
                <w:sz w:val="24"/>
                <w:szCs w:val="24"/>
                <w:highlight w:val="none"/>
                <w:lang w:val="en-US" w:eastAsia="zh-CN"/>
              </w:rPr>
            </w:pPr>
            <w:r>
              <w:rPr>
                <w:rFonts w:hint="eastAsia"/>
                <w:color w:val="auto"/>
                <w:sz w:val="24"/>
                <w:szCs w:val="24"/>
                <w:highlight w:val="none"/>
                <w:lang w:val="en-US" w:eastAsia="zh-CN"/>
              </w:rPr>
              <w:t>根据新平县</w:t>
            </w:r>
            <w:r>
              <w:rPr>
                <w:color w:val="auto"/>
                <w:sz w:val="24"/>
                <w:szCs w:val="24"/>
                <w:highlight w:val="none"/>
              </w:rPr>
              <w:t>自然资源局</w:t>
            </w:r>
            <w:r>
              <w:rPr>
                <w:rFonts w:hint="eastAsia"/>
                <w:color w:val="auto"/>
                <w:sz w:val="24"/>
                <w:szCs w:val="24"/>
                <w:highlight w:val="none"/>
                <w:lang w:val="en-US" w:eastAsia="zh-CN"/>
              </w:rPr>
              <w:t>于2026</w:t>
            </w:r>
            <w:r>
              <w:rPr>
                <w:color w:val="auto"/>
                <w:sz w:val="24"/>
                <w:szCs w:val="24"/>
                <w:highlight w:val="none"/>
              </w:rPr>
              <w:t>年</w:t>
            </w:r>
            <w:r>
              <w:rPr>
                <w:rFonts w:hint="eastAsia"/>
                <w:color w:val="auto"/>
                <w:sz w:val="24"/>
                <w:szCs w:val="24"/>
                <w:highlight w:val="none"/>
                <w:lang w:val="en-US" w:eastAsia="zh-CN"/>
              </w:rPr>
              <w:t>3</w:t>
            </w:r>
            <w:r>
              <w:rPr>
                <w:color w:val="auto"/>
                <w:sz w:val="24"/>
                <w:szCs w:val="24"/>
                <w:highlight w:val="none"/>
              </w:rPr>
              <w:t>月</w:t>
            </w:r>
            <w:r>
              <w:rPr>
                <w:rFonts w:hint="eastAsia"/>
                <w:color w:val="auto"/>
                <w:sz w:val="24"/>
                <w:szCs w:val="24"/>
                <w:highlight w:val="none"/>
                <w:lang w:val="en-US" w:eastAsia="zh-CN"/>
              </w:rPr>
              <w:t>9</w:t>
            </w:r>
            <w:r>
              <w:rPr>
                <w:color w:val="auto"/>
                <w:sz w:val="24"/>
                <w:szCs w:val="24"/>
                <w:highlight w:val="none"/>
              </w:rPr>
              <w:t>日出具的《</w:t>
            </w:r>
            <w:r>
              <w:rPr>
                <w:rFonts w:hint="eastAsia"/>
                <w:color w:val="auto"/>
                <w:sz w:val="24"/>
                <w:szCs w:val="24"/>
                <w:highlight w:val="none"/>
                <w:lang w:val="en-US" w:eastAsia="zh-CN"/>
              </w:rPr>
              <w:t>关于玉溪大红山矿业民用爆炸物品储存库建设项目是否占用新平县生态保护红线的查询结果》，项目用地不涉及占用新平县生态保护红线，位于优化后城镇开发边界外，未占用耕地后备资源，未占用耕地后备资源补充空间。</w:t>
            </w:r>
          </w:p>
          <w:p w14:paraId="16CBF41E">
            <w:pPr>
              <w:adjustRightInd w:val="0"/>
              <w:snapToGrid w:val="0"/>
              <w:spacing w:line="360" w:lineRule="auto"/>
              <w:ind w:firstLine="482"/>
              <w:rPr>
                <w:rFonts w:hint="default" w:ascii="Times New Roman" w:hAnsi="Times New Roman" w:cs="Times New Roman"/>
                <w:color w:val="auto"/>
                <w:kern w:val="0"/>
                <w:sz w:val="24"/>
                <w:szCs w:val="32"/>
                <w:highlight w:val="none"/>
              </w:rPr>
            </w:pPr>
            <w:r>
              <w:rPr>
                <w:rFonts w:hint="eastAsia"/>
                <w:color w:val="auto"/>
                <w:sz w:val="24"/>
                <w:szCs w:val="24"/>
                <w:highlight w:val="none"/>
                <w:lang w:val="en-US" w:eastAsia="zh-CN"/>
              </w:rPr>
              <w:t>因此项目的建设与新平县“三区三线”相符。</w:t>
            </w:r>
          </w:p>
          <w:p w14:paraId="24382D9E">
            <w:pPr>
              <w:pStyle w:val="5"/>
              <w:adjustRightInd w:val="0"/>
              <w:snapToGrid w:val="0"/>
              <w:rPr>
                <w:rFonts w:hint="default" w:ascii="Times New Roman" w:hAnsi="Times New Roman" w:cs="Times New Roman"/>
                <w:color w:val="auto"/>
                <w:sz w:val="24"/>
              </w:rPr>
            </w:pPr>
            <w:r>
              <w:rPr>
                <w:rFonts w:hint="eastAsia" w:cs="Times New Roman"/>
                <w:color w:val="auto"/>
                <w:sz w:val="24"/>
                <w:lang w:val="en-US" w:eastAsia="zh-CN"/>
              </w:rPr>
              <w:t>7</w:t>
            </w:r>
            <w:r>
              <w:rPr>
                <w:rFonts w:hint="default" w:ascii="Times New Roman" w:hAnsi="Times New Roman" w:cs="Times New Roman"/>
                <w:color w:val="auto"/>
                <w:sz w:val="24"/>
              </w:rPr>
              <w:t>、与《云南省土壤污染防治条例》符合性分析</w:t>
            </w:r>
          </w:p>
          <w:p w14:paraId="1A3AC86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2022年1月23日，云南省第十三届人民代表大会第五次会议通过了《云南省土壤污染防治条例》，与《云南省土壤污染防治条例》的符合性分析详见下表。</w:t>
            </w:r>
          </w:p>
          <w:p w14:paraId="5C273EF5">
            <w:pPr>
              <w:pStyle w:val="18"/>
              <w:spacing w:line="360" w:lineRule="auto"/>
              <w:ind w:left="67" w:firstLine="420"/>
              <w:jc w:val="center"/>
              <w:rPr>
                <w:rFonts w:hint="default" w:ascii="Times New Roman" w:hAnsi="Times New Roman" w:eastAsia="黑体" w:cs="Times New Roman"/>
                <w:bCs/>
                <w:color w:val="auto"/>
                <w:sz w:val="21"/>
              </w:rPr>
            </w:pPr>
            <w:r>
              <w:rPr>
                <w:rFonts w:hint="default" w:ascii="Times New Roman" w:hAnsi="Times New Roman" w:eastAsia="黑体" w:cs="Times New Roman"/>
                <w:bCs/>
                <w:color w:val="auto"/>
                <w:sz w:val="21"/>
              </w:rPr>
              <w:t>表1-</w:t>
            </w:r>
            <w:r>
              <w:rPr>
                <w:rFonts w:hint="eastAsia" w:ascii="Times New Roman" w:hAnsi="Times New Roman" w:eastAsia="黑体" w:cs="Times New Roman"/>
                <w:bCs/>
                <w:color w:val="auto"/>
                <w:sz w:val="21"/>
                <w:lang w:val="en-US" w:eastAsia="zh-CN"/>
              </w:rPr>
              <w:t>4</w:t>
            </w:r>
            <w:r>
              <w:rPr>
                <w:rFonts w:hint="default" w:ascii="Times New Roman" w:hAnsi="Times New Roman" w:eastAsia="黑体" w:cs="Times New Roman"/>
                <w:bCs/>
                <w:color w:val="auto"/>
                <w:sz w:val="21"/>
              </w:rPr>
              <w:t xml:space="preserve">   与《云南省土壤污染防治条例》的符合性分析一览表</w:t>
            </w:r>
          </w:p>
          <w:tbl>
            <w:tblPr>
              <w:tblStyle w:val="3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047"/>
              <w:gridCol w:w="1742"/>
              <w:gridCol w:w="709"/>
            </w:tblGrid>
            <w:tr w14:paraId="49B1A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03" w:type="pct"/>
                  <w:tcBorders>
                    <w:tl2br w:val="nil"/>
                    <w:tr2bl w:val="nil"/>
                  </w:tcBorders>
                  <w:vAlign w:val="center"/>
                </w:tcPr>
                <w:p w14:paraId="68A71C8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862" w:type="pct"/>
                  <w:tcBorders>
                    <w:tl2br w:val="nil"/>
                    <w:tr2bl w:val="nil"/>
                  </w:tcBorders>
                  <w:vAlign w:val="center"/>
                </w:tcPr>
                <w:p w14:paraId="6DFEA44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污染防治条例要求</w:t>
                  </w:r>
                </w:p>
              </w:tc>
              <w:tc>
                <w:tcPr>
                  <w:tcW w:w="1232" w:type="pct"/>
                  <w:tcBorders>
                    <w:tl2br w:val="nil"/>
                    <w:tr2bl w:val="nil"/>
                  </w:tcBorders>
                  <w:vAlign w:val="center"/>
                </w:tcPr>
                <w:p w14:paraId="5CF2642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项目情况</w:t>
                  </w:r>
                </w:p>
              </w:tc>
              <w:tc>
                <w:tcPr>
                  <w:tcW w:w="501" w:type="pct"/>
                  <w:tcBorders>
                    <w:tl2br w:val="nil"/>
                    <w:tr2bl w:val="nil"/>
                  </w:tcBorders>
                  <w:vAlign w:val="center"/>
                </w:tcPr>
                <w:p w14:paraId="59F93D4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52E230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404501C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862" w:type="pct"/>
                  <w:tcBorders>
                    <w:tl2br w:val="nil"/>
                    <w:tr2bl w:val="nil"/>
                  </w:tcBorders>
                  <w:vAlign w:val="center"/>
                </w:tcPr>
                <w:p w14:paraId="32611F48">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第十二条：禁止在居民区和学校、医院、疗养院、养老院等单位周边新建、改建、扩建可能造成土壤污染的建设项目。</w:t>
                  </w:r>
                </w:p>
              </w:tc>
              <w:tc>
                <w:tcPr>
                  <w:tcW w:w="1232" w:type="pct"/>
                  <w:tcBorders>
                    <w:tl2br w:val="nil"/>
                    <w:tr2bl w:val="nil"/>
                  </w:tcBorders>
                  <w:vAlign w:val="center"/>
                </w:tcPr>
                <w:p w14:paraId="52F9E2A6">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项目区周边不涉及居民区和学校、医院、疗养院、养老院等单位。</w:t>
                  </w:r>
                </w:p>
              </w:tc>
              <w:tc>
                <w:tcPr>
                  <w:tcW w:w="501" w:type="pct"/>
                  <w:tcBorders>
                    <w:tl2br w:val="nil"/>
                    <w:tr2bl w:val="nil"/>
                  </w:tcBorders>
                  <w:vAlign w:val="center"/>
                </w:tcPr>
                <w:p w14:paraId="5778DDC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2B72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4A68CAD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862" w:type="pct"/>
                  <w:tcBorders>
                    <w:tl2br w:val="nil"/>
                    <w:tr2bl w:val="nil"/>
                  </w:tcBorders>
                  <w:vAlign w:val="center"/>
                </w:tcPr>
                <w:p w14:paraId="3139B27B">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第十四条：各类涉及土地利用的规划和可能造成土壤污染的建设项目，应当依法进行环境影响评价。环境影响评价文件应当包括对土壤可能造成的不良影响及应当采取的相应预防措施等内容。</w:t>
                  </w:r>
                </w:p>
                <w:p w14:paraId="0D80EA82">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建设项目配套建设的土壤污染防治设施，应当与主体工程同时设计、同时施工、同时投入使用。</w:t>
                  </w:r>
                </w:p>
              </w:tc>
              <w:tc>
                <w:tcPr>
                  <w:tcW w:w="1232" w:type="pct"/>
                  <w:tcBorders>
                    <w:tl2br w:val="nil"/>
                    <w:tr2bl w:val="nil"/>
                  </w:tcBorders>
                  <w:vAlign w:val="center"/>
                </w:tcPr>
                <w:p w14:paraId="25B13E3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本次为项目环评，将对项目运行对土壤环境可能造成的影响进行分析，并提出相应的预防措施。</w:t>
                  </w:r>
                </w:p>
              </w:tc>
              <w:tc>
                <w:tcPr>
                  <w:tcW w:w="501" w:type="pct"/>
                  <w:tcBorders>
                    <w:tl2br w:val="nil"/>
                    <w:tr2bl w:val="nil"/>
                  </w:tcBorders>
                  <w:vAlign w:val="center"/>
                </w:tcPr>
                <w:p w14:paraId="1BABA3C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4864E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66B4339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862" w:type="pct"/>
                  <w:tcBorders>
                    <w:tl2br w:val="nil"/>
                    <w:tr2bl w:val="nil"/>
                  </w:tcBorders>
                  <w:vAlign w:val="center"/>
                </w:tcPr>
                <w:p w14:paraId="2A2CEC12">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五条：单位和个人生产、使用、贮存、运输、回收、处置、排放有毒有害物质，从事加油站经营、油品运输、油品贮存以及车船拆解、修理、保养等活动，应当采取有效的防渗漏、防流失、防扬散或者其他措施，防止土壤污染。</w:t>
                  </w:r>
                </w:p>
              </w:tc>
              <w:tc>
                <w:tcPr>
                  <w:tcW w:w="1232" w:type="pct"/>
                  <w:tcBorders>
                    <w:tl2br w:val="nil"/>
                    <w:tr2bl w:val="nil"/>
                  </w:tcBorders>
                  <w:vAlign w:val="center"/>
                </w:tcPr>
                <w:p w14:paraId="186946C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本次为项目环评，将对项目运行对土壤环境可能造成的影响进行分析，并提出相应的预防措施。</w:t>
                  </w:r>
                </w:p>
              </w:tc>
              <w:tc>
                <w:tcPr>
                  <w:tcW w:w="501" w:type="pct"/>
                  <w:tcBorders>
                    <w:tl2br w:val="nil"/>
                    <w:tr2bl w:val="nil"/>
                  </w:tcBorders>
                  <w:vAlign w:val="center"/>
                </w:tcPr>
                <w:p w14:paraId="19CE25A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5ACB0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7F77D93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862" w:type="pct"/>
                  <w:tcBorders>
                    <w:tl2br w:val="nil"/>
                    <w:tr2bl w:val="nil"/>
                  </w:tcBorders>
                  <w:vAlign w:val="center"/>
                </w:tcPr>
                <w:p w14:paraId="33D5C224">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七条：土壤污染重点监管单位应当依法履行下列义务：（一）严格控制有毒有害物质排放，按年度向所在地生态环境主管部门报告排放情况；（二）建立土壤污染隐患排查制度，发现污染隐患的，应当采取相应处置措施，保证持续有效防止有毒有害物质渗漏、流失、扬散；（三）依照法律法规和监测规范，制定、实施自行监测方案，对监测数据的真实性和准确性负责，不得篡改、伪造监测数据，并将监测数据报所在地生态环境主管部门。</w:t>
                  </w:r>
                </w:p>
              </w:tc>
              <w:tc>
                <w:tcPr>
                  <w:tcW w:w="1232" w:type="pct"/>
                  <w:tcBorders>
                    <w:tl2br w:val="nil"/>
                    <w:tr2bl w:val="nil"/>
                  </w:tcBorders>
                  <w:vAlign w:val="center"/>
                </w:tcPr>
                <w:p w14:paraId="2A85B5E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企业不属于土壤污染重点监管单位。</w:t>
                  </w:r>
                </w:p>
              </w:tc>
              <w:tc>
                <w:tcPr>
                  <w:tcW w:w="501" w:type="pct"/>
                  <w:tcBorders>
                    <w:tl2br w:val="nil"/>
                    <w:tr2bl w:val="nil"/>
                  </w:tcBorders>
                  <w:vAlign w:val="center"/>
                </w:tcPr>
                <w:p w14:paraId="66A0E63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05C50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0D05E81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862" w:type="pct"/>
                  <w:tcBorders>
                    <w:tl2br w:val="nil"/>
                    <w:tr2bl w:val="nil"/>
                  </w:tcBorders>
                  <w:vAlign w:val="center"/>
                </w:tcPr>
                <w:p w14:paraId="36A52CCB">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八条：企业事业单位拆除设施、设备或者建筑物、构筑物的，应当采取相应的土壤污染防治措施。土壤污染重点监管单位拆除设施、设备或者建筑物、构筑物的，应当制定包括应急措施在内的土壤污染防治工作方案，在拆除活动前15个工作日报所在地生态环境、工业和信息化主管部门备案并实施。</w:t>
                  </w:r>
                </w:p>
                <w:p w14:paraId="79B4464D">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土壤污染重点监管单位拆除活动应当严格按照有关规定实施残留物料和污染物、污染设备和设施的安全处理处置，防止拆除活动污染土壤环境。</w:t>
                  </w:r>
                </w:p>
              </w:tc>
              <w:tc>
                <w:tcPr>
                  <w:tcW w:w="1232" w:type="pct"/>
                  <w:tcBorders>
                    <w:tl2br w:val="nil"/>
                    <w:tr2bl w:val="nil"/>
                  </w:tcBorders>
                  <w:vAlign w:val="center"/>
                </w:tcPr>
                <w:p w14:paraId="13FA0105">
                  <w:pPr>
                    <w:adjustRightInd w:val="0"/>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本项目为新建，不涉及</w:t>
                  </w:r>
                  <w:r>
                    <w:rPr>
                      <w:rFonts w:hint="default" w:ascii="Times New Roman" w:hAnsi="Times New Roman" w:cs="Times New Roman"/>
                      <w:color w:val="auto"/>
                      <w:sz w:val="18"/>
                      <w:szCs w:val="18"/>
                    </w:rPr>
                    <w:t>拆除设施、设备或建筑物、构筑物。</w:t>
                  </w:r>
                </w:p>
              </w:tc>
              <w:tc>
                <w:tcPr>
                  <w:tcW w:w="501" w:type="pct"/>
                  <w:tcBorders>
                    <w:tl2br w:val="nil"/>
                    <w:tr2bl w:val="nil"/>
                  </w:tcBorders>
                  <w:vAlign w:val="center"/>
                </w:tcPr>
                <w:p w14:paraId="7905D8D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14:paraId="207C9E4C">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根据上表分析可知，项目的建设符合《云南省土壤污染防治条例》的相关要求。</w:t>
            </w:r>
          </w:p>
          <w:p w14:paraId="281252B0">
            <w:pPr>
              <w:pStyle w:val="5"/>
              <w:adjustRightInd w:val="0"/>
              <w:snapToGrid w:val="0"/>
              <w:rPr>
                <w:rFonts w:hint="default" w:ascii="Times New Roman" w:hAnsi="Times New Roman" w:cs="Times New Roman"/>
                <w:color w:val="auto"/>
                <w:sz w:val="24"/>
              </w:rPr>
            </w:pPr>
            <w:r>
              <w:rPr>
                <w:rFonts w:hint="eastAsia" w:cs="Times New Roman"/>
                <w:color w:val="auto"/>
                <w:sz w:val="24"/>
                <w:lang w:val="en-US" w:eastAsia="zh-CN"/>
              </w:rPr>
              <w:t>8</w:t>
            </w:r>
            <w:r>
              <w:rPr>
                <w:rFonts w:hint="default" w:ascii="Times New Roman" w:hAnsi="Times New Roman" w:cs="Times New Roman"/>
                <w:color w:val="auto"/>
                <w:sz w:val="24"/>
              </w:rPr>
              <w:t>、与《玉溪市“十四五”生态建设和环境保护规划（2021-2025年）》的符合性分析</w:t>
            </w:r>
          </w:p>
          <w:p w14:paraId="61FAF01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2022年5月10日玉溪市生态环境局印发《玉溪市“十四五”生态建设和环境保护规划（2021-2025年）》，项目与其符合性分析见下表。</w:t>
            </w:r>
          </w:p>
          <w:p w14:paraId="758002EF">
            <w:pPr>
              <w:adjustRightInd w:val="0"/>
              <w:snapToGrid w:val="0"/>
              <w:spacing w:line="360" w:lineRule="auto"/>
              <w:jc w:val="center"/>
              <w:rPr>
                <w:rFonts w:hint="default"/>
                <w:color w:val="auto"/>
              </w:rPr>
            </w:pPr>
            <w:r>
              <w:rPr>
                <w:rFonts w:hint="default" w:ascii="Times New Roman" w:hAnsi="Times New Roman" w:eastAsia="黑体" w:cs="Times New Roman"/>
                <w:bCs/>
                <w:color w:val="auto"/>
                <w:szCs w:val="21"/>
              </w:rPr>
              <w:t>表1-</w:t>
            </w:r>
            <w:r>
              <w:rPr>
                <w:rFonts w:hint="eastAsia" w:eastAsia="黑体" w:cs="Times New Roman"/>
                <w:bCs/>
                <w:color w:val="auto"/>
                <w:szCs w:val="21"/>
                <w:lang w:val="en-US" w:eastAsia="zh-CN"/>
              </w:rPr>
              <w:t>5</w:t>
            </w:r>
            <w:r>
              <w:rPr>
                <w:rFonts w:hint="default" w:ascii="Times New Roman" w:hAnsi="Times New Roman" w:eastAsia="黑体" w:cs="Times New Roman"/>
                <w:bCs/>
                <w:color w:val="auto"/>
                <w:szCs w:val="21"/>
              </w:rPr>
              <w:t xml:space="preserve">  与《玉溪市“十四五”生态建设和环境保护规划（2021-2025年）》符合性分析一览表</w:t>
            </w:r>
          </w:p>
          <w:tbl>
            <w:tblPr>
              <w:tblStyle w:val="36"/>
              <w:tblW w:w="4994"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6"/>
              <w:gridCol w:w="4190"/>
              <w:gridCol w:w="1683"/>
              <w:gridCol w:w="564"/>
            </w:tblGrid>
            <w:tr w14:paraId="58B2E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58825E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2966" w:type="pct"/>
                  <w:tcBorders>
                    <w:tl2br w:val="nil"/>
                    <w:tr2bl w:val="nil"/>
                  </w:tcBorders>
                  <w:shd w:val="clear" w:color="auto" w:fill="auto"/>
                  <w:vAlign w:val="center"/>
                </w:tcPr>
                <w:p w14:paraId="682C06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相关内容</w:t>
                  </w:r>
                </w:p>
              </w:tc>
              <w:tc>
                <w:tcPr>
                  <w:tcW w:w="1191" w:type="pct"/>
                  <w:tcBorders>
                    <w:tl2br w:val="nil"/>
                    <w:tr2bl w:val="nil"/>
                  </w:tcBorders>
                  <w:shd w:val="clear" w:color="auto" w:fill="auto"/>
                  <w:vAlign w:val="center"/>
                </w:tcPr>
                <w:p w14:paraId="2AD880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建设情况</w:t>
                  </w:r>
                </w:p>
              </w:tc>
              <w:tc>
                <w:tcPr>
                  <w:tcW w:w="399" w:type="pct"/>
                  <w:tcBorders>
                    <w:tl2br w:val="nil"/>
                    <w:tr2bl w:val="nil"/>
                  </w:tcBorders>
                  <w:shd w:val="clear" w:color="auto" w:fill="auto"/>
                  <w:vAlign w:val="center"/>
                </w:tcPr>
                <w:p w14:paraId="541B3D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符合性</w:t>
                  </w:r>
                </w:p>
              </w:tc>
            </w:tr>
            <w:tr w14:paraId="15061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tcBorders>
                    <w:tl2br w:val="nil"/>
                    <w:tr2bl w:val="nil"/>
                  </w:tcBorders>
                  <w:shd w:val="clear" w:color="auto" w:fill="auto"/>
                  <w:vAlign w:val="center"/>
                </w:tcPr>
                <w:p w14:paraId="42A7AE3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第五章</w:t>
                  </w:r>
                </w:p>
              </w:tc>
              <w:tc>
                <w:tcPr>
                  <w:tcW w:w="4556" w:type="pct"/>
                  <w:gridSpan w:val="3"/>
                  <w:tcBorders>
                    <w:tl2br w:val="nil"/>
                    <w:tr2bl w:val="nil"/>
                  </w:tcBorders>
                  <w:shd w:val="clear" w:color="auto" w:fill="auto"/>
                  <w:vAlign w:val="center"/>
                </w:tcPr>
                <w:p w14:paraId="09DD799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坚持创新引领，推动绿色低碳发展</w:t>
                  </w:r>
                </w:p>
              </w:tc>
            </w:tr>
            <w:tr w14:paraId="166858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tcBorders>
                    <w:tl2br w:val="nil"/>
                    <w:tr2bl w:val="nil"/>
                  </w:tcBorders>
                  <w:shd w:val="clear" w:color="auto" w:fill="auto"/>
                  <w:vAlign w:val="center"/>
                </w:tcPr>
                <w:p w14:paraId="4DA18CE6">
                  <w:pPr>
                    <w:jc w:val="left"/>
                    <w:rPr>
                      <w:rFonts w:hint="eastAsia" w:ascii="宋体" w:hAnsi="宋体" w:eastAsia="宋体" w:cs="宋体"/>
                      <w:i w:val="0"/>
                      <w:iCs w:val="0"/>
                      <w:color w:val="auto"/>
                      <w:sz w:val="18"/>
                      <w:szCs w:val="18"/>
                      <w:u w:val="none"/>
                    </w:rPr>
                  </w:pPr>
                </w:p>
              </w:tc>
              <w:tc>
                <w:tcPr>
                  <w:tcW w:w="2966" w:type="pct"/>
                  <w:tcBorders>
                    <w:tl2br w:val="nil"/>
                    <w:tr2bl w:val="nil"/>
                  </w:tcBorders>
                  <w:shd w:val="clear" w:color="auto" w:fill="auto"/>
                  <w:vAlign w:val="top"/>
                </w:tcPr>
                <w:p w14:paraId="6E508D3A">
                  <w:pPr>
                    <w:keepNext w:val="0"/>
                    <w:keepLines w:val="0"/>
                    <w:widowControl/>
                    <w:suppressLineNumbers w:val="0"/>
                    <w:ind w:firstLineChars="200"/>
                    <w:jc w:val="both"/>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第一节</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调整产业结构</w:t>
                  </w:r>
                </w:p>
                <w:p w14:paraId="7E8FBEB9">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一、加快构建现代化产业体系</w:t>
                  </w:r>
                </w:p>
                <w:p w14:paraId="759D922F">
                  <w:pPr>
                    <w:keepNext w:val="0"/>
                    <w:keepLines w:val="0"/>
                    <w:widowControl/>
                    <w:suppressLineNumbers w:val="0"/>
                    <w:ind w:firstLineChars="200"/>
                    <w:jc w:val="both"/>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落实碳达峰、碳中和决策部署，严格实行能源消费强度和总量双控，加快节能降碳工艺革新，推进矿冶产业向开放型、创新型和绿色化、信息化、高端化发展。以产业兼并重组、淘汰落后产能和技术升级改造为抓手，推动矿山、冶炼、加工全链条发展，加快钢铁行业转型升级，建成现代化</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绿色钢城</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。优化发展化工产业，严格控制黄磷产能规模，鼓励发展黄磷深加工和磷酸精细加工为主的精细化工产业，延伸产业链，提高资源综合利用水平和环境综合治理能力。</w:t>
                  </w:r>
                </w:p>
                <w:p w14:paraId="4D4E39EC">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三、淘汰落后产能</w:t>
                  </w:r>
                </w:p>
                <w:p w14:paraId="13D841B8">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认真落实产业政策，严格环境影响评价，坚决遏制高耗能高排放项目盲目发展，加快淘汰落后产能，推动产业结构优化升级。严格执行质量、环保、能耗、安全等法规标准，加大钢铁、水泥熟料等行业落后产能淘汰和过剩产能压减力度。推进建材行业绿色发展，鼓励行业产能整合，严格落实水泥行业产能置换政策，到</w:t>
                  </w:r>
                  <w:r>
                    <w:rPr>
                      <w:rFonts w:hint="default" w:ascii="Times New Roman" w:hAnsi="Times New Roman" w:eastAsia="宋体" w:cs="Times New Roman"/>
                      <w:i w:val="0"/>
                      <w:iCs w:val="0"/>
                      <w:color w:val="auto"/>
                      <w:kern w:val="0"/>
                      <w:sz w:val="18"/>
                      <w:szCs w:val="18"/>
                      <w:u w:val="none"/>
                      <w:lang w:val="en-US" w:eastAsia="zh-CN" w:bidi="ar"/>
                    </w:rPr>
                    <w:t>2025</w:t>
                  </w:r>
                  <w:r>
                    <w:rPr>
                      <w:rFonts w:hint="eastAsia" w:ascii="宋体" w:hAnsi="宋体" w:eastAsia="宋体" w:cs="宋体"/>
                      <w:i w:val="0"/>
                      <w:iCs w:val="0"/>
                      <w:color w:val="auto"/>
                      <w:kern w:val="0"/>
                      <w:sz w:val="18"/>
                      <w:szCs w:val="18"/>
                      <w:u w:val="none"/>
                      <w:lang w:val="en-US" w:eastAsia="zh-CN" w:bidi="ar"/>
                    </w:rPr>
                    <w:t>年，全市现有日产</w:t>
                  </w:r>
                  <w:r>
                    <w:rPr>
                      <w:rFonts w:hint="default" w:ascii="Times New Roman" w:hAnsi="Times New Roman" w:eastAsia="宋体" w:cs="Times New Roman"/>
                      <w:i w:val="0"/>
                      <w:iCs w:val="0"/>
                      <w:color w:val="auto"/>
                      <w:kern w:val="0"/>
                      <w:sz w:val="18"/>
                      <w:szCs w:val="18"/>
                      <w:u w:val="none"/>
                      <w:lang w:val="en-US" w:eastAsia="zh-CN" w:bidi="ar"/>
                    </w:rPr>
                    <w:t>2000</w:t>
                  </w:r>
                  <w:r>
                    <w:rPr>
                      <w:rFonts w:hint="eastAsia" w:ascii="宋体" w:hAnsi="宋体" w:eastAsia="宋体" w:cs="宋体"/>
                      <w:i w:val="0"/>
                      <w:iCs w:val="0"/>
                      <w:color w:val="auto"/>
                      <w:kern w:val="0"/>
                      <w:sz w:val="18"/>
                      <w:szCs w:val="18"/>
                      <w:u w:val="none"/>
                      <w:lang w:val="en-US" w:eastAsia="zh-CN" w:bidi="ar"/>
                    </w:rPr>
                    <w:t>吨以下的新型干法水泥生产线全部淘汰。淘汰磷化工生产工艺落后、污染严重、不具备安全生产条件的落后产能，提高磷化工产业聚集度。建设高浓度磷复肥生产基地，发展高浓度磷复肥。</w:t>
                  </w:r>
                </w:p>
              </w:tc>
              <w:tc>
                <w:tcPr>
                  <w:tcW w:w="1191" w:type="pct"/>
                  <w:tcBorders>
                    <w:tl2br w:val="nil"/>
                    <w:tr2bl w:val="nil"/>
                  </w:tcBorders>
                  <w:shd w:val="clear" w:color="auto" w:fill="auto"/>
                  <w:vAlign w:val="center"/>
                </w:tcPr>
                <w:p w14:paraId="64FA378F">
                  <w:pPr>
                    <w:pStyle w:val="32"/>
                    <w:shd w:val="clear" w:color="auto" w:fill="FFFFFF"/>
                    <w:spacing w:before="0" w:beforeAutospacing="0" w:after="0" w:afterAutospacing="0"/>
                    <w:ind w:firstLine="360" w:firstLineChars="200"/>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项目为民用爆炸物品储存库建设项目，采取的措施能实现稳定达标排放。</w:t>
                  </w:r>
                  <w:r>
                    <w:rPr>
                      <w:rFonts w:hint="eastAsia" w:ascii="宋体" w:hAnsi="宋体" w:cs="宋体"/>
                      <w:i w:val="0"/>
                      <w:iCs w:val="0"/>
                      <w:color w:val="auto"/>
                      <w:kern w:val="0"/>
                      <w:sz w:val="18"/>
                      <w:szCs w:val="18"/>
                      <w:u w:val="none"/>
                      <w:lang w:val="en-US" w:eastAsia="zh-CN" w:bidi="ar"/>
                    </w:rPr>
                    <w:t>项目</w:t>
                  </w:r>
                  <w:r>
                    <w:rPr>
                      <w:rFonts w:hint="eastAsia" w:ascii="宋体" w:hAnsi="宋体" w:eastAsia="宋体" w:cs="宋体"/>
                      <w:i w:val="0"/>
                      <w:iCs w:val="0"/>
                      <w:color w:val="auto"/>
                      <w:kern w:val="0"/>
                      <w:sz w:val="18"/>
                      <w:szCs w:val="18"/>
                      <w:u w:val="none"/>
                      <w:lang w:val="en-US" w:eastAsia="zh-CN" w:bidi="ar"/>
                    </w:rPr>
                    <w:t>建设符合国家产业政策，项目运行后能达标排放，按环保相关要求进行管理。</w:t>
                  </w:r>
                </w:p>
              </w:tc>
              <w:tc>
                <w:tcPr>
                  <w:tcW w:w="399" w:type="pct"/>
                  <w:tcBorders>
                    <w:tl2br w:val="nil"/>
                    <w:tr2bl w:val="nil"/>
                  </w:tcBorders>
                  <w:shd w:val="clear" w:color="auto" w:fill="auto"/>
                  <w:vAlign w:val="center"/>
                </w:tcPr>
                <w:p w14:paraId="552549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w:t>
                  </w:r>
                </w:p>
              </w:tc>
            </w:tr>
            <w:tr w14:paraId="6A0C3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tcBorders>
                    <w:tl2br w:val="nil"/>
                    <w:tr2bl w:val="nil"/>
                  </w:tcBorders>
                  <w:shd w:val="clear" w:color="auto" w:fill="auto"/>
                  <w:vAlign w:val="center"/>
                </w:tcPr>
                <w:p w14:paraId="5EEB0BAF">
                  <w:pPr>
                    <w:jc w:val="left"/>
                    <w:rPr>
                      <w:rFonts w:hint="eastAsia" w:ascii="宋体" w:hAnsi="宋体" w:eastAsia="宋体" w:cs="宋体"/>
                      <w:i w:val="0"/>
                      <w:iCs w:val="0"/>
                      <w:color w:val="auto"/>
                      <w:sz w:val="18"/>
                      <w:szCs w:val="18"/>
                      <w:u w:val="none"/>
                    </w:rPr>
                  </w:pPr>
                </w:p>
              </w:tc>
              <w:tc>
                <w:tcPr>
                  <w:tcW w:w="2966" w:type="pct"/>
                  <w:tcBorders>
                    <w:tl2br w:val="nil"/>
                    <w:tr2bl w:val="nil"/>
                  </w:tcBorders>
                  <w:shd w:val="clear" w:color="auto" w:fill="auto"/>
                  <w:vAlign w:val="top"/>
                </w:tcPr>
                <w:p w14:paraId="61C670A8">
                  <w:pPr>
                    <w:keepNext w:val="0"/>
                    <w:keepLines w:val="0"/>
                    <w:widowControl/>
                    <w:suppressLineNumbers w:val="0"/>
                    <w:ind w:firstLineChars="200"/>
                    <w:jc w:val="both"/>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第三节</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加快推动绿色低碳发展</w:t>
                  </w:r>
                </w:p>
                <w:p w14:paraId="6AD73AB7">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一、推广绿色生产方式</w:t>
                  </w:r>
                </w:p>
                <w:p w14:paraId="2B54A9E6">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强绿色技术创新，加强重点行业领域绿色化改造，完成镍、磷化工、水泥等产业全流程清洁生产审核，对钢铁行业重点企业实施高温高压干熄焦、烧结烟气循环、转炉连铸系统优化等技术改造。对矿业行业重点企业实施新型富氧熔炼，电镍系统优化等技术改造。对水泥行业重点企业实施高固气比熟料煅烧、大推力多通道燃烧等技术改造。对造纸行业重点企业实施纸机高效成型、高效双盘磨浆机等技术改造。发展循环高效型、低碳清洁型产业。深度挖掘抚仙湖径流区乃至沿岸周边发展潜力，推动发展生态绿色产业，加强生态农产品供给，科学发展环湖文旅产业，开发滨湖度假旅游产品，实现生态产业化和产业生态化。推行农业清洁生产，实施化肥农药减量增效行动，到</w:t>
                  </w:r>
                  <w:r>
                    <w:rPr>
                      <w:rFonts w:hint="default" w:ascii="Times New Roman" w:hAnsi="Times New Roman" w:eastAsia="宋体" w:cs="Times New Roman"/>
                      <w:i w:val="0"/>
                      <w:iCs w:val="0"/>
                      <w:color w:val="auto"/>
                      <w:kern w:val="0"/>
                      <w:sz w:val="18"/>
                      <w:szCs w:val="18"/>
                      <w:u w:val="none"/>
                      <w:lang w:val="en-US" w:eastAsia="zh-CN" w:bidi="ar"/>
                    </w:rPr>
                    <w:t>2025</w:t>
                  </w:r>
                  <w:r>
                    <w:rPr>
                      <w:rFonts w:hint="eastAsia" w:ascii="宋体" w:hAnsi="宋体" w:eastAsia="宋体" w:cs="宋体"/>
                      <w:i w:val="0"/>
                      <w:iCs w:val="0"/>
                      <w:color w:val="auto"/>
                      <w:kern w:val="0"/>
                      <w:sz w:val="18"/>
                      <w:szCs w:val="18"/>
                      <w:u w:val="none"/>
                      <w:lang w:val="en-US" w:eastAsia="zh-CN" w:bidi="ar"/>
                    </w:rPr>
                    <w:t>年，化肥、农药利用率分别提高到</w:t>
                  </w:r>
                  <w:r>
                    <w:rPr>
                      <w:rFonts w:hint="default" w:ascii="Times New Roman" w:hAnsi="Times New Roman" w:eastAsia="宋体" w:cs="Times New Roman"/>
                      <w:i w:val="0"/>
                      <w:iCs w:val="0"/>
                      <w:color w:val="auto"/>
                      <w:kern w:val="0"/>
                      <w:sz w:val="18"/>
                      <w:szCs w:val="18"/>
                      <w:u w:val="none"/>
                      <w:lang w:val="en-US" w:eastAsia="zh-CN" w:bidi="ar"/>
                    </w:rPr>
                    <w:t>40%</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42%</w:t>
                  </w:r>
                  <w:r>
                    <w:rPr>
                      <w:rFonts w:hint="eastAsia" w:ascii="宋体" w:hAnsi="宋体" w:eastAsia="宋体" w:cs="宋体"/>
                      <w:i w:val="0"/>
                      <w:iCs w:val="0"/>
                      <w:color w:val="auto"/>
                      <w:kern w:val="0"/>
                      <w:sz w:val="18"/>
                      <w:szCs w:val="18"/>
                      <w:u w:val="none"/>
                      <w:lang w:val="en-US" w:eastAsia="zh-CN" w:bidi="ar"/>
                    </w:rPr>
                    <w:t>以上，测土配方施肥技术覆盖率保持在</w:t>
                  </w:r>
                  <w:r>
                    <w:rPr>
                      <w:rFonts w:hint="default" w:ascii="Times New Roman" w:hAnsi="Times New Roman" w:eastAsia="宋体" w:cs="Times New Roman"/>
                      <w:i w:val="0"/>
                      <w:iCs w:val="0"/>
                      <w:color w:val="auto"/>
                      <w:kern w:val="0"/>
                      <w:sz w:val="18"/>
                      <w:szCs w:val="18"/>
                      <w:u w:val="none"/>
                      <w:lang w:val="en-US" w:eastAsia="zh-CN" w:bidi="ar"/>
                    </w:rPr>
                    <w:t>90%</w:t>
                  </w:r>
                  <w:r>
                    <w:rPr>
                      <w:rFonts w:hint="eastAsia" w:ascii="宋体" w:hAnsi="宋体" w:eastAsia="宋体" w:cs="宋体"/>
                      <w:i w:val="0"/>
                      <w:iCs w:val="0"/>
                      <w:color w:val="auto"/>
                      <w:kern w:val="0"/>
                      <w:sz w:val="18"/>
                      <w:szCs w:val="18"/>
                      <w:u w:val="none"/>
                      <w:lang w:val="en-US" w:eastAsia="zh-CN" w:bidi="ar"/>
                    </w:rPr>
                    <w:t>以上。</w:t>
                  </w:r>
                </w:p>
                <w:p w14:paraId="0E1C6E12">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三、提高资源利用效率</w:t>
                  </w:r>
                </w:p>
                <w:p w14:paraId="37A2EB47">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实行能耗总量和强度</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双控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推进节能示范项目，实施钢铁、磷化工和建材三大主要耗能行业节能技改工程，优化工业能源消费结构。建立水资源刚性约束制度，落实水资源消耗总量和强度双控目标责任，实施全民节水行动，强化企业节水改造，对钢铁行业重点企业、造纸行业重点企业、食品加工企业实施工业节水改造及回收利用工程，提高重点行业工业用水重复率，建设节水型社会。</w:t>
                  </w:r>
                </w:p>
              </w:tc>
              <w:tc>
                <w:tcPr>
                  <w:tcW w:w="1191" w:type="pct"/>
                  <w:tcBorders>
                    <w:tl2br w:val="nil"/>
                    <w:tr2bl w:val="nil"/>
                  </w:tcBorders>
                  <w:shd w:val="clear" w:color="auto" w:fill="auto"/>
                  <w:vAlign w:val="center"/>
                </w:tcPr>
                <w:p w14:paraId="5233D65F">
                  <w:pPr>
                    <w:pStyle w:val="32"/>
                    <w:shd w:val="clear" w:color="auto" w:fill="FFFFFF"/>
                    <w:spacing w:before="0" w:beforeAutospacing="0" w:after="0" w:afterAutospacing="0"/>
                    <w:ind w:firstLine="360" w:firstLineChars="200"/>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项目为民用爆炸物品储存库建设项目，仅为仓储，不涉及生产，因此无生产废水产生，生活污水经化粪池</w:t>
                  </w:r>
                  <w:r>
                    <w:rPr>
                      <w:rFonts w:hint="eastAsia" w:ascii="宋体" w:hAnsi="宋体" w:cs="宋体"/>
                      <w:i w:val="0"/>
                      <w:iCs w:val="0"/>
                      <w:color w:val="auto"/>
                      <w:kern w:val="0"/>
                      <w:sz w:val="18"/>
                      <w:szCs w:val="18"/>
                      <w:u w:val="none"/>
                      <w:lang w:val="en-US" w:eastAsia="zh-CN" w:bidi="ar"/>
                    </w:rPr>
                    <w:t>收集</w:t>
                  </w:r>
                  <w:r>
                    <w:rPr>
                      <w:rFonts w:hint="eastAsia" w:ascii="宋体" w:hAnsi="宋体" w:eastAsia="宋体" w:cs="宋体"/>
                      <w:i w:val="0"/>
                      <w:iCs w:val="0"/>
                      <w:color w:val="auto"/>
                      <w:kern w:val="0"/>
                      <w:sz w:val="18"/>
                      <w:szCs w:val="18"/>
                      <w:u w:val="none"/>
                      <w:lang w:val="en-US" w:eastAsia="zh-CN" w:bidi="ar"/>
                    </w:rPr>
                    <w:t>后</w:t>
                  </w:r>
                  <w:r>
                    <w:rPr>
                      <w:rFonts w:hint="default" w:ascii="Times New Roman" w:hAnsi="Times New Roman" w:eastAsia="宋体" w:cs="Times New Roman"/>
                      <w:i w:val="0"/>
                      <w:iCs w:val="0"/>
                      <w:color w:val="auto"/>
                      <w:kern w:val="0"/>
                      <w:sz w:val="18"/>
                      <w:szCs w:val="18"/>
                      <w:u w:val="none"/>
                      <w:lang w:val="en-US" w:eastAsia="zh-CN" w:bidi="ar"/>
                    </w:rPr>
                    <w:t xml:space="preserve">运至玉溪大红山矿业有限公司现有的生活污水处理站处理达《城市污水再生利用 </w:t>
                  </w:r>
                  <w:r>
                    <w:rPr>
                      <w:rFonts w:hint="eastAsia" w:cs="Times New Roman"/>
                      <w:i w:val="0"/>
                      <w:iCs w:val="0"/>
                      <w:color w:val="auto"/>
                      <w:kern w:val="0"/>
                      <w:sz w:val="18"/>
                      <w:szCs w:val="18"/>
                      <w:u w:val="none"/>
                      <w:lang w:val="en-US" w:eastAsia="zh-CN" w:bidi="ar"/>
                    </w:rPr>
                    <w:t xml:space="preserve">  </w:t>
                  </w:r>
                  <w:r>
                    <w:rPr>
                      <w:rFonts w:hint="default" w:ascii="Times New Roman" w:hAnsi="Times New Roman" w:eastAsia="宋体" w:cs="Times New Roman"/>
                      <w:i w:val="0"/>
                      <w:iCs w:val="0"/>
                      <w:color w:val="auto"/>
                      <w:kern w:val="0"/>
                      <w:sz w:val="18"/>
                      <w:szCs w:val="18"/>
                      <w:u w:val="none"/>
                      <w:lang w:val="en-US" w:eastAsia="zh-CN" w:bidi="ar"/>
                    </w:rPr>
                    <w:t>城市杂用水水质》（GB/T18920-2020）表1中绿化、道路清扫标准限值要求后回用于矿山洒水降尘，不外排。</w:t>
                  </w:r>
                </w:p>
              </w:tc>
              <w:tc>
                <w:tcPr>
                  <w:tcW w:w="399" w:type="pct"/>
                  <w:tcBorders>
                    <w:tl2br w:val="nil"/>
                    <w:tr2bl w:val="nil"/>
                  </w:tcBorders>
                  <w:shd w:val="clear" w:color="auto" w:fill="auto"/>
                  <w:vAlign w:val="center"/>
                </w:tcPr>
                <w:p w14:paraId="021E2D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w:t>
                  </w:r>
                </w:p>
              </w:tc>
            </w:tr>
            <w:tr w14:paraId="3AE024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0442C9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第七章</w:t>
                  </w:r>
                </w:p>
              </w:tc>
              <w:tc>
                <w:tcPr>
                  <w:tcW w:w="4556" w:type="pct"/>
                  <w:gridSpan w:val="3"/>
                  <w:tcBorders>
                    <w:tl2br w:val="nil"/>
                    <w:tr2bl w:val="nil"/>
                  </w:tcBorders>
                  <w:shd w:val="clear" w:color="auto" w:fill="auto"/>
                  <w:vAlign w:val="center"/>
                </w:tcPr>
                <w:p w14:paraId="5C8A1AA0">
                  <w:pPr>
                    <w:jc w:val="both"/>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应对气候变化，控制温室气体排放</w:t>
                  </w:r>
                </w:p>
              </w:tc>
            </w:tr>
            <w:tr w14:paraId="3D3022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485C4C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2966" w:type="pct"/>
                  <w:tcBorders>
                    <w:tl2br w:val="nil"/>
                    <w:tr2bl w:val="nil"/>
                  </w:tcBorders>
                  <w:shd w:val="clear" w:color="auto" w:fill="auto"/>
                  <w:vAlign w:val="top"/>
                </w:tcPr>
                <w:p w14:paraId="745F9BD8">
                  <w:pPr>
                    <w:keepNext w:val="0"/>
                    <w:keepLines w:val="0"/>
                    <w:widowControl/>
                    <w:suppressLineNumbers w:val="0"/>
                    <w:ind w:firstLineChars="200"/>
                    <w:jc w:val="both"/>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二、加快工业节能</w:t>
                  </w:r>
                </w:p>
                <w:p w14:paraId="05016A9E">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强重点行业领域绿色化改造，完成镍、磷化工、水泥等产业全流程清洁生产审核，发展循环高效型、低碳清洁型产业。扎实推进节能示范项目，切实抓好钢铁、磷化工和建材等三大主要耗能行业的节能技改工作。对钢铁行业重点企业实施高温高压干熄焦、烧结烟气循环、转炉连铸系统优化等技术改造。对矿业行业重点企业实施新型富氧熔炼，电镍系统优化等技术改造。对水泥行业重点企业实施高固气比熟料煅烧、大推力多通道燃烧等技术改造。对造纸行业重点企业实施纸机高效成型、高效双盘磨浆机等技术改造。</w:t>
                  </w:r>
                </w:p>
              </w:tc>
              <w:tc>
                <w:tcPr>
                  <w:tcW w:w="1191" w:type="pct"/>
                  <w:tcBorders>
                    <w:tl2br w:val="nil"/>
                    <w:tr2bl w:val="nil"/>
                  </w:tcBorders>
                  <w:shd w:val="clear" w:color="auto" w:fill="auto"/>
                  <w:vAlign w:val="center"/>
                </w:tcPr>
                <w:p w14:paraId="0C4668C4">
                  <w:pPr>
                    <w:pStyle w:val="32"/>
                    <w:shd w:val="clear" w:color="auto" w:fill="FFFFFF"/>
                    <w:spacing w:before="0" w:beforeAutospacing="0" w:after="0" w:afterAutospacing="0"/>
                    <w:ind w:firstLine="360" w:firstLineChars="200"/>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项目为民用爆炸物品储存库建设项目，不属于镍、磷化工、水泥等产业，无需进行清洁生产审核。项目无生产废水产生，生活污水经化粪池</w:t>
                  </w:r>
                  <w:r>
                    <w:rPr>
                      <w:rFonts w:hint="eastAsia" w:ascii="宋体" w:hAnsi="宋体" w:cs="宋体"/>
                      <w:i w:val="0"/>
                      <w:iCs w:val="0"/>
                      <w:color w:val="auto"/>
                      <w:kern w:val="0"/>
                      <w:sz w:val="18"/>
                      <w:szCs w:val="18"/>
                      <w:u w:val="none"/>
                      <w:lang w:val="en-US" w:eastAsia="zh-CN" w:bidi="ar"/>
                    </w:rPr>
                    <w:t>收集</w:t>
                  </w:r>
                  <w:r>
                    <w:rPr>
                      <w:rFonts w:hint="eastAsia" w:ascii="宋体" w:hAnsi="宋体" w:eastAsia="宋体" w:cs="宋体"/>
                      <w:i w:val="0"/>
                      <w:iCs w:val="0"/>
                      <w:color w:val="auto"/>
                      <w:kern w:val="0"/>
                      <w:sz w:val="18"/>
                      <w:szCs w:val="18"/>
                      <w:u w:val="none"/>
                      <w:lang w:val="en-US" w:eastAsia="zh-CN" w:bidi="ar"/>
                    </w:rPr>
                    <w:t>后</w:t>
                  </w:r>
                  <w:r>
                    <w:rPr>
                      <w:rFonts w:hint="default" w:ascii="Times New Roman" w:hAnsi="Times New Roman" w:eastAsia="宋体" w:cs="Times New Roman"/>
                      <w:i w:val="0"/>
                      <w:iCs w:val="0"/>
                      <w:color w:val="auto"/>
                      <w:kern w:val="0"/>
                      <w:sz w:val="18"/>
                      <w:szCs w:val="18"/>
                      <w:u w:val="none"/>
                      <w:lang w:val="en-US" w:eastAsia="zh-CN" w:bidi="ar"/>
                    </w:rPr>
                    <w:t>运至玉溪大红山矿业有限公司现有的生活污水处理站处理达《城市污水再生利用  城市杂用水水质》（GB/T18920-2020）表1中绿化、道路清扫标准限值要求后回用于矿山洒水降尘，不外排。</w:t>
                  </w:r>
                </w:p>
              </w:tc>
              <w:tc>
                <w:tcPr>
                  <w:tcW w:w="399" w:type="pct"/>
                  <w:tcBorders>
                    <w:tl2br w:val="nil"/>
                    <w:tr2bl w:val="nil"/>
                  </w:tcBorders>
                  <w:shd w:val="clear" w:color="auto" w:fill="auto"/>
                  <w:vAlign w:val="center"/>
                </w:tcPr>
                <w:p w14:paraId="37163E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w:t>
                  </w:r>
                </w:p>
              </w:tc>
            </w:tr>
            <w:tr w14:paraId="231D47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1BF6B69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第八章</w:t>
                  </w:r>
                </w:p>
              </w:tc>
              <w:tc>
                <w:tcPr>
                  <w:tcW w:w="4556" w:type="pct"/>
                  <w:gridSpan w:val="3"/>
                  <w:tcBorders>
                    <w:tl2br w:val="nil"/>
                    <w:tr2bl w:val="nil"/>
                  </w:tcBorders>
                  <w:shd w:val="clear" w:color="auto" w:fill="auto"/>
                  <w:vAlign w:val="center"/>
                </w:tcPr>
                <w:p w14:paraId="1F65DD46">
                  <w:pPr>
                    <w:jc w:val="both"/>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统筹协调，深入打好污染防治攻坚战</w:t>
                  </w:r>
                </w:p>
              </w:tc>
            </w:tr>
            <w:tr w14:paraId="54CEDA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60EE4B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控制污染物排放</w:t>
                  </w:r>
                </w:p>
              </w:tc>
              <w:tc>
                <w:tcPr>
                  <w:tcW w:w="2966" w:type="pct"/>
                  <w:tcBorders>
                    <w:tl2br w:val="nil"/>
                    <w:tr2bl w:val="nil"/>
                  </w:tcBorders>
                  <w:shd w:val="clear" w:color="auto" w:fill="auto"/>
                  <w:vAlign w:val="top"/>
                </w:tcPr>
                <w:p w14:paraId="2778DCE5">
                  <w:pPr>
                    <w:keepNext w:val="0"/>
                    <w:keepLines w:val="0"/>
                    <w:widowControl/>
                    <w:suppressLineNumbers w:val="0"/>
                    <w:ind w:firstLineChars="200"/>
                    <w:jc w:val="both"/>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（二）有序开展结构调整</w:t>
                  </w:r>
                </w:p>
                <w:p w14:paraId="5A784AC7">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调整优化产业结构，推进产业绿色发展。按照云南省环境管控单元生态环境准入清单要求，各县（市、区）必须严格执行生态环境准入清单的管控要求，明确禁止和限制发展的行业、生产工艺和产业目录。修订完善高耗能、高污染和资源型行业准入条件，制订更严格的产业准入门槛。</w:t>
                  </w:r>
                </w:p>
                <w:p w14:paraId="0ADF4BB1">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加快城市建成区重污染企业搬迁改造或关闭退出，重点推动城市建成区及周边水泥、化工、钢铁等重污染企业搬迁改造或关闭退出。</w:t>
                  </w:r>
                </w:p>
                <w:p w14:paraId="4D50CEB3">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全面开展</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散乱污</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企业及集群综合整治行动，实行拉网式排查，建立管理台账，按照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先停后治</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的原则，实施分类处置。建立覆盖固定污染源的企业排放许可制度。</w:t>
                  </w:r>
                </w:p>
                <w:p w14:paraId="4D750C9F">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推动淘汰落后产能，淘汰落后生产工艺和设备，深入推进钢铁产业整合重组，提高钢铁产业综合实力。有色金属以铜、镍为重点，开发精深加工，延伸有色金属产业链。</w:t>
                  </w:r>
                </w:p>
                <w:p w14:paraId="67D4BEB3">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（三）加大重点行业整治</w:t>
                  </w:r>
                </w:p>
                <w:p w14:paraId="0DC1F7D2">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持续推进钢铁行业超低排放改造工作，加强钢铁、水泥等重点行业脱硫、脱硝、除尘设施运行管理，确保治污设施正常运行，污染物达标排放。开展钢铁、建材、有色、焦化、铸造等重点行业及燃煤锅炉无组织排放排查，建立管理台账，对物料（含废渣）运输、装卸、储存、转移和工艺过程等无组织排放实施深度治理。</w:t>
                  </w:r>
                </w:p>
              </w:tc>
              <w:tc>
                <w:tcPr>
                  <w:tcW w:w="1191" w:type="pct"/>
                  <w:tcBorders>
                    <w:tl2br w:val="nil"/>
                    <w:tr2bl w:val="nil"/>
                  </w:tcBorders>
                  <w:shd w:val="clear" w:color="auto" w:fill="auto"/>
                  <w:vAlign w:val="center"/>
                </w:tcPr>
                <w:p w14:paraId="3DFE2A8B">
                  <w:pPr>
                    <w:pStyle w:val="32"/>
                    <w:shd w:val="clear" w:color="auto" w:fill="FFFFFF"/>
                    <w:spacing w:before="0" w:beforeAutospacing="0" w:after="0" w:afterAutospacing="0"/>
                    <w:ind w:firstLine="360" w:firstLineChars="200"/>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项目位于戛洒镇米尺莫村委会哈母白租村民小组，项目符合云南省及玉溪市生态环境分区管控相关要求。</w:t>
                  </w:r>
                </w:p>
              </w:tc>
              <w:tc>
                <w:tcPr>
                  <w:tcW w:w="399" w:type="pct"/>
                  <w:tcBorders>
                    <w:tl2br w:val="nil"/>
                    <w:tr2bl w:val="nil"/>
                  </w:tcBorders>
                  <w:shd w:val="clear" w:color="auto" w:fill="auto"/>
                  <w:vAlign w:val="center"/>
                </w:tcPr>
                <w:p w14:paraId="2CEF5A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w:t>
                  </w:r>
                </w:p>
              </w:tc>
            </w:tr>
            <w:tr w14:paraId="40BE9E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79375C0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降低能源消耗</w:t>
                  </w:r>
                </w:p>
              </w:tc>
              <w:tc>
                <w:tcPr>
                  <w:tcW w:w="2966" w:type="pct"/>
                  <w:tcBorders>
                    <w:tl2br w:val="nil"/>
                    <w:tr2bl w:val="nil"/>
                  </w:tcBorders>
                  <w:shd w:val="clear" w:color="auto" w:fill="auto"/>
                  <w:vAlign w:val="top"/>
                </w:tcPr>
                <w:p w14:paraId="1FACB91C">
                  <w:pPr>
                    <w:keepNext w:val="0"/>
                    <w:keepLines w:val="0"/>
                    <w:widowControl/>
                    <w:suppressLineNumbers w:val="0"/>
                    <w:ind w:firstLineChars="200"/>
                    <w:jc w:val="both"/>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加快调整能源结构，构建清洁低碳高效能源体系。削减煤炭消费量，推进煤炭清洁利用，加快推进煤炭消费减量替代，全面推进城乡</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煤改气</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煤改电</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工程建设。</w:t>
                  </w:r>
                </w:p>
                <w:p w14:paraId="2777B7EB">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面推行清洁生产，强化源头污染预防。按照省工业和信息化委公布的审核名单，有序推进化工、钢材、水泥、有色等重点行业自愿性清洁生产审核，按时、按质完成审核评估和验收工作。按照省生态环境厅公布的审核名单，有序推进化工、钢材、水泥、有色等重点行业强制性清洁生产审核，按时、按质完成审核评估和验收工作按照国家铜冶炼业、铜电解业和有色金属行业相关清洁生产标准。</w:t>
                  </w:r>
                </w:p>
              </w:tc>
              <w:tc>
                <w:tcPr>
                  <w:tcW w:w="1191" w:type="pct"/>
                  <w:tcBorders>
                    <w:tl2br w:val="nil"/>
                    <w:tr2bl w:val="nil"/>
                  </w:tcBorders>
                  <w:shd w:val="clear" w:color="auto" w:fill="auto"/>
                  <w:vAlign w:val="center"/>
                </w:tcPr>
                <w:p w14:paraId="73274CE4">
                  <w:pPr>
                    <w:pStyle w:val="32"/>
                    <w:shd w:val="clear" w:color="auto" w:fill="FFFFFF"/>
                    <w:spacing w:before="0" w:beforeAutospacing="0" w:after="0" w:afterAutospacing="0"/>
                    <w:ind w:firstLine="360" w:firstLineChars="200"/>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项目为民用爆炸物品储存库建设项目，不涉及煤炭的消费。</w:t>
                  </w:r>
                </w:p>
              </w:tc>
              <w:tc>
                <w:tcPr>
                  <w:tcW w:w="399" w:type="pct"/>
                  <w:tcBorders>
                    <w:tl2br w:val="nil"/>
                    <w:tr2bl w:val="nil"/>
                  </w:tcBorders>
                  <w:shd w:val="clear" w:color="auto" w:fill="auto"/>
                  <w:vAlign w:val="center"/>
                </w:tcPr>
                <w:p w14:paraId="6CCC28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w:t>
                  </w:r>
                </w:p>
              </w:tc>
            </w:tr>
            <w:tr w14:paraId="26018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tcBorders>
                    <w:tl2br w:val="nil"/>
                    <w:tr2bl w:val="nil"/>
                  </w:tcBorders>
                  <w:shd w:val="clear" w:color="auto" w:fill="auto"/>
                  <w:vAlign w:val="center"/>
                </w:tcPr>
                <w:p w14:paraId="1AFA4A2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治理大气污染</w:t>
                  </w:r>
                </w:p>
              </w:tc>
              <w:tc>
                <w:tcPr>
                  <w:tcW w:w="2966" w:type="pct"/>
                  <w:tcBorders>
                    <w:tl2br w:val="nil"/>
                    <w:tr2bl w:val="nil"/>
                  </w:tcBorders>
                  <w:shd w:val="clear" w:color="auto" w:fill="auto"/>
                  <w:vAlign w:val="top"/>
                </w:tcPr>
                <w:p w14:paraId="1E46CE31">
                  <w:pPr>
                    <w:keepNext w:val="0"/>
                    <w:keepLines w:val="0"/>
                    <w:widowControl/>
                    <w:suppressLineNumbers w:val="0"/>
                    <w:ind w:firstLineChars="200"/>
                    <w:jc w:val="both"/>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（一）加强城市扬尘治理</w:t>
                  </w:r>
                </w:p>
                <w:p w14:paraId="44F97BB0">
                  <w:pPr>
                    <w:keepNext w:val="0"/>
                    <w:keepLines w:val="0"/>
                    <w:widowControl/>
                    <w:suppressLineNumbers w:val="0"/>
                    <w:ind w:firstLineChars="200"/>
                    <w:jc w:val="both"/>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加强施工扬尘监管，积极推进绿色施工。加强建筑施工场地扬尘污染管控。建筑施工场地应做到</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六个百分百</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城市建成区及周边地区的工程建设施工现场应全封闭设置围挡墙、施工围网、防风抑尘网，严禁敞开式作业，施工现场道路应进行地面硬化。渣土运输车辆进出施工工地要进行清洗，运输过程采取密闭措施，并按照指定路线运输。加强建筑施工场地运输车辆的管理。建筑施工场地必须设置</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三池一设备</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（车辆过水池、沉淀池、冲洗池及车辆清洗设备），建筑垃圾（含渣土）运输车辆驶离工地要进行清洗保洁；运输过程中采取密闭措施，杜绝</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滴、漏、泼、洒</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污染路面、违规乱排乱倒、车身不洁等情况；达不到外运条件的坚决不予外运，造成路面污染或违规行为较突出等情况的，一律停工整改。严惩施工扬尘污染违法违规行为。县级以上城市要加大城市建成区内洒水等防风抑尘作业力度，推行道路机械化清扫等低尘作业方式；大型煤堆、料堆实现封闭存储或建设防风抑尘设施。</w:t>
                  </w:r>
                </w:p>
              </w:tc>
              <w:tc>
                <w:tcPr>
                  <w:tcW w:w="1191" w:type="pct"/>
                  <w:tcBorders>
                    <w:tl2br w:val="nil"/>
                    <w:tr2bl w:val="nil"/>
                  </w:tcBorders>
                  <w:shd w:val="clear" w:color="auto" w:fill="auto"/>
                  <w:vAlign w:val="center"/>
                </w:tcPr>
                <w:p w14:paraId="25E04A9B">
                  <w:pPr>
                    <w:pStyle w:val="32"/>
                    <w:shd w:val="clear" w:color="auto" w:fill="FFFFFF"/>
                    <w:spacing w:before="0" w:beforeAutospacing="0" w:after="0" w:afterAutospacing="0"/>
                    <w:ind w:firstLine="360" w:firstLineChars="200"/>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本环评要求后续项目施工时应严格按照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六个百分百</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的要求进行。</w:t>
                  </w:r>
                </w:p>
              </w:tc>
              <w:tc>
                <w:tcPr>
                  <w:tcW w:w="399" w:type="pct"/>
                  <w:tcBorders>
                    <w:tl2br w:val="nil"/>
                    <w:tr2bl w:val="nil"/>
                  </w:tcBorders>
                  <w:shd w:val="clear" w:color="auto" w:fill="auto"/>
                  <w:vAlign w:val="center"/>
                </w:tcPr>
                <w:p w14:paraId="52CF76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符合</w:t>
                  </w:r>
                </w:p>
              </w:tc>
            </w:tr>
          </w:tbl>
          <w:p w14:paraId="5A88E59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根据分析，项目符合《玉溪市“十四五”生态建设和环境保护规划（2021-2025年）》相关要求。</w:t>
            </w:r>
          </w:p>
          <w:p w14:paraId="43C4B2EB">
            <w:pPr>
              <w:pStyle w:val="5"/>
              <w:adjustRightInd w:val="0"/>
              <w:snapToGrid w:val="0"/>
              <w:rPr>
                <w:rFonts w:hint="default" w:ascii="Times New Roman" w:hAnsi="Times New Roman" w:cs="Times New Roman"/>
                <w:color w:val="auto"/>
                <w:sz w:val="24"/>
                <w:lang w:val="en-US" w:eastAsia="zh-CN"/>
              </w:rPr>
            </w:pPr>
            <w:r>
              <w:rPr>
                <w:rFonts w:hint="eastAsia" w:cs="Times New Roman"/>
                <w:color w:val="auto"/>
                <w:sz w:val="24"/>
                <w:lang w:val="en-US" w:eastAsia="zh-CN"/>
              </w:rPr>
              <w:t>9</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与《云南省生态环境保护条例》的符合性分析</w:t>
            </w:r>
          </w:p>
          <w:p w14:paraId="25971DBD">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本项目与《云南省生态环境保护条例》符合性分析见下表。</w:t>
            </w:r>
          </w:p>
          <w:p w14:paraId="0FA0F5F6">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rPr>
              <w:t>表</w:t>
            </w:r>
            <w:r>
              <w:rPr>
                <w:rFonts w:hint="default" w:ascii="Times New Roman" w:hAnsi="Times New Roman" w:eastAsia="黑体" w:cs="Times New Roman"/>
                <w:bCs/>
                <w:color w:val="auto"/>
                <w:szCs w:val="21"/>
                <w:lang w:val="en-US" w:eastAsia="zh-CN"/>
              </w:rPr>
              <w:t>1-</w:t>
            </w:r>
            <w:r>
              <w:rPr>
                <w:rFonts w:hint="eastAsia" w:eastAsia="黑体" w:cs="Times New Roman"/>
                <w:bCs/>
                <w:color w:val="auto"/>
                <w:szCs w:val="21"/>
                <w:lang w:val="en-US" w:eastAsia="zh-CN"/>
              </w:rPr>
              <w:t>6</w:t>
            </w:r>
            <w:r>
              <w:rPr>
                <w:rFonts w:hint="default" w:ascii="Times New Roman" w:hAnsi="Times New Roman" w:eastAsia="黑体" w:cs="Times New Roman"/>
                <w:bCs/>
                <w:color w:val="auto"/>
                <w:szCs w:val="21"/>
                <w:lang w:val="en-US" w:eastAsia="zh-CN"/>
              </w:rPr>
              <w:t xml:space="preserve"> </w:t>
            </w:r>
            <w:r>
              <w:rPr>
                <w:rFonts w:hint="default" w:ascii="Times New Roman" w:hAnsi="Times New Roman" w:eastAsia="黑体" w:cs="Times New Roman"/>
                <w:bCs/>
                <w:color w:val="auto"/>
                <w:szCs w:val="21"/>
                <w:lang w:eastAsia="zh-CN"/>
              </w:rPr>
              <w:t xml:space="preserve"> </w:t>
            </w:r>
            <w:r>
              <w:rPr>
                <w:rFonts w:hint="default" w:ascii="Times New Roman" w:hAnsi="Times New Roman" w:eastAsia="黑体" w:cs="Times New Roman"/>
                <w:bCs/>
                <w:color w:val="auto"/>
                <w:szCs w:val="21"/>
                <w:lang w:val="en-US" w:eastAsia="zh-CN"/>
              </w:rPr>
              <w:t>与《云南省生物多样性保护条例》符合性分析一览表</w:t>
            </w:r>
          </w:p>
          <w:tbl>
            <w:tblPr>
              <w:tblStyle w:val="132"/>
              <w:tblW w:w="4997"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519"/>
              <w:gridCol w:w="3364"/>
              <w:gridCol w:w="2716"/>
              <w:gridCol w:w="468"/>
            </w:tblGrid>
            <w:tr w14:paraId="37E474E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tblHeader/>
                <w:jc w:val="center"/>
              </w:trPr>
              <w:tc>
                <w:tcPr>
                  <w:tcW w:w="367" w:type="pct"/>
                  <w:tcBorders>
                    <w:tl2br w:val="nil"/>
                    <w:tr2bl w:val="nil"/>
                  </w:tcBorders>
                  <w:shd w:val="clear" w:color="auto" w:fill="auto"/>
                  <w:noWrap w:val="0"/>
                  <w:vAlign w:val="center"/>
                </w:tcPr>
                <w:p w14:paraId="68F75559">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序号</w:t>
                  </w:r>
                </w:p>
              </w:tc>
              <w:tc>
                <w:tcPr>
                  <w:tcW w:w="2380" w:type="pct"/>
                  <w:tcBorders>
                    <w:tl2br w:val="nil"/>
                    <w:tr2bl w:val="nil"/>
                  </w:tcBorders>
                  <w:shd w:val="clear" w:color="auto" w:fill="auto"/>
                  <w:noWrap w:val="0"/>
                  <w:vAlign w:val="center"/>
                </w:tcPr>
                <w:p w14:paraId="346C7562">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
                    </w:rPr>
                  </w:pPr>
                  <w:r>
                    <w:rPr>
                      <w:rFonts w:hint="default" w:ascii="Times New Roman" w:hAnsi="Times New Roman" w:eastAsia="宋体" w:cs="Times New Roman"/>
                      <w:bCs/>
                      <w:color w:val="auto"/>
                      <w:sz w:val="18"/>
                      <w:szCs w:val="18"/>
                      <w:highlight w:val="none"/>
                      <w:lang w:val="en" w:eastAsia="zh-CN"/>
                    </w:rPr>
                    <w:t>“</w:t>
                  </w:r>
                  <w:r>
                    <w:rPr>
                      <w:rFonts w:hint="default" w:ascii="Times New Roman" w:hAnsi="Times New Roman" w:eastAsia="宋体" w:cs="Times New Roman"/>
                      <w:bCs/>
                      <w:color w:val="auto"/>
                      <w:sz w:val="18"/>
                      <w:szCs w:val="18"/>
                      <w:highlight w:val="none"/>
                      <w:lang w:val="en-US" w:eastAsia="zh-CN"/>
                    </w:rPr>
                    <w:t>条例</w:t>
                  </w:r>
                  <w:r>
                    <w:rPr>
                      <w:rFonts w:hint="default" w:ascii="Times New Roman" w:hAnsi="Times New Roman" w:eastAsia="宋体" w:cs="Times New Roman"/>
                      <w:bCs/>
                      <w:color w:val="auto"/>
                      <w:sz w:val="18"/>
                      <w:szCs w:val="18"/>
                      <w:highlight w:val="none"/>
                      <w:lang w:val="en" w:eastAsia="zh-CN"/>
                    </w:rPr>
                    <w:t>”</w:t>
                  </w:r>
                  <w:r>
                    <w:rPr>
                      <w:rFonts w:hint="default" w:ascii="Times New Roman" w:hAnsi="Times New Roman" w:eastAsia="宋体" w:cs="Times New Roman"/>
                      <w:bCs/>
                      <w:color w:val="auto"/>
                      <w:sz w:val="18"/>
                      <w:szCs w:val="18"/>
                      <w:highlight w:val="none"/>
                      <w:lang w:val="en-US" w:eastAsia="zh-CN"/>
                    </w:rPr>
                    <w:t>相关要求</w:t>
                  </w:r>
                </w:p>
              </w:tc>
              <w:tc>
                <w:tcPr>
                  <w:tcW w:w="1921" w:type="pct"/>
                  <w:tcBorders>
                    <w:tl2br w:val="nil"/>
                    <w:tr2bl w:val="nil"/>
                  </w:tcBorders>
                  <w:shd w:val="clear" w:color="auto" w:fill="auto"/>
                  <w:noWrap w:val="0"/>
                  <w:vAlign w:val="center"/>
                </w:tcPr>
                <w:p w14:paraId="2C2D8E34">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
                    </w:rPr>
                  </w:pPr>
                  <w:r>
                    <w:rPr>
                      <w:rFonts w:hint="default" w:ascii="Times New Roman" w:hAnsi="Times New Roman" w:eastAsia="宋体" w:cs="Times New Roman"/>
                      <w:bCs/>
                      <w:color w:val="auto"/>
                      <w:sz w:val="18"/>
                      <w:szCs w:val="18"/>
                      <w:highlight w:val="none"/>
                      <w:lang w:val="en"/>
                    </w:rPr>
                    <w:t>本项目情况</w:t>
                  </w:r>
                </w:p>
              </w:tc>
              <w:tc>
                <w:tcPr>
                  <w:tcW w:w="331" w:type="pct"/>
                  <w:tcBorders>
                    <w:tl2br w:val="nil"/>
                    <w:tr2bl w:val="nil"/>
                  </w:tcBorders>
                  <w:shd w:val="clear" w:color="auto" w:fill="auto"/>
                  <w:noWrap w:val="0"/>
                  <w:vAlign w:val="center"/>
                </w:tcPr>
                <w:p w14:paraId="60004C10">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符合性</w:t>
                  </w:r>
                </w:p>
              </w:tc>
            </w:tr>
            <w:tr w14:paraId="297CF65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493C9B25">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1</w:t>
                  </w:r>
                </w:p>
              </w:tc>
              <w:tc>
                <w:tcPr>
                  <w:tcW w:w="2380" w:type="pct"/>
                  <w:tcBorders>
                    <w:tl2br w:val="nil"/>
                    <w:tr2bl w:val="nil"/>
                  </w:tcBorders>
                  <w:shd w:val="clear" w:color="auto" w:fill="auto"/>
                  <w:noWrap w:val="0"/>
                  <w:tcMar>
                    <w:top w:w="0" w:type="dxa"/>
                    <w:left w:w="57" w:type="dxa"/>
                    <w:bottom w:w="0" w:type="dxa"/>
                    <w:right w:w="57" w:type="dxa"/>
                  </w:tcMar>
                  <w:vAlign w:val="center"/>
                </w:tcPr>
                <w:p w14:paraId="4D5EC8B2">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第六条 企业事业单位和其他生产经营者应当建立健全生态环境保护管理制度，采取生态环境保护措施，加强对从业人员生态环境保护法律法规和生态环境保护知识的培训，防止、减少环境污染和生态破坏，对所造成的损害依法承担责任。</w:t>
                  </w:r>
                </w:p>
              </w:tc>
              <w:tc>
                <w:tcPr>
                  <w:tcW w:w="1921" w:type="pct"/>
                  <w:tcBorders>
                    <w:tl2br w:val="nil"/>
                    <w:tr2bl w:val="nil"/>
                  </w:tcBorders>
                  <w:shd w:val="clear" w:color="auto" w:fill="auto"/>
                  <w:noWrap w:val="0"/>
                  <w:tcMar>
                    <w:top w:w="0" w:type="dxa"/>
                    <w:left w:w="57" w:type="dxa"/>
                    <w:bottom w:w="0" w:type="dxa"/>
                    <w:right w:w="57" w:type="dxa"/>
                  </w:tcMar>
                  <w:vAlign w:val="center"/>
                </w:tcPr>
                <w:p w14:paraId="0CE32595">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项目批准后按要求</w:t>
                  </w:r>
                  <w:r>
                    <w:rPr>
                      <w:rFonts w:hint="default" w:ascii="Times New Roman" w:hAnsi="Times New Roman" w:eastAsia="宋体" w:cs="Times New Roman"/>
                      <w:bCs/>
                      <w:color w:val="auto"/>
                      <w:sz w:val="18"/>
                      <w:szCs w:val="18"/>
                      <w:lang w:val="en"/>
                    </w:rPr>
                    <w:t>建立健全生态环境保护管理制度，采取生态环境保护措施，加强对从业人员生态环境保护法律法规和生态环境保护知识的培训，防止、减少环境污染和生态破坏</w:t>
                  </w:r>
                  <w:r>
                    <w:rPr>
                      <w:rFonts w:hint="default" w:ascii="Times New Roman" w:hAnsi="Times New Roman" w:eastAsia="宋体" w:cs="Times New Roman"/>
                      <w:bCs/>
                      <w:color w:val="auto"/>
                      <w:sz w:val="18"/>
                      <w:szCs w:val="18"/>
                      <w:lang w:val="en" w:eastAsia="zh-CN"/>
                    </w:rPr>
                    <w:t>。</w:t>
                  </w:r>
                </w:p>
              </w:tc>
              <w:tc>
                <w:tcPr>
                  <w:tcW w:w="331" w:type="pct"/>
                  <w:tcBorders>
                    <w:tl2br w:val="nil"/>
                    <w:tr2bl w:val="nil"/>
                  </w:tcBorders>
                  <w:shd w:val="clear" w:color="auto" w:fill="auto"/>
                  <w:noWrap w:val="0"/>
                  <w:vAlign w:val="center"/>
                </w:tcPr>
                <w:p w14:paraId="111766EC">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22EA18E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2147A8B9">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2</w:t>
                  </w:r>
                </w:p>
              </w:tc>
              <w:tc>
                <w:tcPr>
                  <w:tcW w:w="2380" w:type="pct"/>
                  <w:tcBorders>
                    <w:tl2br w:val="nil"/>
                    <w:tr2bl w:val="nil"/>
                  </w:tcBorders>
                  <w:shd w:val="clear" w:color="auto" w:fill="auto"/>
                  <w:noWrap w:val="0"/>
                  <w:tcMar>
                    <w:top w:w="0" w:type="dxa"/>
                    <w:left w:w="57" w:type="dxa"/>
                    <w:bottom w:w="0" w:type="dxa"/>
                    <w:right w:w="57" w:type="dxa"/>
                  </w:tcMar>
                  <w:vAlign w:val="center"/>
                </w:tcPr>
                <w:p w14:paraId="5601BC05">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 第十八条 建设项目需要配套建设的环境保护设施应当与主体工程同时设计、同时施工、同时投产使用。</w:t>
                  </w:r>
                  <w:r>
                    <w:rPr>
                      <w:rFonts w:hint="default" w:ascii="Times New Roman" w:hAnsi="Times New Roman" w:eastAsia="宋体" w:cs="Times New Roman"/>
                      <w:bCs/>
                      <w:color w:val="auto"/>
                      <w:sz w:val="18"/>
                      <w:szCs w:val="18"/>
                      <w:lang w:val="en"/>
                    </w:rPr>
                    <w:br w:type="textWrapping"/>
                  </w:r>
                  <w:r>
                    <w:rPr>
                      <w:rFonts w:hint="default" w:ascii="Times New Roman" w:hAnsi="Times New Roman" w:eastAsia="宋体" w:cs="Times New Roman"/>
                      <w:bCs/>
                      <w:color w:val="auto"/>
                      <w:sz w:val="18"/>
                      <w:szCs w:val="18"/>
                      <w:lang w:val="en"/>
                    </w:rPr>
                    <w:t>  编制环境影响报告书、环境影响报告表的建设项目竣工后，建设单位应当按照国家规定的标准和程序，对配套建设的环境保护设施进行验收，编制验收报告。配套建设的环境保护设施经验收合格，方可投入生产或者使用；未经验收或者验收不合格的，不得投入生产或者使用。</w:t>
                  </w:r>
                </w:p>
              </w:tc>
              <w:tc>
                <w:tcPr>
                  <w:tcW w:w="1921" w:type="pct"/>
                  <w:tcBorders>
                    <w:tl2br w:val="nil"/>
                    <w:tr2bl w:val="nil"/>
                  </w:tcBorders>
                  <w:shd w:val="clear" w:color="auto" w:fill="auto"/>
                  <w:noWrap w:val="0"/>
                  <w:tcMar>
                    <w:top w:w="0" w:type="dxa"/>
                    <w:left w:w="57" w:type="dxa"/>
                    <w:bottom w:w="0" w:type="dxa"/>
                    <w:right w:w="57" w:type="dxa"/>
                  </w:tcMar>
                  <w:vAlign w:val="center"/>
                </w:tcPr>
                <w:p w14:paraId="74B6BC46">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项目批准后，</w:t>
                  </w:r>
                  <w:r>
                    <w:rPr>
                      <w:rFonts w:hint="eastAsia" w:ascii="Times New Roman" w:hAnsi="Times New Roman" w:cs="Times New Roman"/>
                      <w:bCs/>
                      <w:color w:val="auto"/>
                      <w:sz w:val="18"/>
                      <w:szCs w:val="18"/>
                      <w:lang w:val="en-US" w:eastAsia="zh-CN"/>
                    </w:rPr>
                    <w:t>将</w:t>
                  </w:r>
                  <w:r>
                    <w:rPr>
                      <w:rFonts w:hint="default" w:ascii="Times New Roman" w:hAnsi="Times New Roman" w:eastAsia="宋体" w:cs="Times New Roman"/>
                      <w:bCs/>
                      <w:color w:val="auto"/>
                      <w:sz w:val="18"/>
                      <w:szCs w:val="18"/>
                      <w:lang w:val="en-US" w:eastAsia="zh-CN"/>
                    </w:rPr>
                    <w:t>按环评要求</w:t>
                  </w:r>
                  <w:r>
                    <w:rPr>
                      <w:rFonts w:hint="default" w:ascii="Times New Roman" w:hAnsi="Times New Roman" w:eastAsia="宋体" w:cs="Times New Roman"/>
                      <w:bCs/>
                      <w:color w:val="auto"/>
                      <w:sz w:val="18"/>
                      <w:szCs w:val="18"/>
                      <w:lang w:val="en"/>
                    </w:rPr>
                    <w:t>配套</w:t>
                  </w:r>
                  <w:r>
                    <w:rPr>
                      <w:rFonts w:hint="eastAsia" w:ascii="Times New Roman" w:hAnsi="Times New Roman" w:cs="Times New Roman"/>
                      <w:bCs/>
                      <w:color w:val="auto"/>
                      <w:sz w:val="18"/>
                      <w:szCs w:val="18"/>
                      <w:lang w:val="en" w:eastAsia="zh-CN"/>
                    </w:rPr>
                    <w:t>建设</w:t>
                  </w:r>
                  <w:r>
                    <w:rPr>
                      <w:rFonts w:hint="default" w:ascii="Times New Roman" w:hAnsi="Times New Roman" w:eastAsia="宋体" w:cs="Times New Roman"/>
                      <w:bCs/>
                      <w:color w:val="auto"/>
                      <w:sz w:val="18"/>
                      <w:szCs w:val="18"/>
                      <w:lang w:val="en"/>
                    </w:rPr>
                    <w:t>环境保护设施</w:t>
                  </w:r>
                  <w:r>
                    <w:rPr>
                      <w:rFonts w:hint="eastAsia" w:ascii="Times New Roman" w:hAnsi="Times New Roman" w:cs="Times New Roman"/>
                      <w:bCs/>
                      <w:color w:val="auto"/>
                      <w:sz w:val="18"/>
                      <w:szCs w:val="18"/>
                      <w:lang w:val="en-US" w:eastAsia="zh-CN"/>
                    </w:rPr>
                    <w:t>并</w:t>
                  </w:r>
                  <w:r>
                    <w:rPr>
                      <w:rFonts w:hint="default" w:ascii="Times New Roman" w:hAnsi="Times New Roman" w:eastAsia="宋体" w:cs="Times New Roman"/>
                      <w:bCs/>
                      <w:color w:val="auto"/>
                      <w:sz w:val="18"/>
                      <w:szCs w:val="18"/>
                      <w:lang w:val="en"/>
                    </w:rPr>
                    <w:t>与主体工程同时设计、同时施工、同时投产使用。</w:t>
                  </w:r>
                </w:p>
              </w:tc>
              <w:tc>
                <w:tcPr>
                  <w:tcW w:w="331" w:type="pct"/>
                  <w:tcBorders>
                    <w:tl2br w:val="nil"/>
                    <w:tr2bl w:val="nil"/>
                  </w:tcBorders>
                  <w:shd w:val="clear" w:color="auto" w:fill="auto"/>
                  <w:noWrap w:val="0"/>
                  <w:vAlign w:val="center"/>
                </w:tcPr>
                <w:p w14:paraId="19957D57">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2CBC89A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00B1D4B1">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3</w:t>
                  </w:r>
                </w:p>
              </w:tc>
              <w:tc>
                <w:tcPr>
                  <w:tcW w:w="2380" w:type="pct"/>
                  <w:tcBorders>
                    <w:tl2br w:val="nil"/>
                    <w:tr2bl w:val="nil"/>
                  </w:tcBorders>
                  <w:shd w:val="clear" w:color="auto" w:fill="auto"/>
                  <w:noWrap w:val="0"/>
                  <w:tcMar>
                    <w:top w:w="0" w:type="dxa"/>
                    <w:left w:w="57" w:type="dxa"/>
                    <w:bottom w:w="0" w:type="dxa"/>
                    <w:right w:w="57" w:type="dxa"/>
                  </w:tcMar>
                  <w:vAlign w:val="center"/>
                </w:tcPr>
                <w:p w14:paraId="25F587CA">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三十六条 排放污染物的企业事业单位和其他生产经营者，应当采取措施，防治在生产建设或者其他活动中产生的废气、废水、废渣、医疗废物、粉尘、恶臭气体、放射性物质以及噪声、振动、光辐射、电磁辐射等对生态环境的污染和危害。</w:t>
                  </w:r>
                </w:p>
              </w:tc>
              <w:tc>
                <w:tcPr>
                  <w:tcW w:w="1921" w:type="pct"/>
                  <w:tcBorders>
                    <w:tl2br w:val="nil"/>
                    <w:tr2bl w:val="nil"/>
                  </w:tcBorders>
                  <w:shd w:val="clear" w:color="auto" w:fill="auto"/>
                  <w:noWrap w:val="0"/>
                  <w:tcMar>
                    <w:top w:w="0" w:type="dxa"/>
                    <w:left w:w="57" w:type="dxa"/>
                    <w:bottom w:w="0" w:type="dxa"/>
                    <w:right w:w="57" w:type="dxa"/>
                  </w:tcMar>
                  <w:vAlign w:val="center"/>
                </w:tcPr>
                <w:p w14:paraId="7547A199">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w:t>
                  </w:r>
                  <w:r>
                    <w:rPr>
                      <w:rFonts w:hint="eastAsia" w:ascii="Times New Roman" w:hAnsi="Times New Roman" w:cs="Times New Roman"/>
                      <w:bCs/>
                      <w:color w:val="auto"/>
                      <w:sz w:val="18"/>
                      <w:szCs w:val="18"/>
                      <w:lang w:val="en-US" w:eastAsia="zh-CN"/>
                    </w:rPr>
                    <w:t>生活污水经化粪池收集后</w:t>
                  </w:r>
                  <w:r>
                    <w:rPr>
                      <w:rFonts w:hint="default" w:ascii="Times New Roman" w:hAnsi="Times New Roman" w:eastAsia="宋体" w:cs="Times New Roman"/>
                      <w:i w:val="0"/>
                      <w:iCs w:val="0"/>
                      <w:color w:val="auto"/>
                      <w:kern w:val="0"/>
                      <w:sz w:val="18"/>
                      <w:szCs w:val="18"/>
                      <w:u w:val="none"/>
                      <w:lang w:val="en-US" w:eastAsia="zh-CN" w:bidi="ar"/>
                    </w:rPr>
                    <w:t>运至玉溪大红山矿业有限公司现有的生活污水处理站处理达《城市污水再生利用  城市杂用水水质》（GB/T18920-2020）表1中绿化、道路清扫标准限值要求后回用于矿山洒水降尘，不外排</w:t>
                  </w:r>
                  <w:r>
                    <w:rPr>
                      <w:rFonts w:hint="default" w:ascii="Times New Roman" w:hAnsi="Times New Roman" w:eastAsia="宋体" w:cs="Times New Roman"/>
                      <w:bCs/>
                      <w:color w:val="auto"/>
                      <w:sz w:val="18"/>
                      <w:szCs w:val="18"/>
                      <w:lang w:val="en-US" w:eastAsia="zh-CN"/>
                    </w:rPr>
                    <w:t>；</w:t>
                  </w:r>
                  <w:r>
                    <w:rPr>
                      <w:rFonts w:hint="eastAsia" w:ascii="Times New Roman" w:hAnsi="Times New Roman" w:cs="Times New Roman"/>
                      <w:bCs/>
                      <w:color w:val="auto"/>
                      <w:sz w:val="18"/>
                      <w:szCs w:val="18"/>
                      <w:lang w:val="en-US" w:eastAsia="zh-CN"/>
                    </w:rPr>
                    <w:t>噪声及废气产生量较小</w:t>
                  </w:r>
                  <w:r>
                    <w:rPr>
                      <w:rFonts w:hint="default" w:ascii="Times New Roman" w:hAnsi="Times New Roman" w:eastAsia="宋体" w:cs="Times New Roman"/>
                      <w:bCs/>
                      <w:color w:val="auto"/>
                      <w:sz w:val="18"/>
                      <w:szCs w:val="18"/>
                      <w:lang w:val="en-US" w:eastAsia="zh-CN"/>
                    </w:rPr>
                    <w:t>，固废综合利用或合理处置，处置率100%，环评已提出土壤和地下水的污染防治措施</w:t>
                  </w:r>
                  <w:r>
                    <w:rPr>
                      <w:rFonts w:hint="default" w:ascii="Times New Roman" w:hAnsi="Times New Roman" w:eastAsia="宋体" w:cs="Times New Roman"/>
                      <w:bCs/>
                      <w:color w:val="auto"/>
                      <w:sz w:val="18"/>
                      <w:szCs w:val="18"/>
                      <w:lang w:val="en"/>
                    </w:rPr>
                    <w:t>。</w:t>
                  </w:r>
                </w:p>
              </w:tc>
              <w:tc>
                <w:tcPr>
                  <w:tcW w:w="331" w:type="pct"/>
                  <w:tcBorders>
                    <w:tl2br w:val="nil"/>
                    <w:tr2bl w:val="nil"/>
                  </w:tcBorders>
                  <w:shd w:val="clear" w:color="auto" w:fill="auto"/>
                  <w:noWrap w:val="0"/>
                  <w:vAlign w:val="center"/>
                </w:tcPr>
                <w:p w14:paraId="79EF3DD6">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03E5D8B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4DAC9FE6">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w:t>
                  </w:r>
                </w:p>
              </w:tc>
              <w:tc>
                <w:tcPr>
                  <w:tcW w:w="2380" w:type="pct"/>
                  <w:tcBorders>
                    <w:tl2br w:val="nil"/>
                    <w:tr2bl w:val="nil"/>
                  </w:tcBorders>
                  <w:shd w:val="clear" w:color="auto" w:fill="auto"/>
                  <w:noWrap w:val="0"/>
                  <w:tcMar>
                    <w:top w:w="0" w:type="dxa"/>
                    <w:left w:w="57" w:type="dxa"/>
                    <w:bottom w:w="0" w:type="dxa"/>
                    <w:right w:w="57" w:type="dxa"/>
                  </w:tcMar>
                  <w:vAlign w:val="center"/>
                </w:tcPr>
                <w:p w14:paraId="0FE27E1F">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 第三十七条 企业事业单位在执行国家和地方污染物排放标准的同时，应当遵守分解落实到本单位的重点污染物排放总量控制指标。</w:t>
                  </w:r>
                </w:p>
              </w:tc>
              <w:tc>
                <w:tcPr>
                  <w:tcW w:w="1921" w:type="pct"/>
                  <w:tcBorders>
                    <w:tl2br w:val="nil"/>
                    <w:tr2bl w:val="nil"/>
                  </w:tcBorders>
                  <w:shd w:val="clear" w:color="auto" w:fill="auto"/>
                  <w:noWrap w:val="0"/>
                  <w:tcMar>
                    <w:top w:w="0" w:type="dxa"/>
                    <w:left w:w="57" w:type="dxa"/>
                    <w:bottom w:w="0" w:type="dxa"/>
                    <w:right w:w="57" w:type="dxa"/>
                  </w:tcMar>
                  <w:vAlign w:val="center"/>
                </w:tcPr>
                <w:p w14:paraId="42A55126">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本项目不涉及重点污染物排放总量。</w:t>
                  </w:r>
                </w:p>
              </w:tc>
              <w:tc>
                <w:tcPr>
                  <w:tcW w:w="331" w:type="pct"/>
                  <w:tcBorders>
                    <w:tl2br w:val="nil"/>
                    <w:tr2bl w:val="nil"/>
                  </w:tcBorders>
                  <w:shd w:val="clear" w:color="auto" w:fill="auto"/>
                  <w:noWrap w:val="0"/>
                  <w:vAlign w:val="center"/>
                </w:tcPr>
                <w:p w14:paraId="289BF989">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745268E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466E79CB">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w:t>
                  </w:r>
                </w:p>
              </w:tc>
              <w:tc>
                <w:tcPr>
                  <w:tcW w:w="2380" w:type="pct"/>
                  <w:tcBorders>
                    <w:tl2br w:val="nil"/>
                    <w:tr2bl w:val="nil"/>
                  </w:tcBorders>
                  <w:shd w:val="clear" w:color="auto" w:fill="auto"/>
                  <w:noWrap w:val="0"/>
                  <w:tcMar>
                    <w:top w:w="0" w:type="dxa"/>
                    <w:left w:w="57" w:type="dxa"/>
                    <w:bottom w:w="0" w:type="dxa"/>
                    <w:right w:w="57" w:type="dxa"/>
                  </w:tcMar>
                  <w:vAlign w:val="center"/>
                </w:tcPr>
                <w:p w14:paraId="21CB2B52">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第三十八条 落实以排污许可制为核心的固定污染源监管制度。依照法律规定实行排污许可管理的企业事业单位和其他生产经营者，应当依法申请取得排污许可证；未取得排污许可证的，不得排放污染物。</w:t>
                  </w:r>
                </w:p>
              </w:tc>
              <w:tc>
                <w:tcPr>
                  <w:tcW w:w="1921" w:type="pct"/>
                  <w:tcBorders>
                    <w:tl2br w:val="nil"/>
                    <w:tr2bl w:val="nil"/>
                  </w:tcBorders>
                  <w:shd w:val="clear" w:color="auto" w:fill="auto"/>
                  <w:noWrap w:val="0"/>
                  <w:tcMar>
                    <w:top w:w="0" w:type="dxa"/>
                    <w:left w:w="57" w:type="dxa"/>
                    <w:bottom w:w="0" w:type="dxa"/>
                    <w:right w:w="57" w:type="dxa"/>
                  </w:tcMar>
                  <w:vAlign w:val="center"/>
                </w:tcPr>
                <w:p w14:paraId="19E80E5B">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本项目属于民用爆炸物品储存库建设项目，</w:t>
                  </w:r>
                  <w:r>
                    <w:rPr>
                      <w:rFonts w:hint="eastAsia" w:ascii="Times New Roman" w:hAnsi="Times New Roman" w:cs="Times New Roman"/>
                      <w:bCs/>
                      <w:color w:val="auto"/>
                      <w:sz w:val="18"/>
                      <w:szCs w:val="18"/>
                      <w:lang w:val="en-US" w:eastAsia="zh-CN"/>
                    </w:rPr>
                    <w:t>后续项目建成后将按要求申请排污许可证。</w:t>
                  </w:r>
                </w:p>
              </w:tc>
              <w:tc>
                <w:tcPr>
                  <w:tcW w:w="331" w:type="pct"/>
                  <w:tcBorders>
                    <w:tl2br w:val="nil"/>
                    <w:tr2bl w:val="nil"/>
                  </w:tcBorders>
                  <w:shd w:val="clear" w:color="auto" w:fill="auto"/>
                  <w:noWrap w:val="0"/>
                  <w:vAlign w:val="center"/>
                </w:tcPr>
                <w:p w14:paraId="702AFA76">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0EEF351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6D3EB306">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w:t>
                  </w:r>
                </w:p>
              </w:tc>
              <w:tc>
                <w:tcPr>
                  <w:tcW w:w="2380" w:type="pct"/>
                  <w:tcBorders>
                    <w:tl2br w:val="nil"/>
                    <w:tr2bl w:val="nil"/>
                  </w:tcBorders>
                  <w:shd w:val="clear" w:color="auto" w:fill="auto"/>
                  <w:noWrap w:val="0"/>
                  <w:tcMar>
                    <w:top w:w="0" w:type="dxa"/>
                    <w:left w:w="57" w:type="dxa"/>
                    <w:bottom w:w="0" w:type="dxa"/>
                    <w:right w:w="57" w:type="dxa"/>
                  </w:tcMar>
                  <w:vAlign w:val="center"/>
                </w:tcPr>
                <w:p w14:paraId="2DE4D7B0">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三十九条 依照法律规定实行排污许可管理的企业事业单位和其他生产经营者应当按照排污许可证规定和有关标准规范，依法开展自行监测，保存原始监测记录，并对自行监测数据的真实性、准确性负责，不得篡改、伪造。</w:t>
                  </w:r>
                </w:p>
              </w:tc>
              <w:tc>
                <w:tcPr>
                  <w:tcW w:w="1921" w:type="pct"/>
                  <w:tcBorders>
                    <w:tl2br w:val="nil"/>
                    <w:tr2bl w:val="nil"/>
                  </w:tcBorders>
                  <w:shd w:val="clear" w:color="auto" w:fill="auto"/>
                  <w:noWrap w:val="0"/>
                  <w:tcMar>
                    <w:top w:w="0" w:type="dxa"/>
                    <w:left w:w="57" w:type="dxa"/>
                    <w:bottom w:w="0" w:type="dxa"/>
                    <w:right w:w="57" w:type="dxa"/>
                  </w:tcMar>
                  <w:vAlign w:val="center"/>
                </w:tcPr>
                <w:p w14:paraId="4BB7E9E8">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本项目属于民用爆炸物品储存库建设项目，无生产环节，</w:t>
                  </w:r>
                  <w:r>
                    <w:rPr>
                      <w:rFonts w:hint="eastAsia" w:ascii="Times New Roman" w:hAnsi="Times New Roman" w:cs="Times New Roman"/>
                      <w:bCs/>
                      <w:color w:val="auto"/>
                      <w:sz w:val="18"/>
                      <w:szCs w:val="18"/>
                      <w:lang w:val="en-US" w:eastAsia="zh-CN"/>
                    </w:rPr>
                    <w:t>无污染物产生，因此无需开展</w:t>
                  </w:r>
                  <w:r>
                    <w:rPr>
                      <w:rFonts w:hint="default" w:ascii="Times New Roman" w:hAnsi="Times New Roman" w:eastAsia="宋体" w:cs="Times New Roman"/>
                      <w:bCs/>
                      <w:color w:val="auto"/>
                      <w:sz w:val="18"/>
                      <w:szCs w:val="18"/>
                      <w:lang w:val="en"/>
                    </w:rPr>
                    <w:t>自行监测</w:t>
                  </w:r>
                  <w:r>
                    <w:rPr>
                      <w:rFonts w:hint="default" w:ascii="Times New Roman" w:hAnsi="Times New Roman" w:eastAsia="宋体" w:cs="Times New Roman"/>
                      <w:bCs/>
                      <w:color w:val="auto"/>
                      <w:sz w:val="18"/>
                      <w:szCs w:val="18"/>
                      <w:lang w:val="en" w:eastAsia="zh-CN"/>
                    </w:rPr>
                    <w:t>。</w:t>
                  </w:r>
                </w:p>
              </w:tc>
              <w:tc>
                <w:tcPr>
                  <w:tcW w:w="331" w:type="pct"/>
                  <w:tcBorders>
                    <w:tl2br w:val="nil"/>
                    <w:tr2bl w:val="nil"/>
                  </w:tcBorders>
                  <w:shd w:val="clear" w:color="auto" w:fill="auto"/>
                  <w:noWrap w:val="0"/>
                  <w:vAlign w:val="center"/>
                </w:tcPr>
                <w:p w14:paraId="5657EFAE">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420F936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09A7860C">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7</w:t>
                  </w:r>
                </w:p>
              </w:tc>
              <w:tc>
                <w:tcPr>
                  <w:tcW w:w="2380" w:type="pct"/>
                  <w:tcBorders>
                    <w:tl2br w:val="nil"/>
                    <w:tr2bl w:val="nil"/>
                  </w:tcBorders>
                  <w:shd w:val="clear" w:color="auto" w:fill="auto"/>
                  <w:noWrap w:val="0"/>
                  <w:tcMar>
                    <w:top w:w="0" w:type="dxa"/>
                    <w:left w:w="57" w:type="dxa"/>
                    <w:bottom w:w="0" w:type="dxa"/>
                    <w:right w:w="57" w:type="dxa"/>
                  </w:tcMar>
                  <w:vAlign w:val="center"/>
                </w:tcPr>
                <w:p w14:paraId="578B3DD8">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第四十五条 产生危险废物的单位，应当按照国家有关规定和环境保护标准要求贮存、利用、处置危险废物，不得擅自倾倒、堆放。</w:t>
                  </w:r>
                </w:p>
              </w:tc>
              <w:tc>
                <w:tcPr>
                  <w:tcW w:w="1921" w:type="pct"/>
                  <w:tcBorders>
                    <w:tl2br w:val="nil"/>
                    <w:tr2bl w:val="nil"/>
                  </w:tcBorders>
                  <w:shd w:val="clear" w:color="auto" w:fill="auto"/>
                  <w:noWrap w:val="0"/>
                  <w:tcMar>
                    <w:top w:w="0" w:type="dxa"/>
                    <w:left w:w="57" w:type="dxa"/>
                    <w:bottom w:w="0" w:type="dxa"/>
                    <w:right w:w="57" w:type="dxa"/>
                  </w:tcMar>
                  <w:vAlign w:val="center"/>
                </w:tcPr>
                <w:p w14:paraId="13BC44D2">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项目运营期固废主要为</w:t>
                  </w:r>
                  <w:r>
                    <w:rPr>
                      <w:rFonts w:hint="default" w:ascii="Times New Roman" w:hAnsi="Times New Roman" w:eastAsia="宋体" w:cs="Times New Roman"/>
                      <w:bCs/>
                      <w:color w:val="auto"/>
                      <w:sz w:val="18"/>
                      <w:szCs w:val="18"/>
                      <w:lang w:val="en"/>
                    </w:rPr>
                    <w:t>废包装材料、生活垃圾</w:t>
                  </w:r>
                  <w:r>
                    <w:rPr>
                      <w:rFonts w:hint="eastAsia" w:ascii="Times New Roman" w:hAnsi="Times New Roman" w:cs="Times New Roman"/>
                      <w:bCs/>
                      <w:color w:val="auto"/>
                      <w:sz w:val="18"/>
                      <w:szCs w:val="18"/>
                      <w:lang w:val="en" w:eastAsia="zh-CN"/>
                    </w:rPr>
                    <w:t>、</w:t>
                  </w:r>
                  <w:r>
                    <w:rPr>
                      <w:rFonts w:hint="default" w:ascii="Times New Roman" w:hAnsi="Times New Roman" w:eastAsia="宋体" w:cs="Times New Roman"/>
                      <w:bCs/>
                      <w:color w:val="auto"/>
                      <w:sz w:val="18"/>
                      <w:szCs w:val="18"/>
                      <w:lang w:val="en"/>
                    </w:rPr>
                    <w:t>化粪池污泥</w:t>
                  </w:r>
                  <w:r>
                    <w:rPr>
                      <w:rFonts w:hint="eastAsia" w:ascii="Times New Roman" w:hAnsi="Times New Roman" w:cs="Times New Roman"/>
                      <w:bCs/>
                      <w:color w:val="auto"/>
                      <w:sz w:val="18"/>
                      <w:szCs w:val="18"/>
                      <w:lang w:val="en-US" w:eastAsia="zh-CN"/>
                    </w:rPr>
                    <w:t>及变质、失效及过期的爆破器材</w:t>
                  </w:r>
                  <w:r>
                    <w:rPr>
                      <w:rFonts w:hint="eastAsia" w:ascii="Times New Roman" w:hAnsi="Times New Roman" w:cs="Times New Roman"/>
                      <w:bCs/>
                      <w:color w:val="auto"/>
                      <w:sz w:val="18"/>
                      <w:szCs w:val="18"/>
                      <w:lang w:val="en" w:eastAsia="zh-CN"/>
                    </w:rPr>
                    <w:t>。废包装材料为废纸箱、废塑料，不直接接触炸药内药品组分，属于一般固废，可回收的外售给废品收购站，不可回收的由环卫部门处置；生活垃圾统一收集后按当地环卫部门的要求进行处置；</w:t>
                  </w:r>
                  <w:r>
                    <w:rPr>
                      <w:rFonts w:hint="eastAsia" w:ascii="Times New Roman" w:hAnsi="Times New Roman" w:cs="Times New Roman"/>
                      <w:bCs/>
                      <w:color w:val="auto"/>
                      <w:sz w:val="18"/>
                      <w:szCs w:val="18"/>
                      <w:lang w:val="en-US" w:eastAsia="zh-CN"/>
                    </w:rPr>
                    <w:t>化粪池污泥委托周边村民定期清掏后作为农肥使用；变质、失效及过期的爆破器材经收集后上报公安机关，并在公安机关监督下由专业销毁单位处置，严禁自行处理。不得擅自倾倒、堆放。</w:t>
                  </w:r>
                </w:p>
              </w:tc>
              <w:tc>
                <w:tcPr>
                  <w:tcW w:w="331" w:type="pct"/>
                  <w:tcBorders>
                    <w:tl2br w:val="nil"/>
                    <w:tr2bl w:val="nil"/>
                  </w:tcBorders>
                  <w:shd w:val="clear" w:color="auto" w:fill="auto"/>
                  <w:noWrap w:val="0"/>
                  <w:vAlign w:val="center"/>
                </w:tcPr>
                <w:p w14:paraId="534D07ED">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6C10258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63E98EF5">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2380" w:type="pct"/>
                  <w:tcBorders>
                    <w:tl2br w:val="nil"/>
                    <w:tr2bl w:val="nil"/>
                  </w:tcBorders>
                  <w:shd w:val="clear" w:color="auto" w:fill="auto"/>
                  <w:noWrap w:val="0"/>
                  <w:tcMar>
                    <w:top w:w="0" w:type="dxa"/>
                    <w:left w:w="57" w:type="dxa"/>
                    <w:bottom w:w="0" w:type="dxa"/>
                    <w:right w:w="57" w:type="dxa"/>
                  </w:tcMar>
                  <w:vAlign w:val="center"/>
                </w:tcPr>
                <w:p w14:paraId="4234B35D">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第四十七条 排放噪声的单位和个人应当采取有效措施，使其排放的噪声符合国家规定的排放标准。</w:t>
                  </w:r>
                </w:p>
              </w:tc>
              <w:tc>
                <w:tcPr>
                  <w:tcW w:w="1921" w:type="pct"/>
                  <w:tcBorders>
                    <w:tl2br w:val="nil"/>
                    <w:tr2bl w:val="nil"/>
                  </w:tcBorders>
                  <w:shd w:val="clear" w:color="auto" w:fill="auto"/>
                  <w:noWrap w:val="0"/>
                  <w:tcMar>
                    <w:top w:w="0" w:type="dxa"/>
                    <w:left w:w="57" w:type="dxa"/>
                    <w:bottom w:w="0" w:type="dxa"/>
                    <w:right w:w="57" w:type="dxa"/>
                  </w:tcMar>
                  <w:vAlign w:val="center"/>
                </w:tcPr>
                <w:p w14:paraId="71E74CC4">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项目</w:t>
                  </w:r>
                  <w:r>
                    <w:rPr>
                      <w:rFonts w:hint="default" w:ascii="Times New Roman" w:hAnsi="Times New Roman" w:eastAsia="宋体" w:cs="Times New Roman"/>
                      <w:bCs/>
                      <w:color w:val="auto"/>
                      <w:sz w:val="18"/>
                      <w:szCs w:val="18"/>
                      <w:lang w:val="en-US" w:eastAsia="zh-CN"/>
                    </w:rPr>
                    <w:t>运营过程中炸药及雷管装卸过程中全部为人力搬卸，不使用动力设备。本项目产生的噪声主要来自车辆进出厂区来往的机动车产生的交通噪声及水泵</w:t>
                  </w:r>
                  <w:r>
                    <w:rPr>
                      <w:rFonts w:hint="eastAsia" w:ascii="Times New Roman" w:hAnsi="Times New Roman" w:cs="Times New Roman"/>
                      <w:bCs/>
                      <w:color w:val="auto"/>
                      <w:sz w:val="18"/>
                      <w:szCs w:val="18"/>
                      <w:lang w:val="en-US" w:eastAsia="zh-CN"/>
                    </w:rPr>
                    <w:t>。根据预测，项目运营期厂界噪声贡献值满足《工业企业厂界环境噪声排放标准》（GB12348-2008）2类标准要求。</w:t>
                  </w:r>
                </w:p>
              </w:tc>
              <w:tc>
                <w:tcPr>
                  <w:tcW w:w="331" w:type="pct"/>
                  <w:tcBorders>
                    <w:tl2br w:val="nil"/>
                    <w:tr2bl w:val="nil"/>
                  </w:tcBorders>
                  <w:shd w:val="clear" w:color="auto" w:fill="auto"/>
                  <w:noWrap w:val="0"/>
                  <w:vAlign w:val="center"/>
                </w:tcPr>
                <w:p w14:paraId="18D91834">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7036F04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1827924C">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9</w:t>
                  </w:r>
                </w:p>
              </w:tc>
              <w:tc>
                <w:tcPr>
                  <w:tcW w:w="2380" w:type="pct"/>
                  <w:tcBorders>
                    <w:tl2br w:val="nil"/>
                    <w:tr2bl w:val="nil"/>
                  </w:tcBorders>
                  <w:shd w:val="clear" w:color="auto" w:fill="auto"/>
                  <w:noWrap w:val="0"/>
                  <w:tcMar>
                    <w:top w:w="0" w:type="dxa"/>
                    <w:left w:w="57" w:type="dxa"/>
                    <w:bottom w:w="0" w:type="dxa"/>
                    <w:right w:w="57" w:type="dxa"/>
                  </w:tcMar>
                  <w:vAlign w:val="center"/>
                </w:tcPr>
                <w:p w14:paraId="3D1B7CF1">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第四十九条 企业事业单位应当按照规定，在开展突发环境事件风险评估和应急资源调查的基础上制定突发环境事件应急预案，并按照分类分级管理的原则，报县级以上人民政府生态环境主管部门备案。</w:t>
                  </w:r>
                  <w:r>
                    <w:rPr>
                      <w:rFonts w:hint="default" w:ascii="Times New Roman" w:hAnsi="Times New Roman" w:eastAsia="宋体" w:cs="Times New Roman"/>
                      <w:bCs/>
                      <w:color w:val="auto"/>
                      <w:sz w:val="18"/>
                      <w:szCs w:val="18"/>
                      <w:lang w:val="en"/>
                    </w:rPr>
                    <w:br w:type="textWrapping"/>
                  </w:r>
                  <w:r>
                    <w:rPr>
                      <w:rFonts w:hint="default" w:ascii="Times New Roman" w:hAnsi="Times New Roman" w:eastAsia="宋体" w:cs="Times New Roman"/>
                      <w:bCs/>
                      <w:color w:val="auto"/>
                      <w:sz w:val="18"/>
                      <w:szCs w:val="18"/>
                      <w:lang w:val="en"/>
                    </w:rPr>
                    <w:t>  编制应急预案的有关部门和企业事业单位，应当定期开展应急演练，依法组织做好突发环境事件的风险控制、应急准备、应急处置和事后恢复等工作。</w:t>
                  </w:r>
                </w:p>
              </w:tc>
              <w:tc>
                <w:tcPr>
                  <w:tcW w:w="1921" w:type="pct"/>
                  <w:tcBorders>
                    <w:tl2br w:val="nil"/>
                    <w:tr2bl w:val="nil"/>
                  </w:tcBorders>
                  <w:shd w:val="clear" w:color="auto" w:fill="auto"/>
                  <w:noWrap w:val="0"/>
                  <w:tcMar>
                    <w:top w:w="0" w:type="dxa"/>
                    <w:left w:w="57" w:type="dxa"/>
                    <w:bottom w:w="0" w:type="dxa"/>
                    <w:right w:w="57" w:type="dxa"/>
                  </w:tcMar>
                  <w:vAlign w:val="center"/>
                </w:tcPr>
                <w:p w14:paraId="4515FE66">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企业将按要求</w:t>
                  </w:r>
                  <w:r>
                    <w:rPr>
                      <w:rFonts w:hint="eastAsia" w:ascii="Times New Roman" w:hAnsi="Times New Roman" w:cs="Times New Roman"/>
                      <w:bCs/>
                      <w:color w:val="auto"/>
                      <w:sz w:val="18"/>
                      <w:szCs w:val="18"/>
                      <w:lang w:val="en-US" w:eastAsia="zh-CN"/>
                    </w:rPr>
                    <w:t>编制</w:t>
                  </w:r>
                  <w:r>
                    <w:rPr>
                      <w:rFonts w:hint="default" w:ascii="Times New Roman" w:hAnsi="Times New Roman" w:eastAsia="宋体" w:cs="Times New Roman"/>
                      <w:bCs/>
                      <w:color w:val="auto"/>
                      <w:sz w:val="18"/>
                      <w:szCs w:val="18"/>
                      <w:lang w:val="en-US" w:eastAsia="zh-CN"/>
                    </w:rPr>
                    <w:t>《突发环境事件应急预案》（包含环境风险评估报告），并定期进行演练。</w:t>
                  </w:r>
                </w:p>
              </w:tc>
              <w:tc>
                <w:tcPr>
                  <w:tcW w:w="331" w:type="pct"/>
                  <w:tcBorders>
                    <w:tl2br w:val="nil"/>
                    <w:tr2bl w:val="nil"/>
                  </w:tcBorders>
                  <w:shd w:val="clear" w:color="auto" w:fill="auto"/>
                  <w:noWrap w:val="0"/>
                  <w:vAlign w:val="center"/>
                </w:tcPr>
                <w:p w14:paraId="440D565C">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06D0C4C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7" w:type="pct"/>
                  <w:tcBorders>
                    <w:tl2br w:val="nil"/>
                    <w:tr2bl w:val="nil"/>
                  </w:tcBorders>
                  <w:shd w:val="clear" w:color="auto" w:fill="auto"/>
                  <w:noWrap w:val="0"/>
                  <w:tcMar>
                    <w:top w:w="0" w:type="dxa"/>
                    <w:left w:w="57" w:type="dxa"/>
                    <w:bottom w:w="0" w:type="dxa"/>
                    <w:right w:w="57" w:type="dxa"/>
                  </w:tcMar>
                  <w:vAlign w:val="center"/>
                </w:tcPr>
                <w:p w14:paraId="26F74FB7">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10</w:t>
                  </w:r>
                </w:p>
              </w:tc>
              <w:tc>
                <w:tcPr>
                  <w:tcW w:w="2380" w:type="pct"/>
                  <w:tcBorders>
                    <w:tl2br w:val="nil"/>
                    <w:tr2bl w:val="nil"/>
                  </w:tcBorders>
                  <w:shd w:val="clear" w:color="auto" w:fill="auto"/>
                  <w:noWrap w:val="0"/>
                  <w:tcMar>
                    <w:top w:w="0" w:type="dxa"/>
                    <w:left w:w="57" w:type="dxa"/>
                    <w:bottom w:w="0" w:type="dxa"/>
                    <w:right w:w="57" w:type="dxa"/>
                  </w:tcMar>
                  <w:vAlign w:val="center"/>
                </w:tcPr>
                <w:p w14:paraId="2575FC1E">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第五十六条 鼓励企业开展清洁生产的科学研究和技术开发，推广应用节能减排新技术、新工艺、新产品，推动绿色低碳循环发展。</w:t>
                  </w:r>
                </w:p>
              </w:tc>
              <w:tc>
                <w:tcPr>
                  <w:tcW w:w="1921" w:type="pct"/>
                  <w:tcBorders>
                    <w:tl2br w:val="nil"/>
                    <w:tr2bl w:val="nil"/>
                  </w:tcBorders>
                  <w:shd w:val="clear" w:color="auto" w:fill="auto"/>
                  <w:noWrap w:val="0"/>
                  <w:tcMar>
                    <w:top w:w="0" w:type="dxa"/>
                    <w:left w:w="57" w:type="dxa"/>
                    <w:bottom w:w="0" w:type="dxa"/>
                    <w:right w:w="57" w:type="dxa"/>
                  </w:tcMar>
                  <w:vAlign w:val="center"/>
                </w:tcPr>
                <w:p w14:paraId="3F7F8891">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本项目</w:t>
                  </w:r>
                  <w:r>
                    <w:rPr>
                      <w:rFonts w:hint="eastAsia" w:ascii="Times New Roman" w:hAnsi="Times New Roman" w:cs="Times New Roman"/>
                      <w:bCs/>
                      <w:color w:val="auto"/>
                      <w:sz w:val="18"/>
                      <w:szCs w:val="18"/>
                      <w:lang w:val="en-US" w:eastAsia="zh-CN"/>
                    </w:rPr>
                    <w:t>为民用爆炸物品储存库建设项目，无需进行清洁生产审核。</w:t>
                  </w:r>
                </w:p>
              </w:tc>
              <w:tc>
                <w:tcPr>
                  <w:tcW w:w="331" w:type="pct"/>
                  <w:tcBorders>
                    <w:tl2br w:val="nil"/>
                    <w:tr2bl w:val="nil"/>
                  </w:tcBorders>
                  <w:shd w:val="clear" w:color="auto" w:fill="auto"/>
                  <w:noWrap w:val="0"/>
                  <w:vAlign w:val="center"/>
                </w:tcPr>
                <w:p w14:paraId="25681673">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bl>
          <w:p w14:paraId="0103F8FC">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lang w:val="en-US" w:eastAsia="zh-CN"/>
              </w:rPr>
              <w:t>据上表分析，本项目不违反《云南省生物多样性保护条例》的相关要求。</w:t>
            </w:r>
          </w:p>
          <w:p w14:paraId="21A7EFBC">
            <w:pPr>
              <w:pStyle w:val="5"/>
              <w:adjustRightInd w:val="0"/>
              <w:snapToGrid w:val="0"/>
              <w:rPr>
                <w:rFonts w:hint="eastAsia" w:ascii="Times New Roman" w:hAnsi="Times New Roman" w:cs="Times New Roman"/>
                <w:color w:val="auto"/>
                <w:sz w:val="24"/>
                <w:lang w:val="en-US" w:eastAsia="zh-CN"/>
              </w:rPr>
            </w:pPr>
            <w:r>
              <w:rPr>
                <w:rFonts w:hint="eastAsia" w:cs="Times New Roman"/>
                <w:color w:val="auto"/>
                <w:sz w:val="24"/>
                <w:lang w:val="en-US" w:eastAsia="zh-CN"/>
              </w:rPr>
              <w:t>10、</w:t>
            </w:r>
            <w:r>
              <w:rPr>
                <w:rFonts w:hint="eastAsia" w:ascii="Times New Roman" w:hAnsi="Times New Roman" w:cs="Times New Roman"/>
                <w:color w:val="auto"/>
                <w:sz w:val="24"/>
                <w:lang w:val="en-US" w:eastAsia="zh-CN"/>
              </w:rPr>
              <w:t>与《</w:t>
            </w:r>
            <w:r>
              <w:rPr>
                <w:rFonts w:hint="default" w:ascii="Times New Roman" w:hAnsi="Times New Roman" w:cs="Times New Roman"/>
                <w:color w:val="auto"/>
                <w:sz w:val="24"/>
                <w:lang w:val="en-US" w:eastAsia="zh-CN"/>
              </w:rPr>
              <w:t>民用爆炸物品安全管理条例（2014年修正）</w:t>
            </w:r>
            <w:r>
              <w:rPr>
                <w:rFonts w:hint="eastAsia" w:ascii="Times New Roman" w:hAnsi="Times New Roman" w:cs="Times New Roman"/>
                <w:color w:val="auto"/>
                <w:sz w:val="24"/>
                <w:lang w:val="en-US" w:eastAsia="zh-CN"/>
              </w:rPr>
              <w:t>》的符合性分析</w:t>
            </w:r>
          </w:p>
          <w:p w14:paraId="2F53C825">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本项目与《民用爆炸物品安全管理条例》（2014年7月29日起施行）相关要求对照，相符性分析见下表</w:t>
            </w:r>
            <w:r>
              <w:rPr>
                <w:rFonts w:hint="eastAsia" w:ascii="Times New Roman" w:hAnsi="Times New Roman" w:eastAsia="宋体" w:cs="Times New Roman"/>
                <w:color w:val="auto"/>
                <w:sz w:val="24"/>
                <w:highlight w:val="none"/>
                <w:lang w:val="en-US" w:eastAsia="zh-CN"/>
              </w:rPr>
              <w:t>：</w:t>
            </w:r>
          </w:p>
          <w:p w14:paraId="5C0C88AA">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lang w:val="en-US" w:eastAsia="zh-CN"/>
              </w:rPr>
              <w:t>表</w:t>
            </w:r>
            <w:r>
              <w:rPr>
                <w:rFonts w:hint="eastAsia" w:ascii="Times New Roman" w:hAnsi="Times New Roman" w:eastAsia="黑体" w:cs="Times New Roman"/>
                <w:bCs/>
                <w:color w:val="auto"/>
                <w:szCs w:val="21"/>
                <w:lang w:val="en-US" w:eastAsia="zh-CN"/>
              </w:rPr>
              <w:t>1-</w:t>
            </w:r>
            <w:r>
              <w:rPr>
                <w:rFonts w:hint="eastAsia" w:eastAsia="黑体" w:cs="Times New Roman"/>
                <w:bCs/>
                <w:color w:val="auto"/>
                <w:szCs w:val="21"/>
                <w:lang w:val="en-US" w:eastAsia="zh-CN"/>
              </w:rPr>
              <w:t>7</w:t>
            </w:r>
            <w:r>
              <w:rPr>
                <w:rFonts w:hint="eastAsia" w:ascii="Times New Roman" w:hAnsi="Times New Roman" w:eastAsia="黑体" w:cs="Times New Roman"/>
                <w:bCs/>
                <w:color w:val="auto"/>
                <w:szCs w:val="21"/>
                <w:lang w:val="en-US" w:eastAsia="zh-CN"/>
              </w:rPr>
              <w:t xml:space="preserve">    项目</w:t>
            </w:r>
            <w:r>
              <w:rPr>
                <w:rFonts w:hint="default" w:ascii="Times New Roman" w:hAnsi="Times New Roman" w:eastAsia="黑体" w:cs="Times New Roman"/>
                <w:bCs/>
                <w:color w:val="auto"/>
                <w:szCs w:val="21"/>
                <w:lang w:val="en-US" w:eastAsia="zh-CN"/>
              </w:rPr>
              <w:t>与《民用爆炸物品安全管理条例》符合性分析</w:t>
            </w:r>
            <w:r>
              <w:rPr>
                <w:rFonts w:hint="eastAsia" w:ascii="Times New Roman" w:hAnsi="Times New Roman" w:eastAsia="黑体" w:cs="Times New Roman"/>
                <w:bCs/>
                <w:color w:val="auto"/>
                <w:szCs w:val="21"/>
                <w:lang w:val="en-US" w:eastAsia="zh-CN"/>
              </w:rPr>
              <w:t>一览</w:t>
            </w:r>
            <w:r>
              <w:rPr>
                <w:rFonts w:hint="default" w:ascii="Times New Roman" w:hAnsi="Times New Roman" w:eastAsia="黑体" w:cs="Times New Roman"/>
                <w:bCs/>
                <w:color w:val="auto"/>
                <w:szCs w:val="21"/>
                <w:lang w:val="en-US" w:eastAsia="zh-CN"/>
              </w:rPr>
              <w:t>表</w:t>
            </w:r>
          </w:p>
          <w:tbl>
            <w:tblPr>
              <w:tblStyle w:val="37"/>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234"/>
              <w:gridCol w:w="2284"/>
              <w:gridCol w:w="827"/>
            </w:tblGrid>
            <w:tr w14:paraId="3A594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1BD9BA6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法规条款</w:t>
                  </w:r>
                </w:p>
              </w:tc>
              <w:tc>
                <w:tcPr>
                  <w:tcW w:w="2287" w:type="pct"/>
                  <w:tcBorders>
                    <w:tl2br w:val="nil"/>
                    <w:tr2bl w:val="nil"/>
                  </w:tcBorders>
                  <w:vAlign w:val="center"/>
                </w:tcPr>
                <w:p w14:paraId="36EE389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法规内容</w:t>
                  </w:r>
                </w:p>
              </w:tc>
              <w:tc>
                <w:tcPr>
                  <w:tcW w:w="1615" w:type="pct"/>
                  <w:tcBorders>
                    <w:tl2br w:val="nil"/>
                    <w:tr2bl w:val="nil"/>
                  </w:tcBorders>
                  <w:vAlign w:val="center"/>
                </w:tcPr>
                <w:p w14:paraId="3AF7F42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本项目情况</w:t>
                  </w:r>
                </w:p>
              </w:tc>
              <w:tc>
                <w:tcPr>
                  <w:tcW w:w="584" w:type="pct"/>
                  <w:tcBorders>
                    <w:tl2br w:val="nil"/>
                    <w:tr2bl w:val="nil"/>
                  </w:tcBorders>
                  <w:vAlign w:val="center"/>
                </w:tcPr>
                <w:p w14:paraId="3868D25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符合性</w:t>
                  </w:r>
                </w:p>
              </w:tc>
            </w:tr>
            <w:tr w14:paraId="6D8EE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740C46D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第五条</w:t>
                  </w:r>
                </w:p>
              </w:tc>
              <w:tc>
                <w:tcPr>
                  <w:tcW w:w="2287" w:type="pct"/>
                  <w:tcBorders>
                    <w:tl2br w:val="nil"/>
                    <w:tr2bl w:val="nil"/>
                  </w:tcBorders>
                  <w:vAlign w:val="center"/>
                </w:tcPr>
                <w:p w14:paraId="46DD1CB4">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民用爆破物品从业单位是治安保卫工作的重点单位，应当依法设置治安保卫机构或者配备治安保卫人员，设置技术防范设施，防止民用爆炸物品丢失、被盗、被抢。</w:t>
                  </w:r>
                </w:p>
              </w:tc>
              <w:tc>
                <w:tcPr>
                  <w:tcW w:w="1615" w:type="pct"/>
                  <w:tcBorders>
                    <w:tl2br w:val="nil"/>
                    <w:tr2bl w:val="nil"/>
                  </w:tcBorders>
                  <w:vAlign w:val="center"/>
                </w:tcPr>
                <w:p w14:paraId="54AAA11A">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本项目</w:t>
                  </w:r>
                  <w:r>
                    <w:rPr>
                      <w:rFonts w:hint="eastAsia" w:ascii="Times New Roman" w:hAnsi="Times New Roman" w:eastAsia="宋体" w:cs="Times New Roman"/>
                      <w:bCs/>
                      <w:color w:val="auto"/>
                      <w:sz w:val="18"/>
                      <w:szCs w:val="18"/>
                      <w:lang w:val="en-US" w:eastAsia="zh-CN"/>
                    </w:rPr>
                    <w:t>建成后将</w:t>
                  </w:r>
                  <w:r>
                    <w:rPr>
                      <w:rFonts w:hint="default" w:ascii="Times New Roman" w:hAnsi="Times New Roman" w:eastAsia="宋体" w:cs="Times New Roman"/>
                      <w:bCs/>
                      <w:color w:val="auto"/>
                      <w:sz w:val="18"/>
                      <w:szCs w:val="18"/>
                      <w:lang w:val="en-US" w:eastAsia="zh-CN"/>
                    </w:rPr>
                    <w:t>成立民爆库安全保卫机制，配备治安保卫人员，杜绝民爆物品出现丢失、被盗、被抢事故</w:t>
                  </w:r>
                  <w:r>
                    <w:rPr>
                      <w:rFonts w:hint="eastAsia" w:ascii="Times New Roman" w:hAnsi="Times New Roman" w:eastAsia="宋体" w:cs="Times New Roman"/>
                      <w:bCs/>
                      <w:color w:val="auto"/>
                      <w:sz w:val="18"/>
                      <w:szCs w:val="18"/>
                      <w:lang w:val="en-US" w:eastAsia="zh-CN"/>
                    </w:rPr>
                    <w:t>。</w:t>
                  </w:r>
                </w:p>
              </w:tc>
              <w:tc>
                <w:tcPr>
                  <w:tcW w:w="584" w:type="pct"/>
                  <w:tcBorders>
                    <w:tl2br w:val="nil"/>
                    <w:tr2bl w:val="nil"/>
                  </w:tcBorders>
                  <w:vAlign w:val="center"/>
                </w:tcPr>
                <w:p w14:paraId="079E9C2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65F3AC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0CFCACE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第六条</w:t>
                  </w:r>
                </w:p>
              </w:tc>
              <w:tc>
                <w:tcPr>
                  <w:tcW w:w="2287" w:type="pct"/>
                  <w:tcBorders>
                    <w:tl2br w:val="nil"/>
                    <w:tr2bl w:val="nil"/>
                  </w:tcBorders>
                  <w:vAlign w:val="center"/>
                </w:tcPr>
                <w:p w14:paraId="1CE749E1">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民用爆炸物品从业单位应当加强对本单位从业人员的安全教育、法治教育和岗位技术培训，从业人员经考核合格的，方可上岗作业；对有资格要求的岗位，应当配备具有相应资格的人员。</w:t>
                  </w:r>
                </w:p>
              </w:tc>
              <w:tc>
                <w:tcPr>
                  <w:tcW w:w="1615" w:type="pct"/>
                  <w:tcBorders>
                    <w:tl2br w:val="nil"/>
                    <w:tr2bl w:val="nil"/>
                  </w:tcBorders>
                  <w:vAlign w:val="center"/>
                </w:tcPr>
                <w:p w14:paraId="4FA07FF3">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本项目</w:t>
                  </w:r>
                  <w:r>
                    <w:rPr>
                      <w:rFonts w:hint="eastAsia" w:ascii="Times New Roman" w:hAnsi="Times New Roman" w:eastAsia="宋体" w:cs="Times New Roman"/>
                      <w:bCs/>
                      <w:color w:val="auto"/>
                      <w:sz w:val="18"/>
                      <w:szCs w:val="18"/>
                      <w:lang w:val="en-US" w:eastAsia="zh-CN"/>
                    </w:rPr>
                    <w:t>建成后将</w:t>
                  </w:r>
                  <w:r>
                    <w:rPr>
                      <w:rFonts w:hint="default" w:ascii="Times New Roman" w:hAnsi="Times New Roman" w:eastAsia="宋体" w:cs="Times New Roman"/>
                      <w:bCs/>
                      <w:color w:val="auto"/>
                      <w:sz w:val="18"/>
                      <w:szCs w:val="18"/>
                      <w:lang w:val="en-US" w:eastAsia="zh-CN"/>
                    </w:rPr>
                    <w:t>配备具有相应资格的专业技术人员（均</w:t>
                  </w:r>
                  <w:r>
                    <w:rPr>
                      <w:rFonts w:hint="eastAsia" w:ascii="Times New Roman" w:hAnsi="Times New Roman" w:eastAsia="宋体" w:cs="Times New Roman"/>
                      <w:bCs/>
                      <w:color w:val="auto"/>
                      <w:sz w:val="18"/>
                      <w:szCs w:val="18"/>
                      <w:lang w:val="en-US" w:eastAsia="zh-CN"/>
                    </w:rPr>
                    <w:t>须</w:t>
                  </w:r>
                  <w:r>
                    <w:rPr>
                      <w:rFonts w:hint="default" w:ascii="Times New Roman" w:hAnsi="Times New Roman" w:eastAsia="宋体" w:cs="Times New Roman"/>
                      <w:bCs/>
                      <w:color w:val="auto"/>
                      <w:sz w:val="18"/>
                      <w:szCs w:val="18"/>
                      <w:lang w:val="en-US" w:eastAsia="zh-CN"/>
                    </w:rPr>
                    <w:t>取得爆破作业人员许可证），并对安全生产管理人员和其他人员均经公司培训考核合格后</w:t>
                  </w:r>
                  <w:r>
                    <w:rPr>
                      <w:rFonts w:hint="eastAsia" w:ascii="Times New Roman" w:hAnsi="Times New Roman" w:eastAsia="宋体" w:cs="Times New Roman"/>
                      <w:bCs/>
                      <w:color w:val="auto"/>
                      <w:sz w:val="18"/>
                      <w:szCs w:val="18"/>
                      <w:lang w:val="en-US" w:eastAsia="zh-CN"/>
                    </w:rPr>
                    <w:t>方可</w:t>
                  </w:r>
                  <w:r>
                    <w:rPr>
                      <w:rFonts w:hint="default" w:ascii="Times New Roman" w:hAnsi="Times New Roman" w:eastAsia="宋体" w:cs="Times New Roman"/>
                      <w:bCs/>
                      <w:color w:val="auto"/>
                      <w:sz w:val="18"/>
                      <w:szCs w:val="18"/>
                      <w:lang w:val="en-US" w:eastAsia="zh-CN"/>
                    </w:rPr>
                    <w:t>上岗</w:t>
                  </w:r>
                  <w:r>
                    <w:rPr>
                      <w:rFonts w:hint="eastAsia" w:ascii="Times New Roman" w:hAnsi="Times New Roman" w:eastAsia="宋体" w:cs="Times New Roman"/>
                      <w:bCs/>
                      <w:color w:val="auto"/>
                      <w:sz w:val="18"/>
                      <w:szCs w:val="18"/>
                      <w:lang w:val="en-US" w:eastAsia="zh-CN"/>
                    </w:rPr>
                    <w:t>。</w:t>
                  </w:r>
                </w:p>
              </w:tc>
              <w:tc>
                <w:tcPr>
                  <w:tcW w:w="584" w:type="pct"/>
                  <w:tcBorders>
                    <w:tl2br w:val="nil"/>
                    <w:tr2bl w:val="nil"/>
                  </w:tcBorders>
                  <w:vAlign w:val="center"/>
                </w:tcPr>
                <w:p w14:paraId="63C996A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501D0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017D3F4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第十一条</w:t>
                  </w:r>
                </w:p>
              </w:tc>
              <w:tc>
                <w:tcPr>
                  <w:tcW w:w="2287" w:type="pct"/>
                  <w:tcBorders>
                    <w:tl2br w:val="nil"/>
                    <w:tr2bl w:val="nil"/>
                  </w:tcBorders>
                  <w:vAlign w:val="center"/>
                </w:tcPr>
                <w:p w14:paraId="094451F6">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厂房和专用仓库的设计、结构、建筑材料、安全距离以及防火、防爆、防雷、防静电等安全设备、设施符合国家有关标准规范。</w:t>
                  </w:r>
                </w:p>
              </w:tc>
              <w:tc>
                <w:tcPr>
                  <w:tcW w:w="1615" w:type="pct"/>
                  <w:tcBorders>
                    <w:tl2br w:val="nil"/>
                    <w:tr2bl w:val="nil"/>
                  </w:tcBorders>
                  <w:vAlign w:val="center"/>
                </w:tcPr>
                <w:p w14:paraId="58DEF409">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w:t>
                  </w:r>
                  <w:r>
                    <w:rPr>
                      <w:rFonts w:hint="eastAsia" w:ascii="Times New Roman" w:hAnsi="Times New Roman" w:eastAsia="宋体" w:cs="Times New Roman"/>
                      <w:bCs/>
                      <w:color w:val="auto"/>
                      <w:sz w:val="18"/>
                      <w:szCs w:val="18"/>
                      <w:lang w:val="en-US" w:eastAsia="zh-CN"/>
                    </w:rPr>
                    <w:t>将</w:t>
                  </w:r>
                  <w:r>
                    <w:rPr>
                      <w:rFonts w:hint="default" w:ascii="Times New Roman" w:hAnsi="Times New Roman" w:eastAsia="宋体" w:cs="Times New Roman"/>
                      <w:bCs/>
                      <w:color w:val="auto"/>
                      <w:sz w:val="18"/>
                      <w:szCs w:val="18"/>
                      <w:lang w:val="en-US" w:eastAsia="zh-CN"/>
                    </w:rPr>
                    <w:t>按照《民用爆炸物品工程设计安全标准》（GB50089-2018）的要求建设施工</w:t>
                  </w:r>
                  <w:r>
                    <w:rPr>
                      <w:rFonts w:hint="eastAsia" w:ascii="Times New Roman" w:hAnsi="Times New Roman" w:eastAsia="宋体" w:cs="Times New Roman"/>
                      <w:bCs/>
                      <w:color w:val="auto"/>
                      <w:sz w:val="18"/>
                      <w:szCs w:val="18"/>
                      <w:lang w:val="en-US" w:eastAsia="zh-CN"/>
                    </w:rPr>
                    <w:t>。</w:t>
                  </w:r>
                </w:p>
              </w:tc>
              <w:tc>
                <w:tcPr>
                  <w:tcW w:w="584" w:type="pct"/>
                  <w:tcBorders>
                    <w:tl2br w:val="nil"/>
                    <w:tr2bl w:val="nil"/>
                  </w:tcBorders>
                  <w:vAlign w:val="center"/>
                </w:tcPr>
                <w:p w14:paraId="2F7C48AE">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2BA31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tcBorders>
                    <w:tl2br w:val="nil"/>
                    <w:tr2bl w:val="nil"/>
                  </w:tcBorders>
                  <w:vAlign w:val="center"/>
                </w:tcPr>
                <w:p w14:paraId="374C92A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第二十六条</w:t>
                  </w:r>
                </w:p>
              </w:tc>
              <w:tc>
                <w:tcPr>
                  <w:tcW w:w="2287" w:type="pct"/>
                  <w:tcBorders>
                    <w:tl2br w:val="nil"/>
                    <w:tr2bl w:val="nil"/>
                  </w:tcBorders>
                  <w:vAlign w:val="center"/>
                </w:tcPr>
                <w:p w14:paraId="6C4BC9DA">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运输民用爆炸物品，收货单位应当向运达地县级人民政府公安机关提出申请，并提交包括下列内容的材料：</w:t>
                  </w:r>
                </w:p>
                <w:p w14:paraId="5F70E182">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（一）民用爆炸物品生产企业、销售企业、使用单位以及进出口单位分别提供的《民用爆炸物品生产许可证》、《民用爆炸物品销售许可证》、《民用爆炸物品购买许可证》或者进出口批准证明；</w:t>
                  </w:r>
                </w:p>
                <w:p w14:paraId="6994C8C7">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（二）运输民用爆炸物品的品种、数量、包装材料和包装方式；</w:t>
                  </w:r>
                </w:p>
                <w:p w14:paraId="2AEE8062">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（三）运输民用爆炸物品的特性、出现险情的应急处置方法；</w:t>
                  </w:r>
                </w:p>
                <w:p w14:paraId="4D6195DF">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（四）运输时间、起始地点、运输路线、经停地点。</w:t>
                  </w:r>
                </w:p>
              </w:tc>
              <w:tc>
                <w:tcPr>
                  <w:tcW w:w="1615" w:type="pct"/>
                  <w:tcBorders>
                    <w:tl2br w:val="nil"/>
                    <w:tr2bl w:val="nil"/>
                  </w:tcBorders>
                  <w:vAlign w:val="center"/>
                </w:tcPr>
                <w:p w14:paraId="00166111">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本项目民用爆炸物品运进储存库由有资质的单位采用专用运输车运进，不属于本项目的评价内容；由储存库到使用点的运输则由爆破单位采用专用运输车进行运输。运输过程中严格执行该规定。</w:t>
                  </w:r>
                </w:p>
              </w:tc>
              <w:tc>
                <w:tcPr>
                  <w:tcW w:w="584" w:type="pct"/>
                  <w:tcBorders>
                    <w:tl2br w:val="nil"/>
                    <w:tr2bl w:val="nil"/>
                  </w:tcBorders>
                  <w:vAlign w:val="center"/>
                </w:tcPr>
                <w:p w14:paraId="42DFA6C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728077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tcBorders>
                    <w:tl2br w:val="nil"/>
                    <w:tr2bl w:val="nil"/>
                  </w:tcBorders>
                  <w:vAlign w:val="center"/>
                </w:tcPr>
                <w:p w14:paraId="62593121">
                  <w:pPr>
                    <w:pStyle w:val="32"/>
                    <w:shd w:val="clear" w:color="auto" w:fill="FFFFFF"/>
                    <w:spacing w:before="0" w:beforeAutospacing="0" w:after="0" w:afterAutospacing="0"/>
                    <w:jc w:val="center"/>
                    <w:rPr>
                      <w:rFonts w:hint="eastAsia" w:ascii="Times New Roman" w:hAnsi="Times New Roman" w:cs="Times New Roman"/>
                      <w:bCs/>
                      <w:color w:val="auto"/>
                      <w:sz w:val="18"/>
                      <w:szCs w:val="18"/>
                      <w:lang w:val="en-US" w:eastAsia="zh-CN"/>
                    </w:rPr>
                  </w:pPr>
                </w:p>
              </w:tc>
              <w:tc>
                <w:tcPr>
                  <w:tcW w:w="2287" w:type="pct"/>
                  <w:tcBorders>
                    <w:tl2br w:val="nil"/>
                    <w:tr2bl w:val="nil"/>
                  </w:tcBorders>
                  <w:vAlign w:val="center"/>
                </w:tcPr>
                <w:p w14:paraId="0E1E1DD1">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《民用爆炸物品运输许可证》应当载明收货单位、销售企业、承运人，一次性运输有效期限、起始地点、运输路线、经停地点，民用爆炸物品的品种、数量。</w:t>
                  </w:r>
                </w:p>
              </w:tc>
              <w:tc>
                <w:tcPr>
                  <w:tcW w:w="1615" w:type="pct"/>
                  <w:tcBorders>
                    <w:tl2br w:val="nil"/>
                    <w:tr2bl w:val="nil"/>
                  </w:tcBorders>
                  <w:vAlign w:val="center"/>
                </w:tcPr>
                <w:p w14:paraId="306DAAB5">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运输单位严格按照该条要求执行。</w:t>
                  </w:r>
                </w:p>
              </w:tc>
              <w:tc>
                <w:tcPr>
                  <w:tcW w:w="584" w:type="pct"/>
                  <w:tcBorders>
                    <w:tl2br w:val="nil"/>
                    <w:tr2bl w:val="nil"/>
                  </w:tcBorders>
                  <w:vAlign w:val="center"/>
                </w:tcPr>
                <w:p w14:paraId="1BDBD7BF">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546769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14E378AD">
                  <w:pPr>
                    <w:pStyle w:val="32"/>
                    <w:shd w:val="clear" w:color="auto" w:fill="FFFFFF"/>
                    <w:spacing w:before="0" w:beforeAutospacing="0" w:after="0" w:afterAutospacing="0"/>
                    <w:jc w:val="center"/>
                    <w:rPr>
                      <w:rFonts w:hint="eastAsia" w:ascii="Times New Roman" w:hAnsi="Times New Roman"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第二十七条</w:t>
                  </w:r>
                </w:p>
              </w:tc>
              <w:tc>
                <w:tcPr>
                  <w:tcW w:w="2287" w:type="pct"/>
                  <w:tcBorders>
                    <w:tl2br w:val="nil"/>
                    <w:tr2bl w:val="nil"/>
                  </w:tcBorders>
                  <w:vAlign w:val="center"/>
                </w:tcPr>
                <w:p w14:paraId="4B540921">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运输民用爆炸物品的，应当凭《民用爆炸物品运输许可证》，按照许可的品种、数量运输。</w:t>
                  </w:r>
                </w:p>
              </w:tc>
              <w:tc>
                <w:tcPr>
                  <w:tcW w:w="1615" w:type="pct"/>
                  <w:tcBorders>
                    <w:tl2br w:val="nil"/>
                    <w:tr2bl w:val="nil"/>
                  </w:tcBorders>
                  <w:vAlign w:val="center"/>
                </w:tcPr>
                <w:p w14:paraId="6D05506A">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运输单位严格按照该条要求执行。</w:t>
                  </w:r>
                </w:p>
              </w:tc>
              <w:tc>
                <w:tcPr>
                  <w:tcW w:w="584" w:type="pct"/>
                  <w:tcBorders>
                    <w:tl2br w:val="nil"/>
                    <w:tr2bl w:val="nil"/>
                  </w:tcBorders>
                  <w:vAlign w:val="center"/>
                </w:tcPr>
                <w:p w14:paraId="278AB245">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19497F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359C5C09">
                  <w:pPr>
                    <w:pStyle w:val="32"/>
                    <w:shd w:val="clear" w:color="auto" w:fill="FFFFFF"/>
                    <w:spacing w:before="0" w:beforeAutospacing="0" w:after="0" w:afterAutospacing="0"/>
                    <w:jc w:val="center"/>
                    <w:rPr>
                      <w:rFonts w:hint="eastAsia" w:ascii="Times New Roman" w:hAnsi="Times New Roman"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第二十八条</w:t>
                  </w:r>
                </w:p>
              </w:tc>
              <w:tc>
                <w:tcPr>
                  <w:tcW w:w="2287" w:type="pct"/>
                  <w:tcBorders>
                    <w:tl2br w:val="nil"/>
                    <w:tr2bl w:val="nil"/>
                  </w:tcBorders>
                  <w:vAlign w:val="center"/>
                </w:tcPr>
                <w:p w14:paraId="0633D114">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经由道路运输民用爆炸物品的，应当遵守下列规定：</w:t>
                  </w:r>
                </w:p>
                <w:p w14:paraId="32382382">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（一）携带《民用爆炸物品运输许可证》；</w:t>
                  </w:r>
                </w:p>
                <w:p w14:paraId="6ABEC935">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（二）民用爆炸物品的装载符合国家有关标准和规范，车厢内不得载人；</w:t>
                  </w:r>
                </w:p>
                <w:p w14:paraId="4EDDF580">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（三）运输车辆安全技术状况应当符合国家有关安全技术标准的要求，并按照规定悬挂或者安装符合国家标准的易燃易爆危险物品警示标志；</w:t>
                  </w:r>
                </w:p>
                <w:p w14:paraId="6EAC1D6C">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（四）运输民用爆炸物品的车辆应当保持安全车速；</w:t>
                  </w:r>
                </w:p>
                <w:p w14:paraId="541184EF">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（五）按照规定的路线行驶，途中经停应当有专人看守，并远离建筑设施和人口稠密的地方，不得在许可以外的地点经停；</w:t>
                  </w:r>
                </w:p>
                <w:p w14:paraId="31118989">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（六）按照安全操作规程装卸民用爆炸物品，并在装卸现场设置警戒，禁止无关人员进入；</w:t>
                  </w:r>
                </w:p>
                <w:p w14:paraId="5BEB5019">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（七）出现危险情况立即采取必要的应急处置措施，并报告当地公安机关。</w:t>
                  </w:r>
                </w:p>
              </w:tc>
              <w:tc>
                <w:tcPr>
                  <w:tcW w:w="1615" w:type="pct"/>
                  <w:tcBorders>
                    <w:tl2br w:val="nil"/>
                    <w:tr2bl w:val="nil"/>
                  </w:tcBorders>
                  <w:vAlign w:val="center"/>
                </w:tcPr>
                <w:p w14:paraId="0281E7CB">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运输单位严格按照该条要求执行。</w:t>
                  </w:r>
                </w:p>
              </w:tc>
              <w:tc>
                <w:tcPr>
                  <w:tcW w:w="584" w:type="pct"/>
                  <w:tcBorders>
                    <w:tl2br w:val="nil"/>
                    <w:tr2bl w:val="nil"/>
                  </w:tcBorders>
                  <w:vAlign w:val="center"/>
                </w:tcPr>
                <w:p w14:paraId="7561BDA3">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6CDE18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5A361C3B">
                  <w:pPr>
                    <w:pStyle w:val="32"/>
                    <w:shd w:val="clear" w:color="auto" w:fill="FFFFFF"/>
                    <w:spacing w:before="0" w:beforeAutospacing="0" w:after="0" w:afterAutospacing="0"/>
                    <w:jc w:val="center"/>
                    <w:rPr>
                      <w:rFonts w:hint="eastAsia" w:ascii="Times New Roman" w:hAnsi="Times New Roman"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第二十九条</w:t>
                  </w:r>
                </w:p>
              </w:tc>
              <w:tc>
                <w:tcPr>
                  <w:tcW w:w="2287" w:type="pct"/>
                  <w:tcBorders>
                    <w:tl2br w:val="nil"/>
                    <w:tr2bl w:val="nil"/>
                  </w:tcBorders>
                  <w:vAlign w:val="center"/>
                </w:tcPr>
                <w:p w14:paraId="29BC6CC9">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民用爆炸物品运达目的地，收货单位应当进行验收后在《民用爆炸物品运输许可证》上签注，并在3日内将《民用爆炸物品运输许可证》交回发证机关核销。</w:t>
                  </w:r>
                </w:p>
              </w:tc>
              <w:tc>
                <w:tcPr>
                  <w:tcW w:w="1615" w:type="pct"/>
                  <w:tcBorders>
                    <w:tl2br w:val="nil"/>
                    <w:tr2bl w:val="nil"/>
                  </w:tcBorders>
                  <w:vAlign w:val="center"/>
                </w:tcPr>
                <w:p w14:paraId="7FC311B5">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严格按照该条要求执行。</w:t>
                  </w:r>
                </w:p>
              </w:tc>
              <w:tc>
                <w:tcPr>
                  <w:tcW w:w="584" w:type="pct"/>
                  <w:tcBorders>
                    <w:tl2br w:val="nil"/>
                    <w:tr2bl w:val="nil"/>
                  </w:tcBorders>
                  <w:vAlign w:val="center"/>
                </w:tcPr>
                <w:p w14:paraId="4B6C0569">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10E97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4FD1294A">
                  <w:pPr>
                    <w:pStyle w:val="32"/>
                    <w:shd w:val="clear" w:color="auto" w:fill="FFFFFF"/>
                    <w:spacing w:before="0" w:beforeAutospacing="0" w:after="0" w:afterAutospacing="0"/>
                    <w:jc w:val="center"/>
                    <w:rPr>
                      <w:rFonts w:hint="eastAsia" w:ascii="Times New Roman" w:hAnsi="Times New Roman"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第三十一条</w:t>
                  </w:r>
                </w:p>
              </w:tc>
              <w:tc>
                <w:tcPr>
                  <w:tcW w:w="2287" w:type="pct"/>
                  <w:tcBorders>
                    <w:tl2br w:val="nil"/>
                    <w:tr2bl w:val="nil"/>
                  </w:tcBorders>
                  <w:vAlign w:val="center"/>
                </w:tcPr>
                <w:p w14:paraId="3DBB2581">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申请从事爆破作业的单位，应当具备下列条件：</w:t>
                  </w:r>
                </w:p>
                <w:p w14:paraId="765D4AE8">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（一）爆破作业属于合法的生产活动；</w:t>
                  </w:r>
                </w:p>
                <w:p w14:paraId="7C8B9706">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（二）有符合国家有关标准和规范的民用爆炸物品专用仓库；</w:t>
                  </w:r>
                </w:p>
                <w:p w14:paraId="71026E03">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（三）有具备相应资格的安全管理人员、仓库管理人员和具备国家规定执业资格的爆破作业人员；</w:t>
                  </w:r>
                </w:p>
                <w:p w14:paraId="42F0E2C4">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（四）有健全的安全管理制度、岗位安全责任制度；</w:t>
                  </w:r>
                </w:p>
                <w:p w14:paraId="6CBA2428">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（五）有符合国家标准、行业标准的爆破作业专用设备；</w:t>
                  </w:r>
                </w:p>
                <w:p w14:paraId="206B88C6">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（六）法律、行政法规规定的其他条件。</w:t>
                  </w:r>
                </w:p>
              </w:tc>
              <w:tc>
                <w:tcPr>
                  <w:tcW w:w="1615" w:type="pct"/>
                  <w:tcBorders>
                    <w:tl2br w:val="nil"/>
                    <w:tr2bl w:val="nil"/>
                  </w:tcBorders>
                  <w:vAlign w:val="center"/>
                </w:tcPr>
                <w:p w14:paraId="67F7C39C">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湖南涟邵建设工程（集团）有限责任公司于2024年03月15日取得了由湖南省应急管理厅核发的《安全生产许可证》，编号：（湘）FM安许证字【2024】A404Y1号，于2025年4月7日取得了由湖南省公安厅签发的《爆破作业单位许可证》（营业性），编号：4300001300270。其负责的大红山铁矿爆破活动属于合法的生产活动，本次建设符合国家有关标准和规范的民用爆炸物品专用仓库，并设置健全的安全管理制度、岗位安全责任制度，爆破过程采用符合国家标准、行业标准的爆破作业专用设备。</w:t>
                  </w:r>
                </w:p>
              </w:tc>
              <w:tc>
                <w:tcPr>
                  <w:tcW w:w="584" w:type="pct"/>
                  <w:tcBorders>
                    <w:tl2br w:val="nil"/>
                    <w:tr2bl w:val="nil"/>
                  </w:tcBorders>
                  <w:vAlign w:val="center"/>
                </w:tcPr>
                <w:p w14:paraId="45E14F49">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64CAEF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69560468">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第三十七条</w:t>
                  </w:r>
                </w:p>
              </w:tc>
              <w:tc>
                <w:tcPr>
                  <w:tcW w:w="2287" w:type="pct"/>
                  <w:tcBorders>
                    <w:tl2br w:val="nil"/>
                    <w:tr2bl w:val="nil"/>
                  </w:tcBorders>
                  <w:vAlign w:val="center"/>
                </w:tcPr>
                <w:p w14:paraId="00C44F21">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爆破作业单位应当如实记载领取、发放民用爆炸物品的品种、数量、编号以及领取、发放人员姓名。领取民用爆炸物品的数量不得超过当班用量，作业后剩余的民用爆炸物品必须当班清退回库。</w:t>
                  </w:r>
                </w:p>
                <w:p w14:paraId="2069A713">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爆破作业单位应当将领取、发放民用爆炸物品的原始记录保存2年备查。</w:t>
                  </w:r>
                </w:p>
              </w:tc>
              <w:tc>
                <w:tcPr>
                  <w:tcW w:w="1615" w:type="pct"/>
                  <w:tcBorders>
                    <w:tl2br w:val="nil"/>
                    <w:tr2bl w:val="nil"/>
                  </w:tcBorders>
                  <w:vAlign w:val="center"/>
                </w:tcPr>
                <w:p w14:paraId="4964C374">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严格按照该条要求执行。</w:t>
                  </w:r>
                </w:p>
              </w:tc>
              <w:tc>
                <w:tcPr>
                  <w:tcW w:w="584" w:type="pct"/>
                  <w:tcBorders>
                    <w:tl2br w:val="nil"/>
                    <w:tr2bl w:val="nil"/>
                  </w:tcBorders>
                  <w:vAlign w:val="center"/>
                </w:tcPr>
                <w:p w14:paraId="13B31C28">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7466BC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39B22DBD">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第三十八条</w:t>
                  </w:r>
                </w:p>
              </w:tc>
              <w:tc>
                <w:tcPr>
                  <w:tcW w:w="2287" w:type="pct"/>
                  <w:tcBorders>
                    <w:tl2br w:val="nil"/>
                    <w:tr2bl w:val="nil"/>
                  </w:tcBorders>
                  <w:vAlign w:val="center"/>
                </w:tcPr>
                <w:p w14:paraId="15C97A8C">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实施爆破作业，应当遵守国家有关标准和规范，在安全距离以外设置警示标志并安排警戒人员，防止无关人员进入；爆破作业结束后应当及时检查、排除未引爆的民用爆炸物品。</w:t>
                  </w:r>
                </w:p>
              </w:tc>
              <w:tc>
                <w:tcPr>
                  <w:tcW w:w="1615" w:type="pct"/>
                  <w:tcBorders>
                    <w:tl2br w:val="nil"/>
                    <w:tr2bl w:val="nil"/>
                  </w:tcBorders>
                  <w:vAlign w:val="center"/>
                </w:tcPr>
                <w:p w14:paraId="6A347E4F">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严格按照该条要求执行。</w:t>
                  </w:r>
                </w:p>
              </w:tc>
              <w:tc>
                <w:tcPr>
                  <w:tcW w:w="584" w:type="pct"/>
                  <w:tcBorders>
                    <w:tl2br w:val="nil"/>
                    <w:tr2bl w:val="nil"/>
                  </w:tcBorders>
                  <w:vAlign w:val="center"/>
                </w:tcPr>
                <w:p w14:paraId="69B6BE63">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4BAB43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16E3508A">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第三十九条</w:t>
                  </w:r>
                </w:p>
              </w:tc>
              <w:tc>
                <w:tcPr>
                  <w:tcW w:w="2287" w:type="pct"/>
                  <w:tcBorders>
                    <w:tl2br w:val="nil"/>
                    <w:tr2bl w:val="nil"/>
                  </w:tcBorders>
                  <w:vAlign w:val="center"/>
                </w:tcPr>
                <w:p w14:paraId="62D04917">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爆破作业单位不再使用民用爆炸物品时，应当将剩余的民用爆炸物品登记造册，报所在地县级人民政府公安机关组织监督销毁。</w:t>
                  </w:r>
                </w:p>
                <w:p w14:paraId="5E16E185">
                  <w:pPr>
                    <w:pStyle w:val="32"/>
                    <w:shd w:val="clear" w:color="auto" w:fill="FFFFFF"/>
                    <w:spacing w:before="0" w:beforeAutospacing="0" w:after="0" w:afterAutospacing="0"/>
                    <w:ind w:firstLine="360" w:firstLineChars="20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发现、拣拾无主民用爆炸物品的，应当立即报告当地公安机关。</w:t>
                  </w:r>
                </w:p>
              </w:tc>
              <w:tc>
                <w:tcPr>
                  <w:tcW w:w="1615" w:type="pct"/>
                  <w:tcBorders>
                    <w:tl2br w:val="nil"/>
                    <w:tr2bl w:val="nil"/>
                  </w:tcBorders>
                  <w:vAlign w:val="center"/>
                </w:tcPr>
                <w:p w14:paraId="319E1081">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严格按照该条要求执行。</w:t>
                  </w:r>
                </w:p>
              </w:tc>
              <w:tc>
                <w:tcPr>
                  <w:tcW w:w="584" w:type="pct"/>
                  <w:tcBorders>
                    <w:tl2br w:val="nil"/>
                    <w:tr2bl w:val="nil"/>
                  </w:tcBorders>
                  <w:vAlign w:val="center"/>
                </w:tcPr>
                <w:p w14:paraId="4FF63524">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r w14:paraId="2145DD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3A6BCED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第四十条</w:t>
                  </w:r>
                </w:p>
              </w:tc>
              <w:tc>
                <w:tcPr>
                  <w:tcW w:w="2287" w:type="pct"/>
                  <w:tcBorders>
                    <w:tl2br w:val="nil"/>
                    <w:tr2bl w:val="nil"/>
                  </w:tcBorders>
                  <w:vAlign w:val="center"/>
                </w:tcPr>
                <w:p w14:paraId="71EC8AC6">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民用爆炸物品应当储存在专用仓库内，并按照国家规定设置技术防范设施。</w:t>
                  </w:r>
                </w:p>
              </w:tc>
              <w:tc>
                <w:tcPr>
                  <w:tcW w:w="1615" w:type="pct"/>
                  <w:tcBorders>
                    <w:tl2br w:val="nil"/>
                    <w:tr2bl w:val="nil"/>
                  </w:tcBorders>
                  <w:vAlign w:val="center"/>
                </w:tcPr>
                <w:p w14:paraId="2610D47E">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工业炸药库和雷管库</w:t>
                  </w:r>
                  <w:r>
                    <w:rPr>
                      <w:rFonts w:hint="eastAsia" w:ascii="Times New Roman" w:hAnsi="Times New Roman" w:eastAsia="宋体" w:cs="Times New Roman"/>
                      <w:bCs/>
                      <w:color w:val="auto"/>
                      <w:sz w:val="18"/>
                      <w:szCs w:val="18"/>
                      <w:lang w:val="en-US" w:eastAsia="zh-CN"/>
                    </w:rPr>
                    <w:t>将</w:t>
                  </w:r>
                  <w:r>
                    <w:rPr>
                      <w:rFonts w:hint="default" w:ascii="Times New Roman" w:hAnsi="Times New Roman" w:eastAsia="宋体" w:cs="Times New Roman"/>
                      <w:bCs/>
                      <w:color w:val="auto"/>
                      <w:sz w:val="18"/>
                      <w:szCs w:val="18"/>
                      <w:lang w:val="en-US" w:eastAsia="zh-CN"/>
                    </w:rPr>
                    <w:t>按照《民用爆炸物品工程设计安全标准》（GB50089-2018）要求建设</w:t>
                  </w:r>
                  <w:r>
                    <w:rPr>
                      <w:rFonts w:hint="eastAsia" w:ascii="Times New Roman" w:hAnsi="Times New Roman" w:eastAsia="宋体" w:cs="Times New Roman"/>
                      <w:bCs/>
                      <w:color w:val="auto"/>
                      <w:sz w:val="18"/>
                      <w:szCs w:val="18"/>
                      <w:lang w:val="en-US" w:eastAsia="zh-CN"/>
                    </w:rPr>
                    <w:t>。</w:t>
                  </w:r>
                </w:p>
              </w:tc>
              <w:tc>
                <w:tcPr>
                  <w:tcW w:w="584" w:type="pct"/>
                  <w:tcBorders>
                    <w:tl2br w:val="nil"/>
                    <w:tr2bl w:val="nil"/>
                  </w:tcBorders>
                  <w:vAlign w:val="center"/>
                </w:tcPr>
                <w:p w14:paraId="6F731D0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251F05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tcBorders>
                    <w:tl2br w:val="nil"/>
                    <w:tr2bl w:val="nil"/>
                  </w:tcBorders>
                  <w:vAlign w:val="center"/>
                </w:tcPr>
                <w:p w14:paraId="153AEFB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第四十一条</w:t>
                  </w:r>
                </w:p>
              </w:tc>
              <w:tc>
                <w:tcPr>
                  <w:tcW w:w="2287" w:type="pct"/>
                  <w:tcBorders>
                    <w:tl2br w:val="nil"/>
                    <w:tr2bl w:val="nil"/>
                  </w:tcBorders>
                  <w:vAlign w:val="center"/>
                </w:tcPr>
                <w:p w14:paraId="55D771D4">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储存建立出入库检查、登记制度，收存和发放民用爆炸物品必须进行登记，做到账目清楚</w:t>
                  </w:r>
                  <w:r>
                    <w:rPr>
                      <w:rFonts w:hint="eastAsia" w:ascii="Times New Roman" w:hAnsi="Times New Roman" w:eastAsia="宋体" w:cs="Times New Roman"/>
                      <w:bCs/>
                      <w:color w:val="auto"/>
                      <w:sz w:val="18"/>
                      <w:szCs w:val="18"/>
                      <w:lang w:val="en-US" w:eastAsia="zh-CN"/>
                    </w:rPr>
                    <w:t>。</w:t>
                  </w:r>
                </w:p>
              </w:tc>
              <w:tc>
                <w:tcPr>
                  <w:tcW w:w="1615" w:type="pct"/>
                  <w:tcBorders>
                    <w:tl2br w:val="nil"/>
                    <w:tr2bl w:val="nil"/>
                  </w:tcBorders>
                  <w:vAlign w:val="center"/>
                </w:tcPr>
                <w:p w14:paraId="4B79DAF4">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公司</w:t>
                  </w:r>
                  <w:r>
                    <w:rPr>
                      <w:rFonts w:hint="eastAsia" w:ascii="Times New Roman" w:hAnsi="Times New Roman" w:eastAsia="宋体" w:cs="Times New Roman"/>
                      <w:bCs/>
                      <w:color w:val="auto"/>
                      <w:sz w:val="18"/>
                      <w:szCs w:val="18"/>
                      <w:lang w:val="en-US" w:eastAsia="zh-CN"/>
                    </w:rPr>
                    <w:t>将</w:t>
                  </w:r>
                  <w:r>
                    <w:rPr>
                      <w:rFonts w:hint="default" w:ascii="Times New Roman" w:hAnsi="Times New Roman" w:eastAsia="宋体" w:cs="Times New Roman"/>
                      <w:bCs/>
                      <w:color w:val="auto"/>
                      <w:sz w:val="18"/>
                      <w:szCs w:val="18"/>
                      <w:lang w:val="en-US" w:eastAsia="zh-CN"/>
                    </w:rPr>
                    <w:t>发布《民用爆炸物品储存库安全操作规程》来规范操作流程，建立台账制度</w:t>
                  </w:r>
                  <w:r>
                    <w:rPr>
                      <w:rFonts w:hint="eastAsia" w:ascii="Times New Roman" w:hAnsi="Times New Roman" w:eastAsia="宋体" w:cs="Times New Roman"/>
                      <w:bCs/>
                      <w:color w:val="auto"/>
                      <w:sz w:val="18"/>
                      <w:szCs w:val="18"/>
                      <w:lang w:val="en-US" w:eastAsia="zh-CN"/>
                    </w:rPr>
                    <w:t>。</w:t>
                  </w:r>
                </w:p>
              </w:tc>
              <w:tc>
                <w:tcPr>
                  <w:tcW w:w="584" w:type="pct"/>
                  <w:tcBorders>
                    <w:tl2br w:val="nil"/>
                    <w:tr2bl w:val="nil"/>
                  </w:tcBorders>
                  <w:vAlign w:val="center"/>
                </w:tcPr>
                <w:p w14:paraId="5D7B4935">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4B2893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tcBorders>
                    <w:tl2br w:val="nil"/>
                    <w:tr2bl w:val="nil"/>
                  </w:tcBorders>
                  <w:vAlign w:val="center"/>
                </w:tcPr>
                <w:p w14:paraId="5A2C0CD7">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p>
              </w:tc>
              <w:tc>
                <w:tcPr>
                  <w:tcW w:w="2287" w:type="pct"/>
                  <w:tcBorders>
                    <w:tl2br w:val="nil"/>
                    <w:tr2bl w:val="nil"/>
                  </w:tcBorders>
                  <w:vAlign w:val="center"/>
                </w:tcPr>
                <w:p w14:paraId="35A7D199">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储存的民用爆炸物品数量不得超过储存设计容量，对性质相抵触的民用爆炸物品必须分库储存，严禁在库房内存放其他物品</w:t>
                  </w:r>
                  <w:r>
                    <w:rPr>
                      <w:rFonts w:hint="eastAsia" w:ascii="Times New Roman" w:hAnsi="Times New Roman" w:eastAsia="宋体" w:cs="Times New Roman"/>
                      <w:bCs/>
                      <w:color w:val="auto"/>
                      <w:sz w:val="18"/>
                      <w:szCs w:val="18"/>
                      <w:lang w:val="en-US" w:eastAsia="zh-CN"/>
                    </w:rPr>
                    <w:t>。</w:t>
                  </w:r>
                </w:p>
              </w:tc>
              <w:tc>
                <w:tcPr>
                  <w:tcW w:w="1615" w:type="pct"/>
                  <w:tcBorders>
                    <w:tl2br w:val="nil"/>
                    <w:tr2bl w:val="nil"/>
                  </w:tcBorders>
                  <w:vAlign w:val="center"/>
                </w:tcPr>
                <w:p w14:paraId="25188ACA">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项目民用爆炸物品储存库</w:t>
                  </w:r>
                  <w:r>
                    <w:rPr>
                      <w:rFonts w:hint="eastAsia" w:ascii="Times New Roman" w:hAnsi="Times New Roman" w:eastAsia="宋体" w:cs="Times New Roman"/>
                      <w:bCs/>
                      <w:color w:val="auto"/>
                      <w:sz w:val="18"/>
                      <w:szCs w:val="18"/>
                      <w:lang w:val="en-US" w:eastAsia="zh-CN"/>
                    </w:rPr>
                    <w:t>将严格</w:t>
                  </w:r>
                  <w:r>
                    <w:rPr>
                      <w:rFonts w:hint="default" w:ascii="Times New Roman" w:hAnsi="Times New Roman" w:eastAsia="宋体" w:cs="Times New Roman"/>
                      <w:bCs/>
                      <w:color w:val="auto"/>
                      <w:sz w:val="18"/>
                      <w:szCs w:val="18"/>
                      <w:lang w:val="en-US" w:eastAsia="zh-CN"/>
                    </w:rPr>
                    <w:t>按照设计容量储存；工业炸药和雷管分别存储在不同库房，库房内不存放其他物品</w:t>
                  </w:r>
                  <w:r>
                    <w:rPr>
                      <w:rFonts w:hint="eastAsia" w:ascii="Times New Roman" w:hAnsi="Times New Roman" w:eastAsia="宋体" w:cs="Times New Roman"/>
                      <w:bCs/>
                      <w:color w:val="auto"/>
                      <w:sz w:val="18"/>
                      <w:szCs w:val="18"/>
                      <w:lang w:val="en-US" w:eastAsia="zh-CN"/>
                    </w:rPr>
                    <w:t>。</w:t>
                  </w:r>
                </w:p>
              </w:tc>
              <w:tc>
                <w:tcPr>
                  <w:tcW w:w="584" w:type="pct"/>
                  <w:tcBorders>
                    <w:tl2br w:val="nil"/>
                    <w:tr2bl w:val="nil"/>
                  </w:tcBorders>
                  <w:vAlign w:val="center"/>
                </w:tcPr>
                <w:p w14:paraId="0450AFF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7EA0F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341C8147">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第四十二条</w:t>
                  </w:r>
                </w:p>
              </w:tc>
              <w:tc>
                <w:tcPr>
                  <w:tcW w:w="2287" w:type="pct"/>
                  <w:tcBorders>
                    <w:tl2br w:val="nil"/>
                    <w:tr2bl w:val="nil"/>
                  </w:tcBorders>
                  <w:vAlign w:val="center"/>
                </w:tcPr>
                <w:p w14:paraId="2006806B">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在爆破作业现场临时存放民用爆炸物品的，应当具备临时存放民用爆炸物品的条件，并设专人管理、看护，不得在不具备安全存放条件的场所存放民用爆炸物品。</w:t>
                  </w:r>
                </w:p>
              </w:tc>
              <w:tc>
                <w:tcPr>
                  <w:tcW w:w="1615" w:type="pct"/>
                  <w:tcBorders>
                    <w:tl2br w:val="nil"/>
                    <w:tr2bl w:val="nil"/>
                  </w:tcBorders>
                  <w:vAlign w:val="center"/>
                </w:tcPr>
                <w:p w14:paraId="540348BA">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公司配置专人管理、看护，不得在不具备安全存放条件的场所存放民用爆炸物品。</w:t>
                  </w:r>
                </w:p>
              </w:tc>
              <w:tc>
                <w:tcPr>
                  <w:tcW w:w="584" w:type="pct"/>
                  <w:tcBorders>
                    <w:tl2br w:val="nil"/>
                    <w:tr2bl w:val="nil"/>
                  </w:tcBorders>
                  <w:vAlign w:val="center"/>
                </w:tcPr>
                <w:p w14:paraId="0966CAD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6B09EA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tcBorders>
                    <w:tl2br w:val="nil"/>
                    <w:tr2bl w:val="nil"/>
                  </w:tcBorders>
                  <w:vAlign w:val="center"/>
                </w:tcPr>
                <w:p w14:paraId="1D28C93C">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第四十三条</w:t>
                  </w:r>
                </w:p>
              </w:tc>
              <w:tc>
                <w:tcPr>
                  <w:tcW w:w="2287" w:type="pct"/>
                  <w:tcBorders>
                    <w:tl2br w:val="nil"/>
                    <w:tr2bl w:val="nil"/>
                  </w:tcBorders>
                  <w:vAlign w:val="center"/>
                </w:tcPr>
                <w:p w14:paraId="10F572D7">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民用爆炸物品变质和过期失效的，应当及时清理出库，并予以销毁。销毁前应当登记造册，提出销毁实施方案，报省、自治区、直辖市人民政府民用爆炸物品行业主管部门、所在地县级人民政府公安机关组织监督销毁。</w:t>
                  </w:r>
                </w:p>
              </w:tc>
              <w:tc>
                <w:tcPr>
                  <w:tcW w:w="1615" w:type="pct"/>
                  <w:tcBorders>
                    <w:tl2br w:val="nil"/>
                    <w:tr2bl w:val="nil"/>
                  </w:tcBorders>
                  <w:vAlign w:val="center"/>
                </w:tcPr>
                <w:p w14:paraId="6BF59CCB">
                  <w:pPr>
                    <w:pStyle w:val="32"/>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严格按照该条要求执行。</w:t>
                  </w:r>
                </w:p>
              </w:tc>
              <w:tc>
                <w:tcPr>
                  <w:tcW w:w="584" w:type="pct"/>
                  <w:tcBorders>
                    <w:tl2br w:val="nil"/>
                    <w:tr2bl w:val="nil"/>
                  </w:tcBorders>
                  <w:vAlign w:val="center"/>
                </w:tcPr>
                <w:p w14:paraId="22256B96">
                  <w:pPr>
                    <w:pStyle w:val="32"/>
                    <w:shd w:val="clear" w:color="auto" w:fill="FFFFFF"/>
                    <w:spacing w:before="0" w:beforeAutospacing="0" w:after="0" w:afterAutospacing="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符合</w:t>
                  </w:r>
                </w:p>
              </w:tc>
            </w:tr>
          </w:tbl>
          <w:p w14:paraId="1730779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根据上表的分析可以看出，项目的建设符合《民用爆炸物品安全管理条例（2014年修正）》中的相关要求。</w:t>
            </w:r>
          </w:p>
          <w:p w14:paraId="37C49359">
            <w:pPr>
              <w:pStyle w:val="5"/>
              <w:numPr>
                <w:ilvl w:val="0"/>
                <w:numId w:val="2"/>
              </w:numPr>
              <w:adjustRightInd w:val="0"/>
              <w:snapToGrid w:val="0"/>
              <w:rPr>
                <w:rFonts w:hint="eastAsia" w:cs="Times New Roman"/>
                <w:color w:val="auto"/>
                <w:sz w:val="24"/>
                <w:lang w:val="en-US" w:eastAsia="zh-CN"/>
              </w:rPr>
            </w:pPr>
            <w:r>
              <w:rPr>
                <w:rFonts w:hint="eastAsia" w:cs="Times New Roman"/>
                <w:color w:val="auto"/>
                <w:sz w:val="24"/>
                <w:lang w:val="en-US" w:eastAsia="zh-CN"/>
              </w:rPr>
              <w:t>与《危险化学品仓库建设及储存安全规范》（DB11/755-2010）的符合性分析</w:t>
            </w:r>
          </w:p>
          <w:p w14:paraId="5CED4C73">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本项目与《危险化学品仓库建设及储存安全规范》（DB11/755-2010）相关要求对照，相符性分析见下表：</w:t>
            </w:r>
          </w:p>
          <w:p w14:paraId="75337994">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lang w:val="en-US" w:eastAsia="zh-CN"/>
              </w:rPr>
              <w:t>表</w:t>
            </w:r>
            <w:r>
              <w:rPr>
                <w:rFonts w:hint="eastAsia" w:ascii="Times New Roman" w:hAnsi="Times New Roman" w:eastAsia="黑体" w:cs="Times New Roman"/>
                <w:bCs/>
                <w:color w:val="auto"/>
                <w:szCs w:val="21"/>
                <w:lang w:val="en-US" w:eastAsia="zh-CN"/>
              </w:rPr>
              <w:t>1-</w:t>
            </w:r>
            <w:r>
              <w:rPr>
                <w:rFonts w:hint="eastAsia" w:eastAsia="黑体" w:cs="Times New Roman"/>
                <w:bCs/>
                <w:color w:val="auto"/>
                <w:szCs w:val="21"/>
                <w:lang w:val="en-US" w:eastAsia="zh-CN"/>
              </w:rPr>
              <w:t>8</w:t>
            </w:r>
            <w:r>
              <w:rPr>
                <w:rFonts w:hint="eastAsia" w:ascii="Times New Roman" w:hAnsi="Times New Roman" w:eastAsia="黑体" w:cs="Times New Roman"/>
                <w:bCs/>
                <w:color w:val="auto"/>
                <w:szCs w:val="21"/>
                <w:lang w:val="en-US" w:eastAsia="zh-CN"/>
              </w:rPr>
              <w:t xml:space="preserve">  项目</w:t>
            </w:r>
            <w:r>
              <w:rPr>
                <w:rFonts w:hint="default" w:ascii="Times New Roman" w:hAnsi="Times New Roman" w:eastAsia="黑体" w:cs="Times New Roman"/>
                <w:bCs/>
                <w:color w:val="auto"/>
                <w:szCs w:val="21"/>
                <w:lang w:val="en-US" w:eastAsia="zh-CN"/>
              </w:rPr>
              <w:t>与《危险化学品仓库建设及储存安全规范》符合性分析</w:t>
            </w:r>
            <w:r>
              <w:rPr>
                <w:rFonts w:hint="eastAsia" w:ascii="Times New Roman" w:hAnsi="Times New Roman" w:eastAsia="黑体" w:cs="Times New Roman"/>
                <w:bCs/>
                <w:color w:val="auto"/>
                <w:szCs w:val="21"/>
                <w:lang w:val="en-US" w:eastAsia="zh-CN"/>
              </w:rPr>
              <w:t>一览</w:t>
            </w:r>
            <w:r>
              <w:rPr>
                <w:rFonts w:hint="default" w:ascii="Times New Roman" w:hAnsi="Times New Roman" w:eastAsia="黑体" w:cs="Times New Roman"/>
                <w:bCs/>
                <w:color w:val="auto"/>
                <w:szCs w:val="21"/>
                <w:lang w:val="en-US" w:eastAsia="zh-CN"/>
              </w:rPr>
              <w:t>表</w:t>
            </w:r>
          </w:p>
          <w:tbl>
            <w:tblPr>
              <w:tblStyle w:val="37"/>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
              <w:gridCol w:w="382"/>
              <w:gridCol w:w="3927"/>
              <w:gridCol w:w="1568"/>
              <w:gridCol w:w="796"/>
            </w:tblGrid>
            <w:tr w14:paraId="4299FF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tcBorders>
                    <w:tl2br w:val="nil"/>
                    <w:tr2bl w:val="nil"/>
                  </w:tcBorders>
                  <w:vAlign w:val="center"/>
                </w:tcPr>
                <w:p w14:paraId="33A44B2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序号</w:t>
                  </w:r>
                </w:p>
              </w:tc>
              <w:tc>
                <w:tcPr>
                  <w:tcW w:w="4309" w:type="dxa"/>
                  <w:gridSpan w:val="2"/>
                  <w:tcBorders>
                    <w:tl2br w:val="nil"/>
                    <w:tr2bl w:val="nil"/>
                  </w:tcBorders>
                  <w:vAlign w:val="center"/>
                </w:tcPr>
                <w:p w14:paraId="42B177D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规范要求</w:t>
                  </w:r>
                </w:p>
              </w:tc>
              <w:tc>
                <w:tcPr>
                  <w:tcW w:w="1568" w:type="dxa"/>
                  <w:tcBorders>
                    <w:tl2br w:val="nil"/>
                    <w:tr2bl w:val="nil"/>
                  </w:tcBorders>
                  <w:vAlign w:val="center"/>
                </w:tcPr>
                <w:p w14:paraId="04FEF024">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本项目情况</w:t>
                  </w:r>
                </w:p>
              </w:tc>
              <w:tc>
                <w:tcPr>
                  <w:tcW w:w="796" w:type="dxa"/>
                  <w:tcBorders>
                    <w:tl2br w:val="nil"/>
                    <w:tr2bl w:val="nil"/>
                  </w:tcBorders>
                  <w:vAlign w:val="center"/>
                </w:tcPr>
                <w:p w14:paraId="48854D3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符合性</w:t>
                  </w:r>
                </w:p>
              </w:tc>
            </w:tr>
            <w:tr w14:paraId="4E6EA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restart"/>
                  <w:tcBorders>
                    <w:tl2br w:val="nil"/>
                    <w:tr2bl w:val="nil"/>
                  </w:tcBorders>
                  <w:vAlign w:val="center"/>
                </w:tcPr>
                <w:p w14:paraId="3825418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w:t>
                  </w:r>
                </w:p>
              </w:tc>
              <w:tc>
                <w:tcPr>
                  <w:tcW w:w="382" w:type="dxa"/>
                  <w:vMerge w:val="restart"/>
                  <w:tcBorders>
                    <w:tl2br w:val="nil"/>
                    <w:tr2bl w:val="nil"/>
                  </w:tcBorders>
                  <w:vAlign w:val="center"/>
                </w:tcPr>
                <w:p w14:paraId="47E1587D">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建筑结构</w:t>
                  </w:r>
                </w:p>
              </w:tc>
              <w:tc>
                <w:tcPr>
                  <w:tcW w:w="3927" w:type="dxa"/>
                  <w:tcBorders>
                    <w:tl2br w:val="nil"/>
                    <w:tr2bl w:val="nil"/>
                  </w:tcBorders>
                  <w:vAlign w:val="center"/>
                </w:tcPr>
                <w:p w14:paraId="491496C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危险化学品仓库的墙体应采用不燃烧材料的实体墙。</w:t>
                  </w:r>
                </w:p>
              </w:tc>
              <w:tc>
                <w:tcPr>
                  <w:tcW w:w="1568" w:type="dxa"/>
                  <w:tcBorders>
                    <w:tl2br w:val="nil"/>
                    <w:tr2bl w:val="nil"/>
                  </w:tcBorders>
                  <w:vAlign w:val="center"/>
                </w:tcPr>
                <w:p w14:paraId="7AF31994">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本项目墙体为MU20混凝土普通砖，M10水泥砂浆砌筑；属于不燃烧材料。</w:t>
                  </w:r>
                </w:p>
              </w:tc>
              <w:tc>
                <w:tcPr>
                  <w:tcW w:w="796" w:type="dxa"/>
                  <w:tcBorders>
                    <w:tl2br w:val="nil"/>
                    <w:tr2bl w:val="nil"/>
                  </w:tcBorders>
                  <w:vAlign w:val="center"/>
                </w:tcPr>
                <w:p w14:paraId="77F16E25">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181B4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7C0A3F5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082AEEC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2367406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危险化学品仓库应设置高窗，窗上应安装防护铁栏，窗户应采取避光和防雨措施。</w:t>
                  </w:r>
                </w:p>
              </w:tc>
              <w:tc>
                <w:tcPr>
                  <w:tcW w:w="1568" w:type="dxa"/>
                  <w:tcBorders>
                    <w:tl2br w:val="nil"/>
                    <w:tr2bl w:val="nil"/>
                  </w:tcBorders>
                  <w:vAlign w:val="center"/>
                </w:tcPr>
                <w:p w14:paraId="4B8B07E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已按要求进行设置。</w:t>
                  </w:r>
                </w:p>
              </w:tc>
              <w:tc>
                <w:tcPr>
                  <w:tcW w:w="796" w:type="dxa"/>
                  <w:tcBorders>
                    <w:tl2br w:val="nil"/>
                    <w:tr2bl w:val="nil"/>
                  </w:tcBorders>
                  <w:vAlign w:val="center"/>
                </w:tcPr>
                <w:p w14:paraId="15561277">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0B2132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486DE41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48AC8CB0">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6A9290F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危险化学品仓库门应根据危险化学品性质相应采用具有防火、防雷、防静电、防腐、不产生火花等功能的单一或复合材料制成，门应向疏散方向开启。</w:t>
                  </w:r>
                </w:p>
              </w:tc>
              <w:tc>
                <w:tcPr>
                  <w:tcW w:w="1568" w:type="dxa"/>
                  <w:tcBorders>
                    <w:tl2br w:val="nil"/>
                    <w:tr2bl w:val="nil"/>
                  </w:tcBorders>
                  <w:vAlign w:val="center"/>
                </w:tcPr>
                <w:p w14:paraId="185CB10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本项目库房采用具有防火、防雷、防静电、防腐、不产生火花等功能的单一或复合材料制成。</w:t>
                  </w:r>
                </w:p>
              </w:tc>
              <w:tc>
                <w:tcPr>
                  <w:tcW w:w="796" w:type="dxa"/>
                  <w:tcBorders>
                    <w:tl2br w:val="nil"/>
                    <w:tr2bl w:val="nil"/>
                  </w:tcBorders>
                  <w:vAlign w:val="center"/>
                </w:tcPr>
                <w:p w14:paraId="06C4B6A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19BD56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386" w:type="dxa"/>
                  <w:vMerge w:val="continue"/>
                  <w:tcBorders>
                    <w:tl2br w:val="nil"/>
                    <w:tr2bl w:val="nil"/>
                  </w:tcBorders>
                  <w:vAlign w:val="center"/>
                </w:tcPr>
                <w:p w14:paraId="050AE55D">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683D30E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59D2832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存在爆炸危险的危险化学品仓库应设置泄压设施。泄压方向宜向上，侧面泄压应避开人员集中场所、主要通道及能引起二次爆炸的车间、仓库。泄压设施应采用轻质屋面板、轻质墙体和易于泄压的门、窗等。</w:t>
                  </w:r>
                </w:p>
              </w:tc>
              <w:tc>
                <w:tcPr>
                  <w:tcW w:w="1568" w:type="dxa"/>
                  <w:tcBorders>
                    <w:tl2br w:val="nil"/>
                    <w:tr2bl w:val="nil"/>
                  </w:tcBorders>
                  <w:vAlign w:val="center"/>
                </w:tcPr>
                <w:p w14:paraId="269E5D6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项目设置泄水孔，泄水孔内壁抹20厚1</w:t>
                  </w:r>
                  <w:r>
                    <w:rPr>
                      <w:rFonts w:hint="eastAsia" w:ascii="Times New Roman" w:hAnsi="Times New Roman" w:cs="Times New Roman"/>
                      <w:bCs/>
                      <w:color w:val="auto"/>
                      <w:sz w:val="18"/>
                      <w:szCs w:val="18"/>
                      <w:lang w:val="en-US" w:eastAsia="zh-CN"/>
                    </w:rPr>
                    <w:t>:</w:t>
                  </w:r>
                  <w:r>
                    <w:rPr>
                      <w:rFonts w:hint="eastAsia" w:ascii="Times New Roman" w:hAnsi="Times New Roman" w:eastAsia="宋体" w:cs="Times New Roman"/>
                      <w:bCs/>
                      <w:color w:val="auto"/>
                      <w:sz w:val="18"/>
                      <w:szCs w:val="18"/>
                      <w:lang w:val="en-US" w:eastAsia="zh-CN"/>
                    </w:rPr>
                    <w:t>2.5水泥砂浆，内掺5%防水剂进行洞口防水。</w:t>
                  </w:r>
                </w:p>
              </w:tc>
              <w:tc>
                <w:tcPr>
                  <w:tcW w:w="796" w:type="dxa"/>
                  <w:tcBorders>
                    <w:tl2br w:val="nil"/>
                    <w:tr2bl w:val="nil"/>
                  </w:tcBorders>
                  <w:vAlign w:val="center"/>
                </w:tcPr>
                <w:p w14:paraId="4C328D6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774CE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59FC369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1E61CEA0">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5F68FFB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危险化学品仓库应为单层且独立设置，不应设有地下室。</w:t>
                  </w:r>
                </w:p>
              </w:tc>
              <w:tc>
                <w:tcPr>
                  <w:tcW w:w="1568" w:type="dxa"/>
                  <w:tcBorders>
                    <w:tl2br w:val="nil"/>
                    <w:tr2bl w:val="nil"/>
                  </w:tcBorders>
                  <w:vAlign w:val="center"/>
                </w:tcPr>
                <w:p w14:paraId="748A24D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项目为地上库，无地下室。</w:t>
                  </w:r>
                </w:p>
              </w:tc>
              <w:tc>
                <w:tcPr>
                  <w:tcW w:w="796" w:type="dxa"/>
                  <w:tcBorders>
                    <w:tl2br w:val="nil"/>
                    <w:tr2bl w:val="nil"/>
                  </w:tcBorders>
                  <w:vAlign w:val="center"/>
                </w:tcPr>
                <w:p w14:paraId="254920E7">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021C6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7215A44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60017D9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0518FA75">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危险化学品仓库建设其他要求应符合GB50016的要求。</w:t>
                  </w:r>
                </w:p>
              </w:tc>
              <w:tc>
                <w:tcPr>
                  <w:tcW w:w="1568" w:type="dxa"/>
                  <w:tcBorders>
                    <w:tl2br w:val="nil"/>
                    <w:tr2bl w:val="nil"/>
                  </w:tcBorders>
                  <w:vAlign w:val="center"/>
                </w:tcPr>
                <w:p w14:paraId="571B05A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项目库房的建设符合</w:t>
                  </w:r>
                  <w:r>
                    <w:rPr>
                      <w:rFonts w:hint="default" w:ascii="Times New Roman" w:hAnsi="Times New Roman" w:eastAsia="宋体" w:cs="Times New Roman"/>
                      <w:bCs/>
                      <w:color w:val="auto"/>
                      <w:sz w:val="18"/>
                      <w:szCs w:val="18"/>
                      <w:lang w:val="en-US" w:eastAsia="zh-CN"/>
                    </w:rPr>
                    <w:t>GB50016的要求。</w:t>
                  </w:r>
                </w:p>
              </w:tc>
              <w:tc>
                <w:tcPr>
                  <w:tcW w:w="796" w:type="dxa"/>
                  <w:tcBorders>
                    <w:tl2br w:val="nil"/>
                    <w:tr2bl w:val="nil"/>
                  </w:tcBorders>
                  <w:vAlign w:val="center"/>
                </w:tcPr>
                <w:p w14:paraId="7175F85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53F276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restart"/>
                  <w:tcBorders>
                    <w:tl2br w:val="nil"/>
                    <w:tr2bl w:val="nil"/>
                  </w:tcBorders>
                  <w:vAlign w:val="center"/>
                </w:tcPr>
                <w:p w14:paraId="76851F7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w:t>
                  </w:r>
                </w:p>
              </w:tc>
              <w:tc>
                <w:tcPr>
                  <w:tcW w:w="382" w:type="dxa"/>
                  <w:vMerge w:val="restart"/>
                  <w:tcBorders>
                    <w:tl2br w:val="nil"/>
                    <w:tr2bl w:val="nil"/>
                  </w:tcBorders>
                  <w:vAlign w:val="center"/>
                </w:tcPr>
                <w:p w14:paraId="63ABFD7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电气安全</w:t>
                  </w:r>
                </w:p>
              </w:tc>
              <w:tc>
                <w:tcPr>
                  <w:tcW w:w="3927" w:type="dxa"/>
                  <w:tcBorders>
                    <w:tl2br w:val="nil"/>
                    <w:tr2bl w:val="nil"/>
                  </w:tcBorders>
                  <w:vAlign w:val="center"/>
                </w:tcPr>
                <w:p w14:paraId="61B736C4">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危险化学品仓库内照明、事故照明设施、电气设备和输配电线路应采用防爆型。</w:t>
                  </w:r>
                </w:p>
              </w:tc>
              <w:tc>
                <w:tcPr>
                  <w:tcW w:w="1568" w:type="dxa"/>
                  <w:tcBorders>
                    <w:tl2br w:val="nil"/>
                    <w:tr2bl w:val="nil"/>
                  </w:tcBorders>
                  <w:vAlign w:val="center"/>
                </w:tcPr>
                <w:p w14:paraId="0D3059F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库区内的照明、事故照明设施、电气设备和输配电线路均采用防爆型。</w:t>
                  </w:r>
                </w:p>
              </w:tc>
              <w:tc>
                <w:tcPr>
                  <w:tcW w:w="796" w:type="dxa"/>
                  <w:tcBorders>
                    <w:tl2br w:val="nil"/>
                    <w:tr2bl w:val="nil"/>
                  </w:tcBorders>
                  <w:vAlign w:val="center"/>
                </w:tcPr>
                <w:p w14:paraId="01410764">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6EBDA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7ABB330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1177F7D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590739F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危险化学品仓库内照明设施和电气设备的配电箱及电气开关应设置在仓库外，并应可靠接地，安装过压、过载、触电、漏电保护设施，采取防雨、防潮保护措施。</w:t>
                  </w:r>
                </w:p>
              </w:tc>
              <w:tc>
                <w:tcPr>
                  <w:tcW w:w="1568" w:type="dxa"/>
                  <w:tcBorders>
                    <w:tl2br w:val="nil"/>
                    <w:tr2bl w:val="nil"/>
                  </w:tcBorders>
                  <w:vAlign w:val="center"/>
                </w:tcPr>
                <w:p w14:paraId="192A4FB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已严格按该要求建设。</w:t>
                  </w:r>
                </w:p>
              </w:tc>
              <w:tc>
                <w:tcPr>
                  <w:tcW w:w="796" w:type="dxa"/>
                  <w:tcBorders>
                    <w:tl2br w:val="nil"/>
                    <w:tr2bl w:val="nil"/>
                  </w:tcBorders>
                  <w:vAlign w:val="center"/>
                </w:tcPr>
                <w:p w14:paraId="7C4B569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570D1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7F88861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0D5BBF40">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5937C05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储存有爆炸危险的危险化学品仓库内电气设备应符合GB50058的要求。</w:t>
                  </w:r>
                </w:p>
              </w:tc>
              <w:tc>
                <w:tcPr>
                  <w:tcW w:w="1568" w:type="dxa"/>
                  <w:tcBorders>
                    <w:tl2br w:val="nil"/>
                    <w:tr2bl w:val="nil"/>
                  </w:tcBorders>
                  <w:vAlign w:val="center"/>
                </w:tcPr>
                <w:p w14:paraId="7CBFFF0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项目电气设备符合</w:t>
                  </w:r>
                  <w:r>
                    <w:rPr>
                      <w:rFonts w:hint="default" w:ascii="Times New Roman" w:hAnsi="Times New Roman" w:eastAsia="宋体" w:cs="Times New Roman"/>
                      <w:bCs/>
                      <w:color w:val="auto"/>
                      <w:sz w:val="18"/>
                      <w:szCs w:val="18"/>
                      <w:lang w:val="en-US" w:eastAsia="zh-CN"/>
                    </w:rPr>
                    <w:t>GB50058的要求。</w:t>
                  </w:r>
                </w:p>
              </w:tc>
              <w:tc>
                <w:tcPr>
                  <w:tcW w:w="796" w:type="dxa"/>
                  <w:tcBorders>
                    <w:tl2br w:val="nil"/>
                    <w:tr2bl w:val="nil"/>
                  </w:tcBorders>
                  <w:vAlign w:val="center"/>
                </w:tcPr>
                <w:p w14:paraId="2F4FF43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2287C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restart"/>
                  <w:tcBorders>
                    <w:tl2br w:val="nil"/>
                    <w:tr2bl w:val="nil"/>
                  </w:tcBorders>
                  <w:vAlign w:val="center"/>
                </w:tcPr>
                <w:p w14:paraId="26E7780D">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w:t>
                  </w:r>
                </w:p>
              </w:tc>
              <w:tc>
                <w:tcPr>
                  <w:tcW w:w="382" w:type="dxa"/>
                  <w:vMerge w:val="restart"/>
                  <w:tcBorders>
                    <w:tl2br w:val="nil"/>
                    <w:tr2bl w:val="nil"/>
                  </w:tcBorders>
                  <w:vAlign w:val="center"/>
                </w:tcPr>
                <w:p w14:paraId="2897F66E">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安全措施</w:t>
                  </w:r>
                </w:p>
              </w:tc>
              <w:tc>
                <w:tcPr>
                  <w:tcW w:w="3927" w:type="dxa"/>
                  <w:tcBorders>
                    <w:tl2br w:val="nil"/>
                    <w:tr2bl w:val="nil"/>
                  </w:tcBorders>
                  <w:vAlign w:val="center"/>
                </w:tcPr>
                <w:p w14:paraId="163C5AC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危险化学品仓库应设置防爆型通风机。</w:t>
                  </w:r>
                </w:p>
              </w:tc>
              <w:tc>
                <w:tcPr>
                  <w:tcW w:w="1568" w:type="dxa"/>
                  <w:tcBorders>
                    <w:tl2br w:val="nil"/>
                    <w:tr2bl w:val="nil"/>
                  </w:tcBorders>
                  <w:vAlign w:val="center"/>
                </w:tcPr>
                <w:p w14:paraId="3389B5F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项目库区设置有</w:t>
                  </w:r>
                  <w:r>
                    <w:rPr>
                      <w:rFonts w:hint="default" w:ascii="Times New Roman" w:hAnsi="Times New Roman" w:eastAsia="宋体" w:cs="Times New Roman"/>
                      <w:bCs/>
                      <w:color w:val="auto"/>
                      <w:sz w:val="18"/>
                      <w:szCs w:val="18"/>
                      <w:lang w:val="en-US" w:eastAsia="zh-CN"/>
                    </w:rPr>
                    <w:t>防爆型通风机。</w:t>
                  </w:r>
                </w:p>
              </w:tc>
              <w:tc>
                <w:tcPr>
                  <w:tcW w:w="796" w:type="dxa"/>
                  <w:tcBorders>
                    <w:tl2br w:val="nil"/>
                    <w:tr2bl w:val="nil"/>
                  </w:tcBorders>
                  <w:vAlign w:val="center"/>
                </w:tcPr>
                <w:p w14:paraId="19A3403E">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57115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6EE0BD40">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06843FF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1119D4A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危险化学品仓库及其出入口应设置视频监控设备。视频监控系统建设应符合DB11/T384的要求。</w:t>
                  </w:r>
                </w:p>
              </w:tc>
              <w:tc>
                <w:tcPr>
                  <w:tcW w:w="1568" w:type="dxa"/>
                  <w:tcBorders>
                    <w:tl2br w:val="nil"/>
                    <w:tr2bl w:val="nil"/>
                  </w:tcBorders>
                  <w:vAlign w:val="center"/>
                </w:tcPr>
                <w:p w14:paraId="449D485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库区及出入口均设置有</w:t>
                  </w:r>
                  <w:r>
                    <w:rPr>
                      <w:rFonts w:hint="default" w:ascii="Times New Roman" w:hAnsi="Times New Roman" w:eastAsia="宋体" w:cs="Times New Roman"/>
                      <w:bCs/>
                      <w:color w:val="auto"/>
                      <w:sz w:val="18"/>
                      <w:szCs w:val="18"/>
                      <w:lang w:val="en-US" w:eastAsia="zh-CN"/>
                    </w:rPr>
                    <w:t>符合DB11/T384要求</w:t>
                  </w:r>
                  <w:r>
                    <w:rPr>
                      <w:rFonts w:hint="eastAsia" w:ascii="Times New Roman" w:hAnsi="Times New Roman" w:eastAsia="宋体" w:cs="Times New Roman"/>
                      <w:bCs/>
                      <w:color w:val="auto"/>
                      <w:sz w:val="18"/>
                      <w:szCs w:val="18"/>
                      <w:lang w:val="en-US" w:eastAsia="zh-CN"/>
                    </w:rPr>
                    <w:t>的</w:t>
                  </w:r>
                  <w:r>
                    <w:rPr>
                      <w:rFonts w:hint="default" w:ascii="Times New Roman" w:hAnsi="Times New Roman" w:eastAsia="宋体" w:cs="Times New Roman"/>
                      <w:bCs/>
                      <w:color w:val="auto"/>
                      <w:sz w:val="18"/>
                      <w:szCs w:val="18"/>
                      <w:lang w:val="en-US" w:eastAsia="zh-CN"/>
                    </w:rPr>
                    <w:t>视频监控设备。</w:t>
                  </w:r>
                </w:p>
              </w:tc>
              <w:tc>
                <w:tcPr>
                  <w:tcW w:w="796" w:type="dxa"/>
                  <w:tcBorders>
                    <w:tl2br w:val="nil"/>
                    <w:tr2bl w:val="nil"/>
                  </w:tcBorders>
                  <w:vAlign w:val="center"/>
                </w:tcPr>
                <w:p w14:paraId="36E2D21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62CC44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6672A0C5">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2A86CA8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2B07464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危险化学品仓库设置的灭火器数量和类型应符合GB50140的要求。</w:t>
                  </w:r>
                </w:p>
              </w:tc>
              <w:tc>
                <w:tcPr>
                  <w:tcW w:w="1568" w:type="dxa"/>
                  <w:tcBorders>
                    <w:tl2br w:val="nil"/>
                    <w:tr2bl w:val="nil"/>
                  </w:tcBorders>
                  <w:vAlign w:val="center"/>
                </w:tcPr>
                <w:p w14:paraId="5E3E33D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项目严格按照</w:t>
                  </w:r>
                  <w:r>
                    <w:rPr>
                      <w:rFonts w:hint="default" w:ascii="Times New Roman" w:hAnsi="Times New Roman" w:eastAsia="宋体" w:cs="Times New Roman"/>
                      <w:bCs/>
                      <w:color w:val="auto"/>
                      <w:sz w:val="18"/>
                      <w:szCs w:val="18"/>
                      <w:lang w:val="en-US" w:eastAsia="zh-CN"/>
                    </w:rPr>
                    <w:t>GB50140的要求</w:t>
                  </w:r>
                  <w:r>
                    <w:rPr>
                      <w:rFonts w:hint="eastAsia" w:ascii="Times New Roman" w:hAnsi="Times New Roman" w:eastAsia="宋体" w:cs="Times New Roman"/>
                      <w:bCs/>
                      <w:color w:val="auto"/>
                      <w:sz w:val="18"/>
                      <w:szCs w:val="18"/>
                      <w:lang w:val="en-US" w:eastAsia="zh-CN"/>
                    </w:rPr>
                    <w:t>设置</w:t>
                  </w:r>
                  <w:r>
                    <w:rPr>
                      <w:rFonts w:hint="default" w:ascii="Times New Roman" w:hAnsi="Times New Roman" w:eastAsia="宋体" w:cs="Times New Roman"/>
                      <w:bCs/>
                      <w:color w:val="auto"/>
                      <w:sz w:val="18"/>
                      <w:szCs w:val="18"/>
                      <w:lang w:val="en-US" w:eastAsia="zh-CN"/>
                    </w:rPr>
                    <w:t>灭火器数量和类型</w:t>
                  </w:r>
                  <w:r>
                    <w:rPr>
                      <w:rFonts w:hint="eastAsia" w:ascii="Times New Roman" w:hAnsi="Times New Roman" w:eastAsia="宋体" w:cs="Times New Roman"/>
                      <w:bCs/>
                      <w:color w:val="auto"/>
                      <w:sz w:val="18"/>
                      <w:szCs w:val="18"/>
                      <w:lang w:val="en-US" w:eastAsia="zh-CN"/>
                    </w:rPr>
                    <w:t>。</w:t>
                  </w:r>
                </w:p>
              </w:tc>
              <w:tc>
                <w:tcPr>
                  <w:tcW w:w="796" w:type="dxa"/>
                  <w:tcBorders>
                    <w:tl2br w:val="nil"/>
                    <w:tr2bl w:val="nil"/>
                  </w:tcBorders>
                  <w:vAlign w:val="center"/>
                </w:tcPr>
                <w:p w14:paraId="2312E50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7466BC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790A0AC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554C359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13F9FD9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储存易燃气体、易燃液体的危险化学品仓库应设置可燃气体报警装置。</w:t>
                  </w:r>
                </w:p>
              </w:tc>
              <w:tc>
                <w:tcPr>
                  <w:tcW w:w="1568" w:type="dxa"/>
                  <w:tcBorders>
                    <w:tl2br w:val="nil"/>
                    <w:tr2bl w:val="nil"/>
                  </w:tcBorders>
                  <w:vAlign w:val="center"/>
                </w:tcPr>
                <w:p w14:paraId="190B7BE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项目设置有</w:t>
                  </w:r>
                  <w:r>
                    <w:rPr>
                      <w:rFonts w:hint="default" w:ascii="Times New Roman" w:hAnsi="Times New Roman" w:eastAsia="宋体" w:cs="Times New Roman"/>
                      <w:bCs/>
                      <w:color w:val="auto"/>
                      <w:sz w:val="18"/>
                      <w:szCs w:val="18"/>
                      <w:lang w:val="en-US" w:eastAsia="zh-CN"/>
                    </w:rPr>
                    <w:t>可燃气体报警装置。</w:t>
                  </w:r>
                </w:p>
              </w:tc>
              <w:tc>
                <w:tcPr>
                  <w:tcW w:w="796" w:type="dxa"/>
                  <w:tcBorders>
                    <w:tl2br w:val="nil"/>
                    <w:tr2bl w:val="nil"/>
                  </w:tcBorders>
                  <w:vAlign w:val="center"/>
                </w:tcPr>
                <w:p w14:paraId="68978CC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46E28A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6838D87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327A7F88">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5EC5E6F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危险化学品仓库应设置防雷和防静电设施。</w:t>
                  </w:r>
                </w:p>
              </w:tc>
              <w:tc>
                <w:tcPr>
                  <w:tcW w:w="1568" w:type="dxa"/>
                  <w:tcBorders>
                    <w:tl2br w:val="nil"/>
                    <w:tr2bl w:val="nil"/>
                  </w:tcBorders>
                  <w:vAlign w:val="center"/>
                </w:tcPr>
                <w:p w14:paraId="2204BBAE">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库区设置有</w:t>
                  </w:r>
                  <w:r>
                    <w:rPr>
                      <w:rFonts w:hint="default" w:ascii="Times New Roman" w:hAnsi="Times New Roman" w:eastAsia="宋体" w:cs="Times New Roman"/>
                      <w:bCs/>
                      <w:color w:val="auto"/>
                      <w:sz w:val="18"/>
                      <w:szCs w:val="18"/>
                      <w:lang w:val="en-US" w:eastAsia="zh-CN"/>
                    </w:rPr>
                    <w:t>防雷和防静电设施。</w:t>
                  </w:r>
                </w:p>
              </w:tc>
              <w:tc>
                <w:tcPr>
                  <w:tcW w:w="796" w:type="dxa"/>
                  <w:tcBorders>
                    <w:tl2br w:val="nil"/>
                    <w:tr2bl w:val="nil"/>
                  </w:tcBorders>
                  <w:vAlign w:val="center"/>
                </w:tcPr>
                <w:p w14:paraId="43920AC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47C5B9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48CF64FC">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330C9DB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5D51150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装卸、搬运</w:t>
                  </w:r>
                  <w:r>
                    <w:rPr>
                      <w:rFonts w:hint="eastAsia" w:ascii="Times New Roman" w:hAnsi="Times New Roman" w:cs="Times New Roman"/>
                      <w:bCs/>
                      <w:color w:val="auto"/>
                      <w:sz w:val="18"/>
                      <w:szCs w:val="18"/>
                      <w:lang w:val="en-US" w:eastAsia="zh-CN"/>
                    </w:rPr>
                    <w:t>危险</w:t>
                  </w:r>
                  <w:r>
                    <w:rPr>
                      <w:rFonts w:hint="default" w:ascii="Times New Roman" w:hAnsi="Times New Roman" w:eastAsia="宋体" w:cs="Times New Roman"/>
                      <w:bCs/>
                      <w:color w:val="auto"/>
                      <w:sz w:val="18"/>
                      <w:szCs w:val="18"/>
                      <w:lang w:val="en-US" w:eastAsia="zh-CN"/>
                    </w:rPr>
                    <w:t>化</w:t>
                  </w:r>
                  <w:r>
                    <w:rPr>
                      <w:rFonts w:hint="eastAsia" w:ascii="Times New Roman" w:hAnsi="Times New Roman" w:cs="Times New Roman"/>
                      <w:bCs/>
                      <w:color w:val="auto"/>
                      <w:sz w:val="18"/>
                      <w:szCs w:val="18"/>
                      <w:lang w:val="en-US" w:eastAsia="zh-CN"/>
                    </w:rPr>
                    <w:t>学品</w:t>
                  </w:r>
                  <w:r>
                    <w:rPr>
                      <w:rFonts w:hint="default" w:ascii="Times New Roman" w:hAnsi="Times New Roman" w:eastAsia="宋体" w:cs="Times New Roman"/>
                      <w:bCs/>
                      <w:color w:val="auto"/>
                      <w:sz w:val="18"/>
                      <w:szCs w:val="18"/>
                      <w:lang w:val="en-US" w:eastAsia="zh-CN"/>
                    </w:rPr>
                    <w:t>时，应做到轻装、轻卸，严禁摔、碰、撞、击、拖拉、倾倒和滚动。</w:t>
                  </w:r>
                </w:p>
              </w:tc>
              <w:tc>
                <w:tcPr>
                  <w:tcW w:w="1568" w:type="dxa"/>
                  <w:tcBorders>
                    <w:tl2br w:val="nil"/>
                    <w:tr2bl w:val="nil"/>
                  </w:tcBorders>
                  <w:vAlign w:val="center"/>
                </w:tcPr>
                <w:p w14:paraId="17743EB0">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本报告要求后续项目</w:t>
                  </w:r>
                  <w:r>
                    <w:rPr>
                      <w:rFonts w:hint="default" w:ascii="Times New Roman" w:hAnsi="Times New Roman" w:eastAsia="宋体" w:cs="Times New Roman"/>
                      <w:bCs/>
                      <w:color w:val="auto"/>
                      <w:sz w:val="18"/>
                      <w:szCs w:val="18"/>
                      <w:lang w:val="en-US" w:eastAsia="zh-CN"/>
                    </w:rPr>
                    <w:t>装卸、搬运危险品化</w:t>
                  </w:r>
                  <w:r>
                    <w:rPr>
                      <w:rFonts w:hint="eastAsia" w:ascii="Times New Roman" w:hAnsi="Times New Roman" w:cs="Times New Roman"/>
                      <w:bCs/>
                      <w:color w:val="auto"/>
                      <w:sz w:val="18"/>
                      <w:szCs w:val="18"/>
                      <w:lang w:val="en-US" w:eastAsia="zh-CN"/>
                    </w:rPr>
                    <w:t>学品</w:t>
                  </w:r>
                  <w:r>
                    <w:rPr>
                      <w:rFonts w:hint="default" w:ascii="Times New Roman" w:hAnsi="Times New Roman" w:eastAsia="宋体" w:cs="Times New Roman"/>
                      <w:bCs/>
                      <w:color w:val="auto"/>
                      <w:sz w:val="18"/>
                      <w:szCs w:val="18"/>
                      <w:lang w:val="en-US" w:eastAsia="zh-CN"/>
                    </w:rPr>
                    <w:t>时，应做到轻装、轻卸，严禁摔、碰、撞、击、拖拉、倾倒和滚动。</w:t>
                  </w:r>
                </w:p>
              </w:tc>
              <w:tc>
                <w:tcPr>
                  <w:tcW w:w="796" w:type="dxa"/>
                  <w:tcBorders>
                    <w:tl2br w:val="nil"/>
                    <w:tr2bl w:val="nil"/>
                  </w:tcBorders>
                  <w:vAlign w:val="center"/>
                </w:tcPr>
                <w:p w14:paraId="12A5CDA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5C3C8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12F2999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12B24DBE">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6989850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装卸搬运有燃烧爆炸危险性危险化学品的机械和工具应选用防爆型。</w:t>
                  </w:r>
                </w:p>
              </w:tc>
              <w:tc>
                <w:tcPr>
                  <w:tcW w:w="1568" w:type="dxa"/>
                  <w:tcBorders>
                    <w:tl2br w:val="nil"/>
                    <w:tr2bl w:val="nil"/>
                  </w:tcBorders>
                  <w:vAlign w:val="center"/>
                </w:tcPr>
                <w:p w14:paraId="797209D3">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项目</w:t>
                  </w:r>
                  <w:r>
                    <w:rPr>
                      <w:rFonts w:hint="default" w:ascii="Times New Roman" w:hAnsi="Times New Roman" w:eastAsia="宋体" w:cs="Times New Roman"/>
                      <w:bCs/>
                      <w:color w:val="auto"/>
                      <w:sz w:val="18"/>
                      <w:szCs w:val="18"/>
                      <w:lang w:val="en-US" w:eastAsia="zh-CN"/>
                    </w:rPr>
                    <w:t>装卸搬运有燃烧爆炸危险性危险化学品的机械和工具</w:t>
                  </w:r>
                  <w:r>
                    <w:rPr>
                      <w:rFonts w:hint="eastAsia" w:ascii="Times New Roman" w:hAnsi="Times New Roman" w:eastAsia="宋体" w:cs="Times New Roman"/>
                      <w:bCs/>
                      <w:color w:val="auto"/>
                      <w:sz w:val="18"/>
                      <w:szCs w:val="18"/>
                      <w:lang w:val="en-US" w:eastAsia="zh-CN"/>
                    </w:rPr>
                    <w:t>均</w:t>
                  </w:r>
                  <w:r>
                    <w:rPr>
                      <w:rFonts w:hint="default" w:ascii="Times New Roman" w:hAnsi="Times New Roman" w:eastAsia="宋体" w:cs="Times New Roman"/>
                      <w:bCs/>
                      <w:color w:val="auto"/>
                      <w:sz w:val="18"/>
                      <w:szCs w:val="18"/>
                      <w:lang w:val="en-US" w:eastAsia="zh-CN"/>
                    </w:rPr>
                    <w:t>选用防爆型。</w:t>
                  </w:r>
                </w:p>
              </w:tc>
              <w:tc>
                <w:tcPr>
                  <w:tcW w:w="796" w:type="dxa"/>
                  <w:tcBorders>
                    <w:tl2br w:val="nil"/>
                    <w:tr2bl w:val="nil"/>
                  </w:tcBorders>
                  <w:vAlign w:val="center"/>
                </w:tcPr>
                <w:p w14:paraId="7F58E122">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154C1A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dxa"/>
                  <w:vMerge w:val="continue"/>
                  <w:tcBorders>
                    <w:tl2br w:val="nil"/>
                    <w:tr2bl w:val="nil"/>
                  </w:tcBorders>
                  <w:vAlign w:val="center"/>
                </w:tcPr>
                <w:p w14:paraId="1ABFE3F9">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82" w:type="dxa"/>
                  <w:vMerge w:val="continue"/>
                  <w:tcBorders>
                    <w:tl2br w:val="nil"/>
                    <w:tr2bl w:val="nil"/>
                  </w:tcBorders>
                  <w:vAlign w:val="center"/>
                </w:tcPr>
                <w:p w14:paraId="7A667DAF">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p>
              </w:tc>
              <w:tc>
                <w:tcPr>
                  <w:tcW w:w="3927" w:type="dxa"/>
                  <w:tcBorders>
                    <w:tl2br w:val="nil"/>
                    <w:tr2bl w:val="nil"/>
                  </w:tcBorders>
                  <w:vAlign w:val="center"/>
                </w:tcPr>
                <w:p w14:paraId="48EB5892">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危险化学品仓库地面应防潮、平整、坚实、易于清扫，不发生火花。储存腐蚀性危险化学品仓库的地面、踢脚应防腐。</w:t>
                  </w:r>
                </w:p>
              </w:tc>
              <w:tc>
                <w:tcPr>
                  <w:tcW w:w="1568" w:type="dxa"/>
                  <w:tcBorders>
                    <w:tl2br w:val="nil"/>
                    <w:tr2bl w:val="nil"/>
                  </w:tcBorders>
                  <w:vAlign w:val="center"/>
                </w:tcPr>
                <w:p w14:paraId="59C47211">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已严格按要求执行。</w:t>
                  </w:r>
                </w:p>
              </w:tc>
              <w:tc>
                <w:tcPr>
                  <w:tcW w:w="796" w:type="dxa"/>
                  <w:tcBorders>
                    <w:tl2br w:val="nil"/>
                    <w:tr2bl w:val="nil"/>
                  </w:tcBorders>
                  <w:vAlign w:val="center"/>
                </w:tcPr>
                <w:p w14:paraId="6AB32A87">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r w14:paraId="667030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4" w:hRule="atLeast"/>
              </w:trPr>
              <w:tc>
                <w:tcPr>
                  <w:tcW w:w="386" w:type="dxa"/>
                  <w:tcBorders>
                    <w:tl2br w:val="nil"/>
                    <w:tr2bl w:val="nil"/>
                  </w:tcBorders>
                  <w:vAlign w:val="center"/>
                </w:tcPr>
                <w:p w14:paraId="2A385167">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w:t>
                  </w:r>
                </w:p>
              </w:tc>
              <w:tc>
                <w:tcPr>
                  <w:tcW w:w="382" w:type="dxa"/>
                  <w:tcBorders>
                    <w:tl2br w:val="nil"/>
                    <w:tr2bl w:val="nil"/>
                  </w:tcBorders>
                  <w:vAlign w:val="center"/>
                </w:tcPr>
                <w:p w14:paraId="6BE8037E">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储存要求</w:t>
                  </w:r>
                </w:p>
              </w:tc>
              <w:tc>
                <w:tcPr>
                  <w:tcW w:w="3927" w:type="dxa"/>
                  <w:tcBorders>
                    <w:tl2br w:val="nil"/>
                    <w:tr2bl w:val="nil"/>
                  </w:tcBorders>
                  <w:vAlign w:val="center"/>
                </w:tcPr>
                <w:p w14:paraId="3BA095D4">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危险化学品不应露天存放</w:t>
                  </w:r>
                  <w:r>
                    <w:rPr>
                      <w:rFonts w:hint="eastAsia" w:ascii="Times New Roman" w:hAnsi="Times New Roman" w:eastAsia="宋体" w:cs="Times New Roman"/>
                      <w:bCs/>
                      <w:color w:val="auto"/>
                      <w:sz w:val="18"/>
                      <w:szCs w:val="18"/>
                      <w:lang w:val="en-US" w:eastAsia="zh-CN"/>
                    </w:rPr>
                    <w:t>。</w:t>
                  </w:r>
                </w:p>
                <w:p w14:paraId="213E67D0">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根据危险化学品特性应分区、分类、分库贮存。</w:t>
                  </w:r>
                </w:p>
                <w:p w14:paraId="2E6DCD5C">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各类危险化学品不应与</w:t>
                  </w:r>
                  <w:r>
                    <w:rPr>
                      <w:rFonts w:hint="eastAsia" w:ascii="Times New Roman" w:hAnsi="Times New Roman" w:cs="Times New Roman"/>
                      <w:bCs/>
                      <w:color w:val="auto"/>
                      <w:sz w:val="18"/>
                      <w:szCs w:val="18"/>
                      <w:lang w:val="en-US" w:eastAsia="zh-CN"/>
                    </w:rPr>
                    <w:t>其他</w:t>
                  </w:r>
                  <w:r>
                    <w:rPr>
                      <w:rFonts w:hint="default" w:ascii="Times New Roman" w:hAnsi="Times New Roman" w:eastAsia="宋体" w:cs="Times New Roman"/>
                      <w:bCs/>
                      <w:color w:val="auto"/>
                      <w:sz w:val="18"/>
                      <w:szCs w:val="18"/>
                      <w:lang w:val="en-US" w:eastAsia="zh-CN"/>
                    </w:rPr>
                    <w:t>禁忌化学品混合储存。危险化学品储存禁忌见附录A。</w:t>
                  </w:r>
                </w:p>
                <w:p w14:paraId="767CE5D5">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凡混存危险化学品，货垛与货垛之间，应留有1m以上的距离，并要求包装容器完整，两种物品不应发生接触。</w:t>
                  </w:r>
                </w:p>
                <w:p w14:paraId="0058186E">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易燃易爆危险化学品的储存应符合GB17914的要求。</w:t>
                  </w:r>
                </w:p>
                <w:p w14:paraId="4D08FB01">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腐蚀性危险化学品的储存应符合GB17915的要求。</w:t>
                  </w:r>
                </w:p>
                <w:p w14:paraId="0820508F">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有毒化学品的储存应符合GB17916的要求。</w:t>
                  </w:r>
                </w:p>
                <w:p w14:paraId="0872EA59">
                  <w:pPr>
                    <w:pStyle w:val="32"/>
                    <w:shd w:val="clear" w:color="auto" w:fill="FFFFFF"/>
                    <w:spacing w:before="0" w:beforeAutospacing="0" w:after="0" w:afterAutospacing="0"/>
                    <w:jc w:val="left"/>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危险化学品的储存应符合GB15603的要求。</w:t>
                  </w:r>
                </w:p>
              </w:tc>
              <w:tc>
                <w:tcPr>
                  <w:tcW w:w="1568" w:type="dxa"/>
                  <w:tcBorders>
                    <w:tl2br w:val="nil"/>
                    <w:tr2bl w:val="nil"/>
                  </w:tcBorders>
                  <w:vAlign w:val="center"/>
                </w:tcPr>
                <w:p w14:paraId="6F3D9A36">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本项目储存的危险化学品为工业炸药、导爆索、工业数码电子雷管，属于</w:t>
                  </w:r>
                  <w:r>
                    <w:rPr>
                      <w:rFonts w:hint="default" w:ascii="Times New Roman" w:hAnsi="Times New Roman" w:eastAsia="宋体" w:cs="Times New Roman"/>
                      <w:bCs/>
                      <w:color w:val="auto"/>
                      <w:sz w:val="18"/>
                      <w:szCs w:val="18"/>
                      <w:lang w:val="en-US" w:eastAsia="zh-CN"/>
                    </w:rPr>
                    <w:t>易燃易爆危险化学品</w:t>
                  </w:r>
                  <w:r>
                    <w:rPr>
                      <w:rFonts w:hint="eastAsia" w:ascii="Times New Roman" w:hAnsi="Times New Roman" w:eastAsia="宋体" w:cs="Times New Roman"/>
                      <w:bCs/>
                      <w:color w:val="auto"/>
                      <w:sz w:val="18"/>
                      <w:szCs w:val="18"/>
                      <w:lang w:val="en-US" w:eastAsia="zh-CN"/>
                    </w:rPr>
                    <w:t>，符合</w:t>
                  </w:r>
                  <w:r>
                    <w:rPr>
                      <w:rFonts w:hint="default" w:ascii="Times New Roman" w:hAnsi="Times New Roman" w:eastAsia="宋体" w:cs="Times New Roman"/>
                      <w:bCs/>
                      <w:color w:val="auto"/>
                      <w:sz w:val="18"/>
                      <w:szCs w:val="18"/>
                      <w:lang w:val="en-US" w:eastAsia="zh-CN"/>
                    </w:rPr>
                    <w:t>GB17914</w:t>
                  </w:r>
                  <w:r>
                    <w:rPr>
                      <w:rFonts w:hint="eastAsia" w:ascii="Times New Roman" w:hAnsi="Times New Roman" w:eastAsia="宋体" w:cs="Times New Roman"/>
                      <w:bCs/>
                      <w:color w:val="auto"/>
                      <w:sz w:val="18"/>
                      <w:szCs w:val="18"/>
                      <w:lang w:val="en-US" w:eastAsia="zh-CN"/>
                    </w:rPr>
                    <w:t>中的相关要求，且于库房内分区贮存，不露天堆放。</w:t>
                  </w:r>
                </w:p>
              </w:tc>
              <w:tc>
                <w:tcPr>
                  <w:tcW w:w="796" w:type="dxa"/>
                  <w:tcBorders>
                    <w:tl2br w:val="nil"/>
                    <w:tr2bl w:val="nil"/>
                  </w:tcBorders>
                  <w:vAlign w:val="center"/>
                </w:tcPr>
                <w:p w14:paraId="7C84962A">
                  <w:pPr>
                    <w:pStyle w:val="32"/>
                    <w:shd w:val="clear" w:color="auto" w:fill="FFFFFF"/>
                    <w:spacing w:before="0" w:beforeAutospacing="0" w:after="0" w:afterAutospacing="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符合</w:t>
                  </w:r>
                </w:p>
              </w:tc>
            </w:tr>
          </w:tbl>
          <w:p w14:paraId="10CC0C69">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根据上表的分析可以看出，项目的建设符合《危险化学品仓库建设及储存安全规范》（DB11/755-2010）中的相关要求。</w:t>
            </w:r>
          </w:p>
          <w:p w14:paraId="7866CC04">
            <w:pPr>
              <w:pStyle w:val="5"/>
              <w:numPr>
                <w:ilvl w:val="0"/>
                <w:numId w:val="2"/>
              </w:numPr>
              <w:adjustRightInd w:val="0"/>
              <w:snapToGrid w:val="0"/>
              <w:ind w:left="0" w:leftChars="0" w:firstLine="0" w:firstLineChars="0"/>
              <w:rPr>
                <w:rFonts w:hint="eastAsia" w:cs="Times New Roman"/>
                <w:color w:val="auto"/>
                <w:sz w:val="24"/>
                <w:lang w:val="en-US" w:eastAsia="zh-CN"/>
              </w:rPr>
            </w:pPr>
            <w:r>
              <w:rPr>
                <w:rFonts w:hint="eastAsia" w:cs="Times New Roman"/>
                <w:color w:val="auto"/>
                <w:sz w:val="24"/>
                <w:lang w:val="en-US" w:eastAsia="zh-CN"/>
              </w:rPr>
              <w:t>选址合理性分析</w:t>
            </w:r>
          </w:p>
          <w:p w14:paraId="1D640BC9">
            <w:pPr>
              <w:adjustRightInd w:val="0"/>
              <w:snapToGrid w:val="0"/>
              <w:spacing w:line="360" w:lineRule="auto"/>
              <w:ind w:firstLine="480" w:firstLineChars="200"/>
              <w:rPr>
                <w:rFonts w:hint="default"/>
                <w:color w:val="auto"/>
                <w:lang w:val="en-US" w:eastAsia="zh-CN"/>
              </w:rPr>
            </w:pPr>
            <w:r>
              <w:rPr>
                <w:rFonts w:hint="default" w:ascii="Times New Roman" w:hAnsi="Times New Roman" w:eastAsia="宋体" w:cs="Times New Roman"/>
                <w:color w:val="auto"/>
                <w:sz w:val="24"/>
                <w:highlight w:val="none"/>
                <w:lang w:val="en-US" w:eastAsia="zh-CN"/>
              </w:rPr>
              <w:t>项目位于云南省玉溪市新平县戛洒镇米尺莫村委会哈母白租村民小组，外部安全距离满足《民用爆炸物品工程设计安全标准》（GB50089-2018）规定的目标物至危险性建筑物外墙面的最小安全距离，</w:t>
            </w:r>
            <w:r>
              <w:rPr>
                <w:rFonts w:hint="eastAsia" w:ascii="Times New Roman" w:hAnsi="Times New Roman" w:eastAsia="宋体" w:cs="Times New Roman"/>
                <w:color w:val="auto"/>
                <w:sz w:val="24"/>
                <w:highlight w:val="none"/>
                <w:lang w:val="en-US" w:eastAsia="zh-CN"/>
              </w:rPr>
              <w:t>周边最近的居民点为厂界西南侧2335m处的大田村，距离较远；同时项目选址不在大红山铁矿采区、塌陷区范围内，选址合理。</w:t>
            </w:r>
          </w:p>
          <w:p w14:paraId="343EBA49">
            <w:pPr>
              <w:pStyle w:val="5"/>
              <w:adjustRightInd w:val="0"/>
              <w:snapToGrid w:val="0"/>
              <w:rPr>
                <w:rFonts w:hint="default" w:ascii="Times New Roman" w:hAnsi="Times New Roman" w:cs="Times New Roman"/>
                <w:color w:val="auto"/>
                <w:sz w:val="24"/>
                <w:lang w:val="en-US" w:eastAsia="zh-CN"/>
              </w:rPr>
            </w:pPr>
            <w:r>
              <w:rPr>
                <w:rFonts w:hint="eastAsia" w:cs="Times New Roman"/>
                <w:color w:val="auto"/>
                <w:sz w:val="24"/>
                <w:lang w:val="en-US" w:eastAsia="zh-CN"/>
              </w:rPr>
              <w:t>13、</w:t>
            </w:r>
            <w:r>
              <w:rPr>
                <w:rFonts w:hint="default" w:ascii="Times New Roman" w:hAnsi="Times New Roman" w:cs="Times New Roman"/>
                <w:color w:val="auto"/>
                <w:sz w:val="24"/>
                <w:lang w:val="en-US" w:eastAsia="zh-CN"/>
              </w:rPr>
              <w:t>平面布局合理性分析</w:t>
            </w:r>
          </w:p>
          <w:p w14:paraId="041C16B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项目位于云南省玉溪市新平县戛洒镇米尺莫村委会哈母白租村民小组，拟建库区整体大致呈矩形状布置，南北方向的长边长87.5m、东西方向上的短边宽28.0m。</w:t>
            </w:r>
          </w:p>
          <w:p w14:paraId="6BCF365A">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储存库区：设有一个总出入口，位于库区南面的短边围墙。储存库区大门往内依次布置：104雷管库（联建雷管发放间）、103炸药库（联建导爆索存放间）、102炸药库、101炸药库；消防水池拟设置在库区南面靠围墙处。</w:t>
            </w:r>
          </w:p>
          <w:p w14:paraId="103EFF2D">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防护屏障：101-103炸药库四周均设置有防护屏障。（103炸药库与104雷管库之间设置单有防护土堤，相邻的炸药库之间设置双有防护土堤）。</w:t>
            </w:r>
          </w:p>
          <w:p w14:paraId="7A8FD9F2">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库区道路：库区内道路均为水泥道路，道路宽度为4.0m，进入炸药库、雷管库库房道路宽度为4.0m（库区大门4.0m），未注明道路转弯半径为9m。</w:t>
            </w:r>
          </w:p>
          <w:p w14:paraId="0D67C69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库区围墙：库区围墙距离各危险品仓库外墙面均不小于5m。</w:t>
            </w:r>
          </w:p>
          <w:p w14:paraId="691C2FEB">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库区值班室：值班室拟建在库区外安全地带，距任一炸药库实际安全距离：有防护屏障的情况下大于65m，无防护屏障的情况下大于90m，距雷管库实际安全距离大于20m。</w:t>
            </w:r>
          </w:p>
          <w:p w14:paraId="378DBB7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该储存库的总平面布置方案，根据各储存库的危险等级和计算药量并结合地形特点，以有利于安全、运输和装卸作业的原则进行布置</w:t>
            </w:r>
            <w:r>
              <w:rPr>
                <w:rFonts w:hint="eastAsia" w:cs="Times New Roman"/>
                <w:color w:val="auto"/>
                <w:sz w:val="24"/>
                <w:highlight w:val="none"/>
                <w:lang w:val="en-US" w:eastAsia="zh-CN"/>
              </w:rPr>
              <w:t>，总平面布置合理。</w:t>
            </w:r>
          </w:p>
          <w:p w14:paraId="6164C27A">
            <w:pPr>
              <w:adjustRightInd w:val="0"/>
              <w:snapToGrid w:val="0"/>
              <w:spacing w:line="360" w:lineRule="auto"/>
              <w:jc w:val="center"/>
              <w:rPr>
                <w:rFonts w:hint="eastAsia" w:ascii="Times New Roman" w:hAnsi="Times New Roman" w:eastAsia="黑体" w:cs="Times New Roman"/>
                <w:bCs/>
                <w:color w:val="auto"/>
                <w:szCs w:val="21"/>
                <w:lang w:val="en-US" w:eastAsia="zh-CN"/>
              </w:rPr>
            </w:pPr>
            <w:r>
              <w:rPr>
                <w:rFonts w:hint="eastAsia" w:ascii="Times New Roman" w:hAnsi="Times New Roman" w:eastAsia="黑体" w:cs="Times New Roman"/>
                <w:bCs/>
                <w:color w:val="auto"/>
                <w:szCs w:val="21"/>
                <w:lang w:val="en-US" w:eastAsia="zh-CN"/>
              </w:rPr>
              <w:t>表</w:t>
            </w:r>
            <w:r>
              <w:rPr>
                <w:rFonts w:hint="eastAsia" w:eastAsia="黑体" w:cs="Times New Roman"/>
                <w:bCs/>
                <w:color w:val="auto"/>
                <w:szCs w:val="21"/>
                <w:lang w:val="en-US" w:eastAsia="zh-CN"/>
              </w:rPr>
              <w:t>1-9</w:t>
            </w:r>
            <w:r>
              <w:rPr>
                <w:rFonts w:hint="eastAsia" w:ascii="Times New Roman" w:hAnsi="Times New Roman" w:eastAsia="黑体" w:cs="Times New Roman"/>
                <w:bCs/>
                <w:color w:val="auto"/>
                <w:szCs w:val="21"/>
                <w:lang w:val="en-US" w:eastAsia="zh-CN"/>
              </w:rPr>
              <w:t xml:space="preserve">  各建筑物之间安全距离一览表</w:t>
            </w:r>
          </w:p>
          <w:tbl>
            <w:tblPr>
              <w:tblStyle w:val="37"/>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27"/>
              <w:gridCol w:w="647"/>
              <w:gridCol w:w="809"/>
              <w:gridCol w:w="717"/>
              <w:gridCol w:w="718"/>
              <w:gridCol w:w="739"/>
              <w:gridCol w:w="750"/>
              <w:gridCol w:w="717"/>
            </w:tblGrid>
            <w:tr w14:paraId="16921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tcBorders>
                    <w:tl2br w:val="nil"/>
                    <w:tr2bl w:val="nil"/>
                  </w:tcBorders>
                  <w:vAlign w:val="center"/>
                </w:tcPr>
                <w:p w14:paraId="2F9611B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距离</w:t>
                  </w:r>
                </w:p>
                <w:p w14:paraId="5D2AD87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库房名称</w:t>
                  </w:r>
                </w:p>
              </w:tc>
              <w:tc>
                <w:tcPr>
                  <w:tcW w:w="1374" w:type="dxa"/>
                  <w:gridSpan w:val="2"/>
                  <w:tcBorders>
                    <w:tl2br w:val="nil"/>
                    <w:tr2bl w:val="nil"/>
                  </w:tcBorders>
                  <w:vAlign w:val="center"/>
                </w:tcPr>
                <w:p w14:paraId="1680A26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102炸药库</w:t>
                  </w:r>
                </w:p>
              </w:tc>
              <w:tc>
                <w:tcPr>
                  <w:tcW w:w="1526" w:type="dxa"/>
                  <w:gridSpan w:val="2"/>
                  <w:tcBorders>
                    <w:tl2br w:val="nil"/>
                    <w:tr2bl w:val="nil"/>
                  </w:tcBorders>
                  <w:vAlign w:val="center"/>
                </w:tcPr>
                <w:p w14:paraId="23BD3CF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103炸药库（联建导爆索存放间）</w:t>
                  </w:r>
                </w:p>
              </w:tc>
              <w:tc>
                <w:tcPr>
                  <w:tcW w:w="1457" w:type="dxa"/>
                  <w:gridSpan w:val="2"/>
                  <w:tcBorders>
                    <w:tl2br w:val="nil"/>
                    <w:tr2bl w:val="nil"/>
                  </w:tcBorders>
                  <w:vAlign w:val="center"/>
                </w:tcPr>
                <w:p w14:paraId="60D40FC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104雷管库（联建雷管发放间）</w:t>
                  </w:r>
                </w:p>
              </w:tc>
              <w:tc>
                <w:tcPr>
                  <w:tcW w:w="1467" w:type="dxa"/>
                  <w:gridSpan w:val="2"/>
                  <w:tcBorders>
                    <w:tl2br w:val="nil"/>
                    <w:tr2bl w:val="nil"/>
                  </w:tcBorders>
                  <w:vAlign w:val="center"/>
                </w:tcPr>
                <w:p w14:paraId="5CD87BE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值班室（无防护屏障）</w:t>
                  </w:r>
                </w:p>
              </w:tc>
            </w:tr>
            <w:tr w14:paraId="0980AD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tcBorders>
                    <w:tl2br w:val="nil"/>
                    <w:tr2bl w:val="nil"/>
                  </w:tcBorders>
                  <w:vAlign w:val="center"/>
                </w:tcPr>
                <w:p w14:paraId="11DBCEB8">
                  <w:pPr>
                    <w:jc w:val="center"/>
                    <w:rPr>
                      <w:rFonts w:hint="default" w:ascii="Times New Roman" w:hAnsi="Times New Roman" w:eastAsia="宋体" w:cs="Times New Roman"/>
                      <w:color w:val="auto"/>
                      <w:sz w:val="18"/>
                      <w:szCs w:val="18"/>
                      <w:lang w:val="en-US" w:eastAsia="zh-CN"/>
                    </w:rPr>
                  </w:pPr>
                </w:p>
              </w:tc>
              <w:tc>
                <w:tcPr>
                  <w:tcW w:w="727" w:type="dxa"/>
                  <w:tcBorders>
                    <w:tl2br w:val="nil"/>
                    <w:tr2bl w:val="nil"/>
                  </w:tcBorders>
                  <w:vAlign w:val="center"/>
                </w:tcPr>
                <w:p w14:paraId="641129D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647" w:type="dxa"/>
                  <w:tcBorders>
                    <w:tl2br w:val="nil"/>
                    <w:tr2bl w:val="nil"/>
                  </w:tcBorders>
                  <w:vAlign w:val="center"/>
                </w:tcPr>
                <w:p w14:paraId="4A8A142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c>
                <w:tcPr>
                  <w:tcW w:w="809" w:type="dxa"/>
                  <w:tcBorders>
                    <w:tl2br w:val="nil"/>
                    <w:tr2bl w:val="nil"/>
                  </w:tcBorders>
                  <w:vAlign w:val="center"/>
                </w:tcPr>
                <w:p w14:paraId="53BA380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717" w:type="dxa"/>
                  <w:tcBorders>
                    <w:tl2br w:val="nil"/>
                    <w:tr2bl w:val="nil"/>
                  </w:tcBorders>
                  <w:vAlign w:val="center"/>
                </w:tcPr>
                <w:p w14:paraId="656406DE">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c>
                <w:tcPr>
                  <w:tcW w:w="718" w:type="dxa"/>
                  <w:tcBorders>
                    <w:tl2br w:val="nil"/>
                    <w:tr2bl w:val="nil"/>
                  </w:tcBorders>
                  <w:vAlign w:val="center"/>
                </w:tcPr>
                <w:p w14:paraId="2FA8E2B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739" w:type="dxa"/>
                  <w:tcBorders>
                    <w:tl2br w:val="nil"/>
                    <w:tr2bl w:val="nil"/>
                  </w:tcBorders>
                  <w:vAlign w:val="center"/>
                </w:tcPr>
                <w:p w14:paraId="64674F9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c>
                <w:tcPr>
                  <w:tcW w:w="750" w:type="dxa"/>
                  <w:tcBorders>
                    <w:tl2br w:val="nil"/>
                    <w:tr2bl w:val="nil"/>
                  </w:tcBorders>
                  <w:vAlign w:val="center"/>
                </w:tcPr>
                <w:p w14:paraId="3AC0168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717" w:type="dxa"/>
                  <w:tcBorders>
                    <w:tl2br w:val="nil"/>
                    <w:tr2bl w:val="nil"/>
                  </w:tcBorders>
                  <w:vAlign w:val="center"/>
                </w:tcPr>
                <w:p w14:paraId="10F2924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r>
            <w:tr w14:paraId="3443BA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0CB233E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101炸药库</w:t>
                  </w:r>
                </w:p>
              </w:tc>
              <w:tc>
                <w:tcPr>
                  <w:tcW w:w="727" w:type="dxa"/>
                  <w:tcBorders>
                    <w:tl2br w:val="nil"/>
                    <w:tr2bl w:val="nil"/>
                  </w:tcBorders>
                  <w:vAlign w:val="center"/>
                </w:tcPr>
                <w:p w14:paraId="37F2A63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20.5</w:t>
                  </w:r>
                </w:p>
              </w:tc>
              <w:tc>
                <w:tcPr>
                  <w:tcW w:w="647" w:type="dxa"/>
                  <w:tcBorders>
                    <w:tl2br w:val="nil"/>
                    <w:tr2bl w:val="nil"/>
                  </w:tcBorders>
                  <w:vAlign w:val="center"/>
                </w:tcPr>
                <w:p w14:paraId="21D8746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809" w:type="dxa"/>
                  <w:tcBorders>
                    <w:tl2br w:val="nil"/>
                    <w:tr2bl w:val="nil"/>
                  </w:tcBorders>
                  <w:vAlign w:val="center"/>
                </w:tcPr>
                <w:p w14:paraId="7274F61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717" w:type="dxa"/>
                  <w:tcBorders>
                    <w:tl2br w:val="nil"/>
                    <w:tr2bl w:val="nil"/>
                  </w:tcBorders>
                  <w:vAlign w:val="center"/>
                </w:tcPr>
                <w:p w14:paraId="686ED66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718" w:type="dxa"/>
                  <w:tcBorders>
                    <w:tl2br w:val="nil"/>
                    <w:tr2bl w:val="nil"/>
                  </w:tcBorders>
                  <w:vAlign w:val="center"/>
                </w:tcPr>
                <w:p w14:paraId="07CF23E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64.5</w:t>
                  </w:r>
                </w:p>
              </w:tc>
              <w:tc>
                <w:tcPr>
                  <w:tcW w:w="739" w:type="dxa"/>
                  <w:tcBorders>
                    <w:tl2br w:val="nil"/>
                    <w:tr2bl w:val="nil"/>
                  </w:tcBorders>
                  <w:vAlign w:val="center"/>
                </w:tcPr>
                <w:p w14:paraId="769E33C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750" w:type="dxa"/>
                  <w:tcBorders>
                    <w:tl2br w:val="nil"/>
                    <w:tr2bl w:val="nil"/>
                  </w:tcBorders>
                  <w:vAlign w:val="center"/>
                </w:tcPr>
                <w:p w14:paraId="2C5F79B7">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90</w:t>
                  </w:r>
                </w:p>
              </w:tc>
              <w:tc>
                <w:tcPr>
                  <w:tcW w:w="717" w:type="dxa"/>
                  <w:tcBorders>
                    <w:tl2br w:val="nil"/>
                    <w:tr2bl w:val="nil"/>
                  </w:tcBorders>
                  <w:vAlign w:val="center"/>
                </w:tcPr>
                <w:p w14:paraId="2192DB2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r>
            <w:tr w14:paraId="6F9A29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5359327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102炸药库</w:t>
                  </w:r>
                </w:p>
              </w:tc>
              <w:tc>
                <w:tcPr>
                  <w:tcW w:w="727" w:type="dxa"/>
                  <w:tcBorders>
                    <w:tl2br w:val="nil"/>
                    <w:tr2bl w:val="nil"/>
                  </w:tcBorders>
                  <w:vAlign w:val="center"/>
                </w:tcPr>
                <w:p w14:paraId="16878BFD">
                  <w:pPr>
                    <w:jc w:val="center"/>
                    <w:rPr>
                      <w:rFonts w:hint="default" w:ascii="Times New Roman" w:hAnsi="Times New Roman" w:eastAsia="宋体" w:cs="Times New Roman"/>
                      <w:color w:val="auto"/>
                      <w:sz w:val="18"/>
                      <w:szCs w:val="18"/>
                      <w:lang w:val="en-US" w:eastAsia="zh-CN"/>
                    </w:rPr>
                  </w:pPr>
                </w:p>
              </w:tc>
              <w:tc>
                <w:tcPr>
                  <w:tcW w:w="647" w:type="dxa"/>
                  <w:tcBorders>
                    <w:tl2br w:val="nil"/>
                    <w:tr2bl w:val="nil"/>
                  </w:tcBorders>
                  <w:vAlign w:val="center"/>
                </w:tcPr>
                <w:p w14:paraId="26F934F1">
                  <w:pPr>
                    <w:jc w:val="center"/>
                    <w:rPr>
                      <w:rFonts w:hint="default" w:ascii="Times New Roman" w:hAnsi="Times New Roman" w:eastAsia="宋体" w:cs="Times New Roman"/>
                      <w:color w:val="auto"/>
                      <w:sz w:val="18"/>
                      <w:szCs w:val="18"/>
                      <w:lang w:val="en-US" w:eastAsia="zh-CN"/>
                    </w:rPr>
                  </w:pPr>
                </w:p>
              </w:tc>
              <w:tc>
                <w:tcPr>
                  <w:tcW w:w="809" w:type="dxa"/>
                  <w:tcBorders>
                    <w:tl2br w:val="nil"/>
                    <w:tr2bl w:val="nil"/>
                  </w:tcBorders>
                  <w:vAlign w:val="center"/>
                </w:tcPr>
                <w:p w14:paraId="16D6D08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20.5</w:t>
                  </w:r>
                </w:p>
              </w:tc>
              <w:tc>
                <w:tcPr>
                  <w:tcW w:w="717" w:type="dxa"/>
                  <w:tcBorders>
                    <w:tl2br w:val="nil"/>
                    <w:tr2bl w:val="nil"/>
                  </w:tcBorders>
                  <w:vAlign w:val="center"/>
                </w:tcPr>
                <w:p w14:paraId="2C4D360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718" w:type="dxa"/>
                  <w:tcBorders>
                    <w:tl2br w:val="nil"/>
                    <w:tr2bl w:val="nil"/>
                  </w:tcBorders>
                  <w:vAlign w:val="center"/>
                </w:tcPr>
                <w:p w14:paraId="358DA40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739" w:type="dxa"/>
                  <w:tcBorders>
                    <w:tl2br w:val="nil"/>
                    <w:tr2bl w:val="nil"/>
                  </w:tcBorders>
                  <w:vAlign w:val="center"/>
                </w:tcPr>
                <w:p w14:paraId="202CE1A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750" w:type="dxa"/>
                  <w:tcBorders>
                    <w:tl2br w:val="nil"/>
                    <w:tr2bl w:val="nil"/>
                  </w:tcBorders>
                  <w:vAlign w:val="center"/>
                </w:tcPr>
                <w:p w14:paraId="7C71555A">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90</w:t>
                  </w:r>
                </w:p>
              </w:tc>
              <w:tc>
                <w:tcPr>
                  <w:tcW w:w="717" w:type="dxa"/>
                  <w:tcBorders>
                    <w:tl2br w:val="nil"/>
                    <w:tr2bl w:val="nil"/>
                  </w:tcBorders>
                  <w:vAlign w:val="center"/>
                </w:tcPr>
                <w:p w14:paraId="46B9C1A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r>
            <w:tr w14:paraId="4C24B6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05F0ABE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103炸药库（联建导爆索存放间）</w:t>
                  </w:r>
                </w:p>
              </w:tc>
              <w:tc>
                <w:tcPr>
                  <w:tcW w:w="727" w:type="dxa"/>
                  <w:tcBorders>
                    <w:tl2br w:val="nil"/>
                    <w:tr2bl w:val="nil"/>
                  </w:tcBorders>
                  <w:vAlign w:val="center"/>
                </w:tcPr>
                <w:p w14:paraId="0C8C7173">
                  <w:pPr>
                    <w:jc w:val="center"/>
                    <w:rPr>
                      <w:rFonts w:hint="default" w:ascii="Times New Roman" w:hAnsi="Times New Roman" w:eastAsia="宋体" w:cs="Times New Roman"/>
                      <w:color w:val="auto"/>
                      <w:sz w:val="18"/>
                      <w:szCs w:val="18"/>
                      <w:lang w:val="en-US" w:eastAsia="zh-CN"/>
                    </w:rPr>
                  </w:pPr>
                </w:p>
              </w:tc>
              <w:tc>
                <w:tcPr>
                  <w:tcW w:w="647" w:type="dxa"/>
                  <w:tcBorders>
                    <w:tl2br w:val="nil"/>
                    <w:tr2bl w:val="nil"/>
                  </w:tcBorders>
                  <w:vAlign w:val="center"/>
                </w:tcPr>
                <w:p w14:paraId="7CA934CD">
                  <w:pPr>
                    <w:jc w:val="center"/>
                    <w:rPr>
                      <w:rFonts w:hint="default" w:ascii="Times New Roman" w:hAnsi="Times New Roman" w:eastAsia="宋体" w:cs="Times New Roman"/>
                      <w:color w:val="auto"/>
                      <w:sz w:val="18"/>
                      <w:szCs w:val="18"/>
                      <w:lang w:val="en-US" w:eastAsia="zh-CN"/>
                    </w:rPr>
                  </w:pPr>
                </w:p>
              </w:tc>
              <w:tc>
                <w:tcPr>
                  <w:tcW w:w="809" w:type="dxa"/>
                  <w:tcBorders>
                    <w:tl2br w:val="nil"/>
                    <w:tr2bl w:val="nil"/>
                  </w:tcBorders>
                  <w:vAlign w:val="center"/>
                </w:tcPr>
                <w:p w14:paraId="4F754C62">
                  <w:pPr>
                    <w:jc w:val="center"/>
                    <w:rPr>
                      <w:rFonts w:hint="default" w:ascii="Times New Roman" w:hAnsi="Times New Roman" w:eastAsia="宋体" w:cs="Times New Roman"/>
                      <w:color w:val="auto"/>
                      <w:sz w:val="18"/>
                      <w:szCs w:val="18"/>
                      <w:lang w:val="en-US" w:eastAsia="zh-CN"/>
                    </w:rPr>
                  </w:pPr>
                </w:p>
              </w:tc>
              <w:tc>
                <w:tcPr>
                  <w:tcW w:w="717" w:type="dxa"/>
                  <w:tcBorders>
                    <w:tl2br w:val="nil"/>
                    <w:tr2bl w:val="nil"/>
                  </w:tcBorders>
                  <w:vAlign w:val="center"/>
                </w:tcPr>
                <w:p w14:paraId="04B9E4A8">
                  <w:pPr>
                    <w:jc w:val="center"/>
                    <w:rPr>
                      <w:rFonts w:hint="default" w:ascii="Times New Roman" w:hAnsi="Times New Roman" w:eastAsia="宋体" w:cs="Times New Roman"/>
                      <w:color w:val="auto"/>
                      <w:sz w:val="18"/>
                      <w:szCs w:val="18"/>
                      <w:lang w:val="en-US" w:eastAsia="zh-CN"/>
                    </w:rPr>
                  </w:pPr>
                </w:p>
              </w:tc>
              <w:tc>
                <w:tcPr>
                  <w:tcW w:w="718" w:type="dxa"/>
                  <w:tcBorders>
                    <w:tl2br w:val="nil"/>
                    <w:tr2bl w:val="nil"/>
                  </w:tcBorders>
                  <w:vAlign w:val="center"/>
                </w:tcPr>
                <w:p w14:paraId="0D27BE3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15.5</w:t>
                  </w:r>
                </w:p>
              </w:tc>
              <w:tc>
                <w:tcPr>
                  <w:tcW w:w="739" w:type="dxa"/>
                  <w:tcBorders>
                    <w:tl2br w:val="nil"/>
                    <w:tr2bl w:val="nil"/>
                  </w:tcBorders>
                  <w:vAlign w:val="center"/>
                </w:tcPr>
                <w:p w14:paraId="0F1E4C7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750" w:type="dxa"/>
                  <w:tcBorders>
                    <w:tl2br w:val="nil"/>
                    <w:tr2bl w:val="nil"/>
                  </w:tcBorders>
                  <w:vAlign w:val="center"/>
                </w:tcPr>
                <w:p w14:paraId="1641A02A">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90</w:t>
                  </w:r>
                </w:p>
              </w:tc>
              <w:tc>
                <w:tcPr>
                  <w:tcW w:w="717" w:type="dxa"/>
                  <w:tcBorders>
                    <w:tl2br w:val="nil"/>
                    <w:tr2bl w:val="nil"/>
                  </w:tcBorders>
                  <w:vAlign w:val="center"/>
                </w:tcPr>
                <w:p w14:paraId="2D17C8F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r>
            <w:tr w14:paraId="18D5FB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tcBorders>
                    <w:tl2br w:val="nil"/>
                    <w:tr2bl w:val="nil"/>
                  </w:tcBorders>
                  <w:vAlign w:val="center"/>
                </w:tcPr>
                <w:p w14:paraId="066D0A7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104雷管库（联建雷管发放间）</w:t>
                  </w:r>
                </w:p>
              </w:tc>
              <w:tc>
                <w:tcPr>
                  <w:tcW w:w="727" w:type="dxa"/>
                  <w:tcBorders>
                    <w:tl2br w:val="nil"/>
                    <w:tr2bl w:val="nil"/>
                  </w:tcBorders>
                  <w:vAlign w:val="center"/>
                </w:tcPr>
                <w:p w14:paraId="095A7907">
                  <w:pPr>
                    <w:jc w:val="center"/>
                    <w:rPr>
                      <w:rFonts w:hint="default" w:ascii="Times New Roman" w:hAnsi="Times New Roman" w:eastAsia="宋体" w:cs="Times New Roman"/>
                      <w:color w:val="auto"/>
                      <w:sz w:val="18"/>
                      <w:szCs w:val="18"/>
                      <w:lang w:val="en-US" w:eastAsia="zh-CN"/>
                    </w:rPr>
                  </w:pPr>
                </w:p>
              </w:tc>
              <w:tc>
                <w:tcPr>
                  <w:tcW w:w="647" w:type="dxa"/>
                  <w:tcBorders>
                    <w:tl2br w:val="nil"/>
                    <w:tr2bl w:val="nil"/>
                  </w:tcBorders>
                  <w:vAlign w:val="center"/>
                </w:tcPr>
                <w:p w14:paraId="468EEE4B">
                  <w:pPr>
                    <w:jc w:val="center"/>
                    <w:rPr>
                      <w:rFonts w:hint="default" w:ascii="Times New Roman" w:hAnsi="Times New Roman" w:eastAsia="宋体" w:cs="Times New Roman"/>
                      <w:color w:val="auto"/>
                      <w:sz w:val="18"/>
                      <w:szCs w:val="18"/>
                      <w:lang w:val="en-US" w:eastAsia="zh-CN"/>
                    </w:rPr>
                  </w:pPr>
                </w:p>
              </w:tc>
              <w:tc>
                <w:tcPr>
                  <w:tcW w:w="809" w:type="dxa"/>
                  <w:tcBorders>
                    <w:tl2br w:val="nil"/>
                    <w:tr2bl w:val="nil"/>
                  </w:tcBorders>
                  <w:vAlign w:val="center"/>
                </w:tcPr>
                <w:p w14:paraId="6EF4D7FA">
                  <w:pPr>
                    <w:jc w:val="center"/>
                    <w:rPr>
                      <w:rFonts w:hint="default" w:ascii="Times New Roman" w:hAnsi="Times New Roman" w:eastAsia="宋体" w:cs="Times New Roman"/>
                      <w:color w:val="auto"/>
                      <w:sz w:val="18"/>
                      <w:szCs w:val="18"/>
                      <w:lang w:val="en-US" w:eastAsia="zh-CN"/>
                    </w:rPr>
                  </w:pPr>
                </w:p>
              </w:tc>
              <w:tc>
                <w:tcPr>
                  <w:tcW w:w="717" w:type="dxa"/>
                  <w:tcBorders>
                    <w:tl2br w:val="nil"/>
                    <w:tr2bl w:val="nil"/>
                  </w:tcBorders>
                  <w:vAlign w:val="center"/>
                </w:tcPr>
                <w:p w14:paraId="1E872B5E">
                  <w:pPr>
                    <w:jc w:val="center"/>
                    <w:rPr>
                      <w:rFonts w:hint="default" w:ascii="Times New Roman" w:hAnsi="Times New Roman" w:eastAsia="宋体" w:cs="Times New Roman"/>
                      <w:color w:val="auto"/>
                      <w:sz w:val="18"/>
                      <w:szCs w:val="18"/>
                      <w:lang w:val="en-US" w:eastAsia="zh-CN"/>
                    </w:rPr>
                  </w:pPr>
                </w:p>
              </w:tc>
              <w:tc>
                <w:tcPr>
                  <w:tcW w:w="718" w:type="dxa"/>
                  <w:tcBorders>
                    <w:tl2br w:val="nil"/>
                    <w:tr2bl w:val="nil"/>
                  </w:tcBorders>
                  <w:vAlign w:val="center"/>
                </w:tcPr>
                <w:p w14:paraId="4BD23B5D">
                  <w:pPr>
                    <w:jc w:val="center"/>
                    <w:rPr>
                      <w:rFonts w:hint="default" w:ascii="Times New Roman" w:hAnsi="Times New Roman" w:eastAsia="宋体" w:cs="Times New Roman"/>
                      <w:color w:val="auto"/>
                      <w:sz w:val="18"/>
                      <w:szCs w:val="18"/>
                      <w:lang w:val="en-US" w:eastAsia="zh-CN"/>
                    </w:rPr>
                  </w:pPr>
                </w:p>
              </w:tc>
              <w:tc>
                <w:tcPr>
                  <w:tcW w:w="739" w:type="dxa"/>
                  <w:tcBorders>
                    <w:tl2br w:val="nil"/>
                    <w:tr2bl w:val="nil"/>
                  </w:tcBorders>
                  <w:vAlign w:val="center"/>
                </w:tcPr>
                <w:p w14:paraId="2CD16EAB">
                  <w:pPr>
                    <w:jc w:val="center"/>
                    <w:rPr>
                      <w:rFonts w:hint="default" w:ascii="Times New Roman" w:hAnsi="Times New Roman" w:eastAsia="宋体" w:cs="Times New Roman"/>
                      <w:color w:val="auto"/>
                      <w:sz w:val="18"/>
                      <w:szCs w:val="18"/>
                      <w:lang w:val="en-US" w:eastAsia="zh-CN"/>
                    </w:rPr>
                  </w:pPr>
                </w:p>
              </w:tc>
              <w:tc>
                <w:tcPr>
                  <w:tcW w:w="750" w:type="dxa"/>
                  <w:tcBorders>
                    <w:tl2br w:val="nil"/>
                    <w:tr2bl w:val="nil"/>
                  </w:tcBorders>
                  <w:vAlign w:val="center"/>
                </w:tcPr>
                <w:p w14:paraId="53119AAC">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20</w:t>
                  </w:r>
                </w:p>
              </w:tc>
              <w:tc>
                <w:tcPr>
                  <w:tcW w:w="717" w:type="dxa"/>
                  <w:tcBorders>
                    <w:tl2br w:val="nil"/>
                    <w:tr2bl w:val="nil"/>
                  </w:tcBorders>
                  <w:vAlign w:val="center"/>
                </w:tcPr>
                <w:p w14:paraId="66A8CDB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r>
          </w:tbl>
          <w:p w14:paraId="3C40E223">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本项目厂区总平面布置详见附图</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p>
          <w:p w14:paraId="7F0B5800">
            <w:pPr>
              <w:pStyle w:val="5"/>
              <w:adjustRightInd w:val="0"/>
              <w:snapToGrid w:val="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、运输道路的合理性分析</w:t>
            </w:r>
          </w:p>
          <w:p w14:paraId="2D5AFB49">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本项目民用爆炸物品运进储存库由有资质的单位采用专用运输车运进，不属于本项目的评价内容；由储存库到使用点的运输则由爆破单位采用专用运输车进行运输。</w:t>
            </w:r>
          </w:p>
          <w:p w14:paraId="1FDB930C">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本项目自行铺设水泥路将仓库与村道连接起来，危险物品采用专业运输公司及专用运输车辆，安装有醒目的警示灯和标志。拟定入库运输路线为：炸药厂家→高速路或国道→县道→村道→炸药库。出库路线为：</w:t>
            </w:r>
            <w:r>
              <w:rPr>
                <w:rFonts w:hint="eastAsia" w:ascii="Times New Roman" w:hAnsi="Times New Roman" w:eastAsia="宋体" w:cs="Times New Roman"/>
                <w:color w:val="auto"/>
                <w:szCs w:val="24"/>
                <w:lang w:val="en-US" w:eastAsia="zh-CN"/>
              </w:rPr>
              <w:t>炸药库</w:t>
            </w:r>
            <w:r>
              <w:rPr>
                <w:rFonts w:hint="default" w:ascii="Times New Roman" w:hAnsi="Times New Roman" w:eastAsia="宋体" w:cs="Times New Roman"/>
                <w:color w:val="auto"/>
                <w:szCs w:val="24"/>
              </w:rPr>
              <w:t>→村道→县道→玉溪大红山矿业有限公司铁矿。运输路线采用绕城路线，严格按公安局指定的运输路线行驶，不经过城区，运输时间尽量避开交通高峰期。不经过人口密集区、加油站、繁华路段等区域，也尽量不经过事故高发地。</w:t>
            </w:r>
          </w:p>
          <w:p w14:paraId="1FDA7FEB">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本项目运输线路合理。</w:t>
            </w:r>
          </w:p>
          <w:p w14:paraId="4F84BC6D">
            <w:pPr>
              <w:pStyle w:val="5"/>
              <w:adjustRightInd w:val="0"/>
              <w:snapToGrid w:val="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、安全距离合理性分析</w:t>
            </w:r>
          </w:p>
          <w:p w14:paraId="0AFD18BA">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根据《小型民用爆炸物品储存库安全规范》</w:t>
            </w:r>
            <w:r>
              <w:rPr>
                <w:rFonts w:hint="eastAsia" w:cs="Times New Roman"/>
                <w:color w:val="auto"/>
                <w:szCs w:val="24"/>
                <w:lang w:eastAsia="zh-CN"/>
              </w:rPr>
              <w:t>（</w:t>
            </w:r>
            <w:r>
              <w:rPr>
                <w:rFonts w:hint="default" w:ascii="Times New Roman" w:hAnsi="Times New Roman" w:eastAsia="宋体" w:cs="Times New Roman"/>
                <w:color w:val="auto"/>
                <w:szCs w:val="24"/>
              </w:rPr>
              <w:t>GA838-2009</w:t>
            </w:r>
            <w:r>
              <w:rPr>
                <w:rFonts w:hint="eastAsia" w:cs="Times New Roman"/>
                <w:color w:val="auto"/>
                <w:szCs w:val="24"/>
                <w:lang w:eastAsia="zh-CN"/>
              </w:rPr>
              <w:t>）</w:t>
            </w:r>
            <w:r>
              <w:rPr>
                <w:rFonts w:hint="default" w:ascii="Times New Roman" w:hAnsi="Times New Roman" w:eastAsia="宋体" w:cs="Times New Roman"/>
                <w:color w:val="auto"/>
                <w:szCs w:val="24"/>
              </w:rPr>
              <w:t>和《民用爆炸物品工程设计安全标准》</w:t>
            </w:r>
            <w:r>
              <w:rPr>
                <w:rFonts w:hint="eastAsia" w:cs="Times New Roman"/>
                <w:color w:val="auto"/>
                <w:szCs w:val="24"/>
                <w:lang w:eastAsia="zh-CN"/>
              </w:rPr>
              <w:t>（</w:t>
            </w:r>
            <w:r>
              <w:rPr>
                <w:rFonts w:hint="default" w:ascii="Times New Roman" w:hAnsi="Times New Roman" w:eastAsia="宋体" w:cs="Times New Roman"/>
                <w:color w:val="auto"/>
                <w:szCs w:val="24"/>
              </w:rPr>
              <w:t>GB50089-2018</w:t>
            </w:r>
            <w:r>
              <w:rPr>
                <w:rFonts w:hint="eastAsia" w:cs="Times New Roman"/>
                <w:color w:val="auto"/>
                <w:szCs w:val="24"/>
                <w:lang w:eastAsia="zh-CN"/>
              </w:rPr>
              <w:t>）</w:t>
            </w:r>
            <w:r>
              <w:rPr>
                <w:rFonts w:hint="default" w:ascii="Times New Roman" w:hAnsi="Times New Roman" w:eastAsia="宋体" w:cs="Times New Roman"/>
                <w:color w:val="auto"/>
                <w:szCs w:val="24"/>
              </w:rPr>
              <w:t>单库计算药量，该危险品仓库的外部安全距离符合下列规定：</w:t>
            </w:r>
          </w:p>
          <w:p w14:paraId="37B8A418">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lang w:val="en-US" w:eastAsia="zh-CN"/>
              </w:rPr>
              <w:t>表</w:t>
            </w:r>
            <w:r>
              <w:rPr>
                <w:rFonts w:hint="eastAsia" w:ascii="Times New Roman" w:hAnsi="Times New Roman" w:eastAsia="黑体" w:cs="Times New Roman"/>
                <w:bCs/>
                <w:color w:val="auto"/>
                <w:szCs w:val="21"/>
                <w:lang w:val="en-US" w:eastAsia="zh-CN"/>
              </w:rPr>
              <w:t>1-1</w:t>
            </w:r>
            <w:r>
              <w:rPr>
                <w:rFonts w:hint="eastAsia" w:eastAsia="黑体" w:cs="Times New Roman"/>
                <w:bCs/>
                <w:color w:val="auto"/>
                <w:szCs w:val="21"/>
                <w:lang w:val="en-US" w:eastAsia="zh-CN"/>
              </w:rPr>
              <w:t>0</w:t>
            </w:r>
            <w:r>
              <w:rPr>
                <w:rFonts w:hint="eastAsia" w:ascii="Times New Roman" w:hAnsi="Times New Roman" w:eastAsia="黑体" w:cs="Times New Roman"/>
                <w:bCs/>
                <w:color w:val="auto"/>
                <w:szCs w:val="21"/>
                <w:lang w:val="en-US" w:eastAsia="zh-CN"/>
              </w:rPr>
              <w:t xml:space="preserve">    </w:t>
            </w:r>
            <w:r>
              <w:rPr>
                <w:rFonts w:hint="default" w:ascii="Times New Roman" w:hAnsi="Times New Roman" w:eastAsia="黑体" w:cs="Times New Roman"/>
                <w:bCs/>
                <w:color w:val="auto"/>
                <w:szCs w:val="21"/>
                <w:lang w:val="en-US" w:eastAsia="zh-CN"/>
              </w:rPr>
              <w:t xml:space="preserve">外部安全距离一览表 </w:t>
            </w:r>
            <w:r>
              <w:rPr>
                <w:rFonts w:hint="eastAsia" w:ascii="Times New Roman" w:hAnsi="Times New Roman" w:eastAsia="黑体" w:cs="Times New Roman"/>
                <w:bCs/>
                <w:color w:val="auto"/>
                <w:szCs w:val="21"/>
                <w:lang w:val="en-US" w:eastAsia="zh-CN"/>
              </w:rPr>
              <w:t xml:space="preserve">  </w:t>
            </w:r>
            <w:r>
              <w:rPr>
                <w:rFonts w:hint="default" w:ascii="Times New Roman" w:hAnsi="Times New Roman" w:eastAsia="黑体" w:cs="Times New Roman"/>
                <w:bCs/>
                <w:color w:val="auto"/>
                <w:szCs w:val="21"/>
                <w:lang w:val="en-US" w:eastAsia="zh-CN"/>
              </w:rPr>
              <w:t>单位：m</w:t>
            </w:r>
          </w:p>
          <w:tbl>
            <w:tblPr>
              <w:tblStyle w:val="37"/>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907"/>
              <w:gridCol w:w="960"/>
              <w:gridCol w:w="799"/>
              <w:gridCol w:w="608"/>
              <w:gridCol w:w="900"/>
              <w:gridCol w:w="794"/>
              <w:gridCol w:w="611"/>
            </w:tblGrid>
            <w:tr w14:paraId="490B7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vMerge w:val="restart"/>
                  <w:tcBorders>
                    <w:tl2br w:val="nil"/>
                    <w:tr2bl w:val="nil"/>
                  </w:tcBorders>
                  <w:vAlign w:val="center"/>
                </w:tcPr>
                <w:p w14:paraId="4E051FF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序号</w:t>
                  </w:r>
                </w:p>
              </w:tc>
              <w:tc>
                <w:tcPr>
                  <w:tcW w:w="1349" w:type="pct"/>
                  <w:vMerge w:val="restart"/>
                  <w:tcBorders>
                    <w:tl2br w:val="nil"/>
                    <w:tr2bl w:val="nil"/>
                  </w:tcBorders>
                  <w:vAlign w:val="center"/>
                </w:tcPr>
                <w:p w14:paraId="225E5AA5">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危险品库房</w:t>
                  </w:r>
                </w:p>
                <w:p w14:paraId="50E07928">
                  <w:pPr>
                    <w:jc w:val="both"/>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被保护目标</w:t>
                  </w:r>
                </w:p>
              </w:tc>
              <w:tc>
                <w:tcPr>
                  <w:tcW w:w="1674" w:type="pct"/>
                  <w:gridSpan w:val="3"/>
                  <w:tcBorders>
                    <w:tl2br w:val="nil"/>
                    <w:tr2bl w:val="nil"/>
                  </w:tcBorders>
                  <w:vAlign w:val="center"/>
                </w:tcPr>
                <w:p w14:paraId="7575EEF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炸药库（5000kg</w:t>
                  </w:r>
                  <w:r>
                    <w:rPr>
                      <w:rFonts w:hint="default" w:ascii="Times New Roman" w:hAnsi="Times New Roman" w:eastAsia="宋体" w:cs="Times New Roman"/>
                      <w:color w:val="auto"/>
                      <w:sz w:val="18"/>
                      <w:szCs w:val="18"/>
                      <w:lang w:val="en-US" w:eastAsia="zh-CN"/>
                    </w:rPr>
                    <w:t>）</w:t>
                  </w:r>
                </w:p>
              </w:tc>
              <w:tc>
                <w:tcPr>
                  <w:tcW w:w="1630" w:type="pct"/>
                  <w:gridSpan w:val="3"/>
                  <w:tcBorders>
                    <w:tl2br w:val="nil"/>
                    <w:tr2bl w:val="nil"/>
                  </w:tcBorders>
                  <w:vAlign w:val="center"/>
                </w:tcPr>
                <w:p w14:paraId="545B01B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雷管库（20000</w:t>
                  </w:r>
                  <w:r>
                    <w:rPr>
                      <w:rFonts w:hint="default" w:ascii="Times New Roman" w:hAnsi="Times New Roman" w:eastAsia="宋体" w:cs="Times New Roman"/>
                      <w:color w:val="auto"/>
                      <w:sz w:val="18"/>
                      <w:szCs w:val="18"/>
                      <w:lang w:val="en-US" w:eastAsia="zh-CN"/>
                    </w:rPr>
                    <w:t>发）</w:t>
                  </w:r>
                </w:p>
              </w:tc>
            </w:tr>
            <w:tr w14:paraId="3CBF2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vMerge w:val="continue"/>
                  <w:tcBorders>
                    <w:tl2br w:val="nil"/>
                    <w:tr2bl w:val="nil"/>
                  </w:tcBorders>
                  <w:vAlign w:val="center"/>
                </w:tcPr>
                <w:p w14:paraId="590EC381">
                  <w:pPr>
                    <w:jc w:val="center"/>
                    <w:textAlignment w:val="baseline"/>
                    <w:rPr>
                      <w:rFonts w:hint="eastAsia" w:ascii="Times New Roman" w:hAnsi="Times New Roman" w:eastAsia="宋体" w:cs="Times New Roman"/>
                      <w:color w:val="auto"/>
                      <w:sz w:val="18"/>
                      <w:szCs w:val="18"/>
                      <w:lang w:val="en-US" w:eastAsia="zh-CN"/>
                    </w:rPr>
                  </w:pPr>
                </w:p>
              </w:tc>
              <w:tc>
                <w:tcPr>
                  <w:tcW w:w="1349" w:type="pct"/>
                  <w:vMerge w:val="continue"/>
                  <w:tcBorders>
                    <w:tl2br w:val="nil"/>
                    <w:tr2bl w:val="nil"/>
                  </w:tcBorders>
                  <w:vAlign w:val="center"/>
                </w:tcPr>
                <w:p w14:paraId="4233742B">
                  <w:pPr>
                    <w:jc w:val="center"/>
                    <w:textAlignment w:val="baseline"/>
                    <w:rPr>
                      <w:rFonts w:hint="eastAsia" w:ascii="Times New Roman" w:hAnsi="Times New Roman" w:eastAsia="宋体" w:cs="Times New Roman"/>
                      <w:color w:val="auto"/>
                      <w:sz w:val="18"/>
                      <w:szCs w:val="18"/>
                      <w:lang w:val="en-US" w:eastAsia="zh-CN"/>
                    </w:rPr>
                  </w:pPr>
                </w:p>
              </w:tc>
              <w:tc>
                <w:tcPr>
                  <w:tcW w:w="679" w:type="pct"/>
                  <w:tcBorders>
                    <w:tl2br w:val="nil"/>
                    <w:tr2bl w:val="nil"/>
                  </w:tcBorders>
                  <w:vAlign w:val="center"/>
                </w:tcPr>
                <w:p w14:paraId="0837B5B9">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规范要求距离（m</w:t>
                  </w:r>
                  <w:r>
                    <w:rPr>
                      <w:rFonts w:hint="default" w:ascii="Times New Roman" w:hAnsi="Times New Roman" w:eastAsia="宋体" w:cs="Times New Roman"/>
                      <w:color w:val="auto"/>
                      <w:sz w:val="18"/>
                      <w:szCs w:val="18"/>
                      <w:lang w:val="en-US" w:eastAsia="zh-CN"/>
                    </w:rPr>
                    <w:t>）</w:t>
                  </w:r>
                </w:p>
              </w:tc>
              <w:tc>
                <w:tcPr>
                  <w:tcW w:w="565" w:type="pct"/>
                  <w:tcBorders>
                    <w:tl2br w:val="nil"/>
                    <w:tr2bl w:val="nil"/>
                  </w:tcBorders>
                  <w:vAlign w:val="center"/>
                </w:tcPr>
                <w:p w14:paraId="13471147">
                  <w:pPr>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实际距离（m）</w:t>
                  </w:r>
                </w:p>
              </w:tc>
              <w:tc>
                <w:tcPr>
                  <w:tcW w:w="429" w:type="pct"/>
                  <w:tcBorders>
                    <w:tl2br w:val="nil"/>
                    <w:tr2bl w:val="nil"/>
                  </w:tcBorders>
                  <w:vAlign w:val="center"/>
                </w:tcPr>
                <w:p w14:paraId="725DF56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是否符合</w:t>
                  </w:r>
                </w:p>
              </w:tc>
              <w:tc>
                <w:tcPr>
                  <w:tcW w:w="637" w:type="pct"/>
                  <w:tcBorders>
                    <w:tl2br w:val="nil"/>
                    <w:tr2bl w:val="nil"/>
                  </w:tcBorders>
                  <w:vAlign w:val="center"/>
                </w:tcPr>
                <w:p w14:paraId="2BFE45A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规范要求距离（m</w:t>
                  </w:r>
                  <w:r>
                    <w:rPr>
                      <w:rFonts w:hint="default" w:ascii="Times New Roman" w:hAnsi="Times New Roman" w:eastAsia="宋体" w:cs="Times New Roman"/>
                      <w:color w:val="auto"/>
                      <w:sz w:val="18"/>
                      <w:szCs w:val="18"/>
                      <w:lang w:val="en-US" w:eastAsia="zh-CN"/>
                    </w:rPr>
                    <w:t>）</w:t>
                  </w:r>
                </w:p>
              </w:tc>
              <w:tc>
                <w:tcPr>
                  <w:tcW w:w="562" w:type="pct"/>
                  <w:tcBorders>
                    <w:tl2br w:val="nil"/>
                    <w:tr2bl w:val="nil"/>
                  </w:tcBorders>
                  <w:vAlign w:val="center"/>
                </w:tcPr>
                <w:p w14:paraId="2CBC077B">
                  <w:pPr>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实际距离（m）</w:t>
                  </w:r>
                </w:p>
              </w:tc>
              <w:tc>
                <w:tcPr>
                  <w:tcW w:w="430" w:type="pct"/>
                  <w:tcBorders>
                    <w:tl2br w:val="nil"/>
                    <w:tr2bl w:val="nil"/>
                  </w:tcBorders>
                  <w:vAlign w:val="center"/>
                </w:tcPr>
                <w:p w14:paraId="5467F04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是否符合</w:t>
                  </w:r>
                </w:p>
              </w:tc>
            </w:tr>
            <w:tr w14:paraId="0668B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3DBCC02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1349" w:type="pct"/>
                  <w:tcBorders>
                    <w:tl2br w:val="nil"/>
                    <w:tr2bl w:val="nil"/>
                  </w:tcBorders>
                  <w:vAlign w:val="center"/>
                </w:tcPr>
                <w:p w14:paraId="35A780B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人数大于50</w:t>
                  </w:r>
                  <w:r>
                    <w:rPr>
                      <w:rFonts w:hint="default" w:ascii="Times New Roman" w:hAnsi="Times New Roman" w:eastAsia="宋体" w:cs="Times New Roman"/>
                      <w:color w:val="auto"/>
                      <w:sz w:val="18"/>
                      <w:szCs w:val="18"/>
                      <w:lang w:val="en-US" w:eastAsia="zh-CN"/>
                    </w:rPr>
                    <w:t>人的居民点边缘，企业住宅区建筑物边缘、其他单位围墙</w:t>
                  </w:r>
                </w:p>
              </w:tc>
              <w:tc>
                <w:tcPr>
                  <w:tcW w:w="679" w:type="pct"/>
                  <w:tcBorders>
                    <w:tl2br w:val="nil"/>
                    <w:tr2bl w:val="nil"/>
                  </w:tcBorders>
                  <w:vAlign w:val="center"/>
                </w:tcPr>
                <w:p w14:paraId="6E42D9C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565" w:type="pct"/>
                  <w:tcBorders>
                    <w:tl2br w:val="nil"/>
                    <w:tr2bl w:val="nil"/>
                  </w:tcBorders>
                  <w:vAlign w:val="center"/>
                </w:tcPr>
                <w:p w14:paraId="0CBF65C3">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2430</w:t>
                  </w:r>
                </w:p>
              </w:tc>
              <w:tc>
                <w:tcPr>
                  <w:tcW w:w="429" w:type="pct"/>
                  <w:tcBorders>
                    <w:tl2br w:val="nil"/>
                    <w:tr2bl w:val="nil"/>
                  </w:tcBorders>
                  <w:vAlign w:val="center"/>
                </w:tcPr>
                <w:p w14:paraId="5ADF87BA">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2A53BD5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155</w:t>
                  </w:r>
                </w:p>
              </w:tc>
              <w:tc>
                <w:tcPr>
                  <w:tcW w:w="562" w:type="pct"/>
                  <w:tcBorders>
                    <w:tl2br w:val="nil"/>
                    <w:tr2bl w:val="nil"/>
                  </w:tcBorders>
                  <w:vAlign w:val="center"/>
                </w:tcPr>
                <w:p w14:paraId="2B7A8642">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2410</w:t>
                  </w:r>
                </w:p>
              </w:tc>
              <w:tc>
                <w:tcPr>
                  <w:tcW w:w="430" w:type="pct"/>
                  <w:tcBorders>
                    <w:tl2br w:val="nil"/>
                    <w:tr2bl w:val="nil"/>
                  </w:tcBorders>
                  <w:vAlign w:val="center"/>
                </w:tcPr>
                <w:p w14:paraId="23A192CF">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514D9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6E101261">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1349" w:type="pct"/>
                  <w:tcBorders>
                    <w:tl2br w:val="nil"/>
                    <w:tr2bl w:val="nil"/>
                  </w:tcBorders>
                  <w:vAlign w:val="center"/>
                </w:tcPr>
                <w:p w14:paraId="274A795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人数不大于50</w:t>
                  </w:r>
                  <w:r>
                    <w:rPr>
                      <w:rFonts w:hint="default" w:ascii="Times New Roman" w:hAnsi="Times New Roman" w:eastAsia="宋体" w:cs="Times New Roman"/>
                      <w:color w:val="auto"/>
                      <w:sz w:val="18"/>
                      <w:szCs w:val="18"/>
                      <w:lang w:val="en-US" w:eastAsia="zh-CN"/>
                    </w:rPr>
                    <w:t>人的零散住户边缘</w:t>
                  </w:r>
                </w:p>
              </w:tc>
              <w:tc>
                <w:tcPr>
                  <w:tcW w:w="679" w:type="pct"/>
                  <w:tcBorders>
                    <w:tl2br w:val="nil"/>
                    <w:tr2bl w:val="nil"/>
                  </w:tcBorders>
                  <w:vAlign w:val="center"/>
                </w:tcPr>
                <w:p w14:paraId="53FB1B9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w:t>
                  </w:r>
                </w:p>
              </w:tc>
              <w:tc>
                <w:tcPr>
                  <w:tcW w:w="565" w:type="pct"/>
                  <w:tcBorders>
                    <w:tl2br w:val="nil"/>
                    <w:tr2bl w:val="nil"/>
                  </w:tcBorders>
                  <w:vAlign w:val="center"/>
                </w:tcPr>
                <w:p w14:paraId="7D3051D4">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185</w:t>
                  </w:r>
                </w:p>
              </w:tc>
              <w:tc>
                <w:tcPr>
                  <w:tcW w:w="429" w:type="pct"/>
                  <w:tcBorders>
                    <w:tl2br w:val="nil"/>
                    <w:tr2bl w:val="nil"/>
                  </w:tcBorders>
                  <w:vAlign w:val="center"/>
                </w:tcPr>
                <w:p w14:paraId="39500AB3">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76A1A8D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562" w:type="pct"/>
                  <w:tcBorders>
                    <w:tl2br w:val="nil"/>
                    <w:tr2bl w:val="nil"/>
                  </w:tcBorders>
                  <w:vAlign w:val="center"/>
                </w:tcPr>
                <w:p w14:paraId="2D3DB4A1">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185</w:t>
                  </w:r>
                </w:p>
              </w:tc>
              <w:tc>
                <w:tcPr>
                  <w:tcW w:w="430" w:type="pct"/>
                  <w:tcBorders>
                    <w:tl2br w:val="nil"/>
                    <w:tr2bl w:val="nil"/>
                  </w:tcBorders>
                  <w:vAlign w:val="center"/>
                </w:tcPr>
                <w:p w14:paraId="2CFD13E7">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68348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2743343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1349" w:type="pct"/>
                  <w:tcBorders>
                    <w:tl2br w:val="nil"/>
                    <w:tr2bl w:val="nil"/>
                  </w:tcBorders>
                  <w:vAlign w:val="center"/>
                </w:tcPr>
                <w:p w14:paraId="2AD83B2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三级公路、通航汽轮的河</w:t>
                  </w:r>
                  <w:r>
                    <w:rPr>
                      <w:rFonts w:hint="default" w:ascii="Times New Roman" w:hAnsi="Times New Roman" w:eastAsia="宋体" w:cs="Times New Roman"/>
                      <w:color w:val="auto"/>
                      <w:sz w:val="18"/>
                      <w:szCs w:val="18"/>
                      <w:lang w:val="en-US" w:eastAsia="zh-CN"/>
                    </w:rPr>
                    <w:t>流航道、铁路支线</w:t>
                  </w:r>
                </w:p>
              </w:tc>
              <w:tc>
                <w:tcPr>
                  <w:tcW w:w="679" w:type="pct"/>
                  <w:tcBorders>
                    <w:tl2br w:val="nil"/>
                    <w:tr2bl w:val="nil"/>
                  </w:tcBorders>
                  <w:vAlign w:val="center"/>
                </w:tcPr>
                <w:p w14:paraId="7445F86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170</w:t>
                  </w:r>
                </w:p>
              </w:tc>
              <w:tc>
                <w:tcPr>
                  <w:tcW w:w="565" w:type="pct"/>
                  <w:tcBorders>
                    <w:tl2br w:val="nil"/>
                    <w:tr2bl w:val="nil"/>
                  </w:tcBorders>
                  <w:vAlign w:val="center"/>
                </w:tcPr>
                <w:p w14:paraId="3708AB08">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215</w:t>
                  </w:r>
                </w:p>
              </w:tc>
              <w:tc>
                <w:tcPr>
                  <w:tcW w:w="429" w:type="pct"/>
                  <w:tcBorders>
                    <w:tl2br w:val="nil"/>
                    <w:tr2bl w:val="nil"/>
                  </w:tcBorders>
                  <w:vAlign w:val="center"/>
                </w:tcPr>
                <w:p w14:paraId="562E20BB">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4EF19E6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562" w:type="pct"/>
                  <w:tcBorders>
                    <w:tl2br w:val="nil"/>
                    <w:tr2bl w:val="nil"/>
                  </w:tcBorders>
                  <w:vAlign w:val="center"/>
                </w:tcPr>
                <w:p w14:paraId="599E3339">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215</w:t>
                  </w:r>
                </w:p>
              </w:tc>
              <w:tc>
                <w:tcPr>
                  <w:tcW w:w="430" w:type="pct"/>
                  <w:tcBorders>
                    <w:tl2br w:val="nil"/>
                    <w:tr2bl w:val="nil"/>
                  </w:tcBorders>
                  <w:vAlign w:val="center"/>
                </w:tcPr>
                <w:p w14:paraId="21CE4C15">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66851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1189A65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1349" w:type="pct"/>
                  <w:tcBorders>
                    <w:tl2br w:val="nil"/>
                    <w:tr2bl w:val="nil"/>
                  </w:tcBorders>
                  <w:vAlign w:val="center"/>
                </w:tcPr>
                <w:p w14:paraId="3A79D27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二级（含）以上公路、国</w:t>
                  </w:r>
                  <w:r>
                    <w:rPr>
                      <w:rFonts w:hint="default" w:ascii="Times New Roman" w:hAnsi="Times New Roman" w:eastAsia="宋体" w:cs="Times New Roman"/>
                      <w:color w:val="auto"/>
                      <w:sz w:val="18"/>
                      <w:szCs w:val="18"/>
                      <w:lang w:val="en-US" w:eastAsia="zh-CN"/>
                    </w:rPr>
                    <w:t>家铁路</w:t>
                  </w:r>
                </w:p>
              </w:tc>
              <w:tc>
                <w:tcPr>
                  <w:tcW w:w="679" w:type="pct"/>
                  <w:tcBorders>
                    <w:tl2br w:val="nil"/>
                    <w:tr2bl w:val="nil"/>
                  </w:tcBorders>
                  <w:vAlign w:val="center"/>
                </w:tcPr>
                <w:p w14:paraId="31AE3D1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225</w:t>
                  </w:r>
                </w:p>
              </w:tc>
              <w:tc>
                <w:tcPr>
                  <w:tcW w:w="565" w:type="pct"/>
                  <w:tcBorders>
                    <w:tl2br w:val="nil"/>
                    <w:tr2bl w:val="nil"/>
                  </w:tcBorders>
                  <w:vAlign w:val="center"/>
                </w:tcPr>
                <w:p w14:paraId="7F61429B">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2980</w:t>
                  </w:r>
                </w:p>
              </w:tc>
              <w:tc>
                <w:tcPr>
                  <w:tcW w:w="429" w:type="pct"/>
                  <w:tcBorders>
                    <w:tl2br w:val="nil"/>
                    <w:tr2bl w:val="nil"/>
                  </w:tcBorders>
                  <w:vAlign w:val="center"/>
                </w:tcPr>
                <w:p w14:paraId="09552F46">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4CE3370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120</w:t>
                  </w:r>
                </w:p>
              </w:tc>
              <w:tc>
                <w:tcPr>
                  <w:tcW w:w="562" w:type="pct"/>
                  <w:tcBorders>
                    <w:tl2br w:val="nil"/>
                    <w:tr2bl w:val="nil"/>
                  </w:tcBorders>
                  <w:vAlign w:val="center"/>
                </w:tcPr>
                <w:p w14:paraId="279A6B79">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2965</w:t>
                  </w:r>
                </w:p>
              </w:tc>
              <w:tc>
                <w:tcPr>
                  <w:tcW w:w="430" w:type="pct"/>
                  <w:tcBorders>
                    <w:tl2br w:val="nil"/>
                    <w:tr2bl w:val="nil"/>
                  </w:tcBorders>
                  <w:vAlign w:val="center"/>
                </w:tcPr>
                <w:p w14:paraId="26F157DD">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0901E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7B983EE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1349" w:type="pct"/>
                  <w:tcBorders>
                    <w:tl2br w:val="nil"/>
                    <w:tr2bl w:val="nil"/>
                  </w:tcBorders>
                  <w:vAlign w:val="center"/>
                </w:tcPr>
                <w:p w14:paraId="0BA1664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高压输电线（500kV</w:t>
                  </w:r>
                  <w:r>
                    <w:rPr>
                      <w:rFonts w:hint="default" w:ascii="Times New Roman" w:hAnsi="Times New Roman" w:eastAsia="宋体" w:cs="Times New Roman"/>
                      <w:color w:val="auto"/>
                      <w:sz w:val="18"/>
                      <w:szCs w:val="18"/>
                      <w:lang w:val="en-US" w:eastAsia="zh-CN"/>
                    </w:rPr>
                    <w:t>）</w:t>
                  </w:r>
                </w:p>
              </w:tc>
              <w:tc>
                <w:tcPr>
                  <w:tcW w:w="679" w:type="pct"/>
                  <w:tcBorders>
                    <w:tl2br w:val="nil"/>
                    <w:tr2bl w:val="nil"/>
                  </w:tcBorders>
                  <w:vAlign w:val="center"/>
                </w:tcPr>
                <w:p w14:paraId="43EF25A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600</w:t>
                  </w:r>
                </w:p>
              </w:tc>
              <w:tc>
                <w:tcPr>
                  <w:tcW w:w="565" w:type="pct"/>
                  <w:tcBorders>
                    <w:tl2br w:val="nil"/>
                    <w:tr2bl w:val="nil"/>
                  </w:tcBorders>
                  <w:vAlign w:val="center"/>
                </w:tcPr>
                <w:p w14:paraId="157C4EE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600</w:t>
                  </w:r>
                </w:p>
              </w:tc>
              <w:tc>
                <w:tcPr>
                  <w:tcW w:w="429" w:type="pct"/>
                  <w:tcBorders>
                    <w:tl2br w:val="nil"/>
                    <w:tr2bl w:val="nil"/>
                  </w:tcBorders>
                  <w:vAlign w:val="center"/>
                </w:tcPr>
                <w:p w14:paraId="172C7626">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2D7F230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232</w:t>
                  </w:r>
                </w:p>
              </w:tc>
              <w:tc>
                <w:tcPr>
                  <w:tcW w:w="562" w:type="pct"/>
                  <w:tcBorders>
                    <w:tl2br w:val="nil"/>
                    <w:tr2bl w:val="nil"/>
                  </w:tcBorders>
                  <w:vAlign w:val="center"/>
                </w:tcPr>
                <w:p w14:paraId="66D74A9F">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232</w:t>
                  </w:r>
                </w:p>
              </w:tc>
              <w:tc>
                <w:tcPr>
                  <w:tcW w:w="430" w:type="pct"/>
                  <w:tcBorders>
                    <w:tl2br w:val="nil"/>
                    <w:tr2bl w:val="nil"/>
                  </w:tcBorders>
                  <w:vAlign w:val="center"/>
                </w:tcPr>
                <w:p w14:paraId="3CD39DAF">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1033E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35741AE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1349" w:type="pct"/>
                  <w:tcBorders>
                    <w:tl2br w:val="nil"/>
                    <w:tr2bl w:val="nil"/>
                  </w:tcBorders>
                  <w:vAlign w:val="center"/>
                </w:tcPr>
                <w:p w14:paraId="574A6B8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高压输电线（330kV</w:t>
                  </w:r>
                  <w:r>
                    <w:rPr>
                      <w:rFonts w:hint="default" w:ascii="Times New Roman" w:hAnsi="Times New Roman" w:eastAsia="宋体" w:cs="Times New Roman"/>
                      <w:color w:val="auto"/>
                      <w:sz w:val="18"/>
                      <w:szCs w:val="18"/>
                      <w:lang w:val="en-US" w:eastAsia="zh-CN"/>
                    </w:rPr>
                    <w:t>）</w:t>
                  </w:r>
                </w:p>
              </w:tc>
              <w:tc>
                <w:tcPr>
                  <w:tcW w:w="679" w:type="pct"/>
                  <w:tcBorders>
                    <w:tl2br w:val="nil"/>
                    <w:tr2bl w:val="nil"/>
                  </w:tcBorders>
                  <w:vAlign w:val="center"/>
                </w:tcPr>
                <w:p w14:paraId="5C3A48B2">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570</w:t>
                  </w:r>
                </w:p>
              </w:tc>
              <w:tc>
                <w:tcPr>
                  <w:tcW w:w="565" w:type="pct"/>
                  <w:tcBorders>
                    <w:tl2br w:val="nil"/>
                    <w:tr2bl w:val="nil"/>
                  </w:tcBorders>
                  <w:vAlign w:val="center"/>
                </w:tcPr>
                <w:p w14:paraId="21DFCB9F">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70</w:t>
                  </w:r>
                </w:p>
              </w:tc>
              <w:tc>
                <w:tcPr>
                  <w:tcW w:w="429" w:type="pct"/>
                  <w:tcBorders>
                    <w:tl2br w:val="nil"/>
                    <w:tr2bl w:val="nil"/>
                  </w:tcBorders>
                  <w:vAlign w:val="center"/>
                </w:tcPr>
                <w:p w14:paraId="6434D24D">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278129A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186</w:t>
                  </w:r>
                </w:p>
              </w:tc>
              <w:tc>
                <w:tcPr>
                  <w:tcW w:w="562" w:type="pct"/>
                  <w:tcBorders>
                    <w:tl2br w:val="nil"/>
                    <w:tr2bl w:val="nil"/>
                  </w:tcBorders>
                  <w:vAlign w:val="center"/>
                </w:tcPr>
                <w:p w14:paraId="4100945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186</w:t>
                  </w:r>
                </w:p>
              </w:tc>
              <w:tc>
                <w:tcPr>
                  <w:tcW w:w="430" w:type="pct"/>
                  <w:tcBorders>
                    <w:tl2br w:val="nil"/>
                    <w:tr2bl w:val="nil"/>
                  </w:tcBorders>
                  <w:vAlign w:val="center"/>
                </w:tcPr>
                <w:p w14:paraId="4E6893BD">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65024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2EAF603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p>
              </w:tc>
              <w:tc>
                <w:tcPr>
                  <w:tcW w:w="1349" w:type="pct"/>
                  <w:tcBorders>
                    <w:tl2br w:val="nil"/>
                    <w:tr2bl w:val="nil"/>
                  </w:tcBorders>
                  <w:vAlign w:val="center"/>
                </w:tcPr>
                <w:p w14:paraId="47BFB79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高压输电线（220kV</w:t>
                  </w:r>
                  <w:r>
                    <w:rPr>
                      <w:rFonts w:hint="default" w:ascii="Times New Roman" w:hAnsi="Times New Roman" w:eastAsia="宋体" w:cs="Times New Roman"/>
                      <w:color w:val="auto"/>
                      <w:sz w:val="18"/>
                      <w:szCs w:val="18"/>
                      <w:lang w:val="en-US" w:eastAsia="zh-CN"/>
                    </w:rPr>
                    <w:t>）</w:t>
                  </w:r>
                </w:p>
              </w:tc>
              <w:tc>
                <w:tcPr>
                  <w:tcW w:w="679" w:type="pct"/>
                  <w:tcBorders>
                    <w:tl2br w:val="nil"/>
                    <w:tr2bl w:val="nil"/>
                  </w:tcBorders>
                  <w:vAlign w:val="center"/>
                </w:tcPr>
                <w:p w14:paraId="2C7169F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540</w:t>
                  </w:r>
                </w:p>
              </w:tc>
              <w:tc>
                <w:tcPr>
                  <w:tcW w:w="565" w:type="pct"/>
                  <w:tcBorders>
                    <w:tl2br w:val="nil"/>
                    <w:tr2bl w:val="nil"/>
                  </w:tcBorders>
                  <w:vAlign w:val="center"/>
                </w:tcPr>
                <w:p w14:paraId="4D5B27AF">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540</w:t>
                  </w:r>
                </w:p>
              </w:tc>
              <w:tc>
                <w:tcPr>
                  <w:tcW w:w="429" w:type="pct"/>
                  <w:tcBorders>
                    <w:tl2br w:val="nil"/>
                    <w:tr2bl w:val="nil"/>
                  </w:tcBorders>
                  <w:vAlign w:val="center"/>
                </w:tcPr>
                <w:p w14:paraId="0261617F">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1727F98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155</w:t>
                  </w:r>
                </w:p>
              </w:tc>
              <w:tc>
                <w:tcPr>
                  <w:tcW w:w="562" w:type="pct"/>
                  <w:tcBorders>
                    <w:tl2br w:val="nil"/>
                    <w:tr2bl w:val="nil"/>
                  </w:tcBorders>
                  <w:vAlign w:val="center"/>
                </w:tcPr>
                <w:p w14:paraId="6C15E14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155</w:t>
                  </w:r>
                </w:p>
              </w:tc>
              <w:tc>
                <w:tcPr>
                  <w:tcW w:w="430" w:type="pct"/>
                  <w:tcBorders>
                    <w:tl2br w:val="nil"/>
                    <w:tr2bl w:val="nil"/>
                  </w:tcBorders>
                  <w:vAlign w:val="center"/>
                </w:tcPr>
                <w:p w14:paraId="5AAE0C7E">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5E8447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42EC086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w:t>
                  </w:r>
                </w:p>
              </w:tc>
              <w:tc>
                <w:tcPr>
                  <w:tcW w:w="1349" w:type="pct"/>
                  <w:tcBorders>
                    <w:tl2br w:val="nil"/>
                    <w:tr2bl w:val="nil"/>
                  </w:tcBorders>
                  <w:vAlign w:val="center"/>
                </w:tcPr>
                <w:p w14:paraId="31891D2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高压输电线（110kV</w:t>
                  </w:r>
                  <w:r>
                    <w:rPr>
                      <w:rFonts w:hint="default" w:ascii="Times New Roman" w:hAnsi="Times New Roman" w:eastAsia="宋体" w:cs="Times New Roman"/>
                      <w:color w:val="auto"/>
                      <w:sz w:val="18"/>
                      <w:szCs w:val="18"/>
                      <w:lang w:val="en-US" w:eastAsia="zh-CN"/>
                    </w:rPr>
                    <w:t>）</w:t>
                  </w:r>
                </w:p>
              </w:tc>
              <w:tc>
                <w:tcPr>
                  <w:tcW w:w="679" w:type="pct"/>
                  <w:tcBorders>
                    <w:tl2br w:val="nil"/>
                    <w:tr2bl w:val="nil"/>
                  </w:tcBorders>
                  <w:vAlign w:val="center"/>
                </w:tcPr>
                <w:p w14:paraId="73A3C13B">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200</w:t>
                  </w:r>
                </w:p>
              </w:tc>
              <w:tc>
                <w:tcPr>
                  <w:tcW w:w="565" w:type="pct"/>
                  <w:tcBorders>
                    <w:tl2br w:val="nil"/>
                    <w:tr2bl w:val="nil"/>
                  </w:tcBorders>
                  <w:vAlign w:val="center"/>
                </w:tcPr>
                <w:p w14:paraId="03CBF04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200</w:t>
                  </w:r>
                </w:p>
              </w:tc>
              <w:tc>
                <w:tcPr>
                  <w:tcW w:w="429" w:type="pct"/>
                  <w:tcBorders>
                    <w:tl2br w:val="nil"/>
                    <w:tr2bl w:val="nil"/>
                  </w:tcBorders>
                  <w:vAlign w:val="center"/>
                </w:tcPr>
                <w:p w14:paraId="1E0B35DD">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6E6B5E5C">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105</w:t>
                  </w:r>
                </w:p>
              </w:tc>
              <w:tc>
                <w:tcPr>
                  <w:tcW w:w="562" w:type="pct"/>
                  <w:tcBorders>
                    <w:tl2br w:val="nil"/>
                    <w:tr2bl w:val="nil"/>
                  </w:tcBorders>
                  <w:vAlign w:val="center"/>
                </w:tcPr>
                <w:p w14:paraId="70E2249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105</w:t>
                  </w:r>
                </w:p>
              </w:tc>
              <w:tc>
                <w:tcPr>
                  <w:tcW w:w="430" w:type="pct"/>
                  <w:tcBorders>
                    <w:tl2br w:val="nil"/>
                    <w:tr2bl w:val="nil"/>
                  </w:tcBorders>
                  <w:vAlign w:val="center"/>
                </w:tcPr>
                <w:p w14:paraId="0E9708F3">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1B2414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301B1CD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w:t>
                  </w:r>
                </w:p>
              </w:tc>
              <w:tc>
                <w:tcPr>
                  <w:tcW w:w="1349" w:type="pct"/>
                  <w:tcBorders>
                    <w:tl2br w:val="nil"/>
                    <w:tr2bl w:val="nil"/>
                  </w:tcBorders>
                  <w:vAlign w:val="center"/>
                </w:tcPr>
                <w:p w14:paraId="5CEC544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高压输电线（35kV</w:t>
                  </w:r>
                  <w:r>
                    <w:rPr>
                      <w:rFonts w:hint="default" w:ascii="Times New Roman" w:hAnsi="Times New Roman" w:eastAsia="宋体" w:cs="Times New Roman"/>
                      <w:color w:val="auto"/>
                      <w:sz w:val="18"/>
                      <w:szCs w:val="18"/>
                      <w:lang w:val="en-US" w:eastAsia="zh-CN"/>
                    </w:rPr>
                    <w:t>）</w:t>
                  </w:r>
                </w:p>
              </w:tc>
              <w:tc>
                <w:tcPr>
                  <w:tcW w:w="679" w:type="pct"/>
                  <w:tcBorders>
                    <w:tl2br w:val="nil"/>
                    <w:tr2bl w:val="nil"/>
                  </w:tcBorders>
                  <w:vAlign w:val="center"/>
                </w:tcPr>
                <w:p w14:paraId="3C5419B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120</w:t>
                  </w:r>
                </w:p>
              </w:tc>
              <w:tc>
                <w:tcPr>
                  <w:tcW w:w="565" w:type="pct"/>
                  <w:tcBorders>
                    <w:tl2br w:val="nil"/>
                    <w:tr2bl w:val="nil"/>
                  </w:tcBorders>
                  <w:vAlign w:val="center"/>
                </w:tcPr>
                <w:p w14:paraId="35AE8AC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120</w:t>
                  </w:r>
                </w:p>
              </w:tc>
              <w:tc>
                <w:tcPr>
                  <w:tcW w:w="429" w:type="pct"/>
                  <w:tcBorders>
                    <w:tl2br w:val="nil"/>
                    <w:tr2bl w:val="nil"/>
                  </w:tcBorders>
                  <w:vAlign w:val="center"/>
                </w:tcPr>
                <w:p w14:paraId="1F818D4D">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06DBA8BB">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562" w:type="pct"/>
                  <w:tcBorders>
                    <w:tl2br w:val="nil"/>
                    <w:tr2bl w:val="nil"/>
                  </w:tcBorders>
                  <w:vAlign w:val="center"/>
                </w:tcPr>
                <w:p w14:paraId="5D5DD56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60</w:t>
                  </w:r>
                </w:p>
              </w:tc>
              <w:tc>
                <w:tcPr>
                  <w:tcW w:w="430" w:type="pct"/>
                  <w:tcBorders>
                    <w:tl2br w:val="nil"/>
                    <w:tr2bl w:val="nil"/>
                  </w:tcBorders>
                  <w:vAlign w:val="center"/>
                </w:tcPr>
                <w:p w14:paraId="628EEBB1">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618FFF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4C0392B2">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349" w:type="pct"/>
                  <w:tcBorders>
                    <w:tl2br w:val="nil"/>
                    <w:tr2bl w:val="nil"/>
                  </w:tcBorders>
                  <w:vAlign w:val="center"/>
                </w:tcPr>
                <w:p w14:paraId="1F72E6D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高压输电线（10kV</w:t>
                  </w:r>
                  <w:r>
                    <w:rPr>
                      <w:rFonts w:hint="default" w:ascii="Times New Roman" w:hAnsi="Times New Roman" w:eastAsia="宋体" w:cs="Times New Roman"/>
                      <w:color w:val="auto"/>
                      <w:sz w:val="18"/>
                      <w:szCs w:val="18"/>
                      <w:lang w:val="en-US" w:eastAsia="zh-CN"/>
                    </w:rPr>
                    <w:t>）</w:t>
                  </w:r>
                </w:p>
              </w:tc>
              <w:tc>
                <w:tcPr>
                  <w:tcW w:w="679" w:type="pct"/>
                  <w:tcBorders>
                    <w:tl2br w:val="nil"/>
                    <w:tr2bl w:val="nil"/>
                  </w:tcBorders>
                  <w:vAlign w:val="center"/>
                </w:tcPr>
                <w:p w14:paraId="39E49342">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565" w:type="pct"/>
                  <w:tcBorders>
                    <w:tl2br w:val="nil"/>
                    <w:tr2bl w:val="nil"/>
                  </w:tcBorders>
                  <w:vAlign w:val="center"/>
                </w:tcPr>
                <w:p w14:paraId="0C868B42">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185</w:t>
                  </w:r>
                </w:p>
              </w:tc>
              <w:tc>
                <w:tcPr>
                  <w:tcW w:w="429" w:type="pct"/>
                  <w:tcBorders>
                    <w:tl2br w:val="nil"/>
                    <w:tr2bl w:val="nil"/>
                  </w:tcBorders>
                  <w:vAlign w:val="center"/>
                </w:tcPr>
                <w:p w14:paraId="5C587D80">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0F296681">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562" w:type="pct"/>
                  <w:tcBorders>
                    <w:tl2br w:val="nil"/>
                    <w:tr2bl w:val="nil"/>
                  </w:tcBorders>
                  <w:vAlign w:val="center"/>
                </w:tcPr>
                <w:p w14:paraId="233ACAAE">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185</w:t>
                  </w:r>
                </w:p>
              </w:tc>
              <w:tc>
                <w:tcPr>
                  <w:tcW w:w="430" w:type="pct"/>
                  <w:tcBorders>
                    <w:tl2br w:val="nil"/>
                    <w:tr2bl w:val="nil"/>
                  </w:tcBorders>
                  <w:vAlign w:val="center"/>
                </w:tcPr>
                <w:p w14:paraId="02080696">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71EB02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767ED2F2">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w:t>
                  </w:r>
                </w:p>
              </w:tc>
              <w:tc>
                <w:tcPr>
                  <w:tcW w:w="1349" w:type="pct"/>
                  <w:tcBorders>
                    <w:tl2br w:val="nil"/>
                    <w:tr2bl w:val="nil"/>
                  </w:tcBorders>
                  <w:vAlign w:val="center"/>
                </w:tcPr>
                <w:p w14:paraId="738BDC13">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无防护屏障的值班室</w:t>
                  </w:r>
                </w:p>
              </w:tc>
              <w:tc>
                <w:tcPr>
                  <w:tcW w:w="679" w:type="pct"/>
                  <w:tcBorders>
                    <w:tl2br w:val="nil"/>
                    <w:tr2bl w:val="nil"/>
                  </w:tcBorders>
                  <w:vAlign w:val="center"/>
                </w:tcPr>
                <w:p w14:paraId="73C097D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565" w:type="pct"/>
                  <w:tcBorders>
                    <w:tl2br w:val="nil"/>
                    <w:tr2bl w:val="nil"/>
                  </w:tcBorders>
                  <w:vAlign w:val="center"/>
                </w:tcPr>
                <w:p w14:paraId="6356F70A">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95</w:t>
                  </w:r>
                </w:p>
              </w:tc>
              <w:tc>
                <w:tcPr>
                  <w:tcW w:w="429" w:type="pct"/>
                  <w:tcBorders>
                    <w:tl2br w:val="nil"/>
                    <w:tr2bl w:val="nil"/>
                  </w:tcBorders>
                  <w:vAlign w:val="center"/>
                </w:tcPr>
                <w:p w14:paraId="7658AAC1">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0FF0766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562" w:type="pct"/>
                  <w:tcBorders>
                    <w:tl2br w:val="nil"/>
                    <w:tr2bl w:val="nil"/>
                  </w:tcBorders>
                  <w:vAlign w:val="center"/>
                </w:tcPr>
                <w:p w14:paraId="70C7A990">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w:t>
                  </w:r>
                </w:p>
              </w:tc>
              <w:tc>
                <w:tcPr>
                  <w:tcW w:w="430" w:type="pct"/>
                  <w:tcBorders>
                    <w:tl2br w:val="nil"/>
                    <w:tr2bl w:val="nil"/>
                  </w:tcBorders>
                  <w:vAlign w:val="center"/>
                </w:tcPr>
                <w:p w14:paraId="6814DFDA">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557AD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6F5743C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1349" w:type="pct"/>
                  <w:tcBorders>
                    <w:tl2br w:val="nil"/>
                    <w:tr2bl w:val="nil"/>
                  </w:tcBorders>
                  <w:vAlign w:val="center"/>
                </w:tcPr>
                <w:p w14:paraId="7847F07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人数不大于10</w:t>
                  </w:r>
                  <w:r>
                    <w:rPr>
                      <w:rFonts w:hint="default" w:ascii="Times New Roman" w:hAnsi="Times New Roman" w:eastAsia="宋体" w:cs="Times New Roman"/>
                      <w:color w:val="auto"/>
                      <w:sz w:val="18"/>
                      <w:szCs w:val="18"/>
                      <w:lang w:val="en-US" w:eastAsia="zh-CN"/>
                    </w:rPr>
                    <w:t>万人的城镇规划边缘、国家或省级文物保护区、铁路车站</w:t>
                  </w:r>
                </w:p>
              </w:tc>
              <w:tc>
                <w:tcPr>
                  <w:tcW w:w="679" w:type="pct"/>
                  <w:tcBorders>
                    <w:tl2br w:val="nil"/>
                    <w:tr2bl w:val="nil"/>
                  </w:tcBorders>
                  <w:vAlign w:val="center"/>
                </w:tcPr>
                <w:p w14:paraId="213E1EE9">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600</w:t>
                  </w:r>
                </w:p>
              </w:tc>
              <w:tc>
                <w:tcPr>
                  <w:tcW w:w="565" w:type="pct"/>
                  <w:tcBorders>
                    <w:tl2br w:val="nil"/>
                    <w:tr2bl w:val="nil"/>
                  </w:tcBorders>
                  <w:vAlign w:val="center"/>
                </w:tcPr>
                <w:p w14:paraId="476DABB8">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8930</w:t>
                  </w:r>
                </w:p>
              </w:tc>
              <w:tc>
                <w:tcPr>
                  <w:tcW w:w="429" w:type="pct"/>
                  <w:tcBorders>
                    <w:tl2br w:val="nil"/>
                    <w:tr2bl w:val="nil"/>
                  </w:tcBorders>
                  <w:vAlign w:val="center"/>
                </w:tcPr>
                <w:p w14:paraId="12D8F16A">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2C692F7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310</w:t>
                  </w:r>
                </w:p>
              </w:tc>
              <w:tc>
                <w:tcPr>
                  <w:tcW w:w="562" w:type="pct"/>
                  <w:tcBorders>
                    <w:tl2br w:val="nil"/>
                    <w:tr2bl w:val="nil"/>
                  </w:tcBorders>
                  <w:vAlign w:val="center"/>
                </w:tcPr>
                <w:p w14:paraId="2A0AC5B3">
                  <w:pPr>
                    <w:jc w:val="center"/>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8900</w:t>
                  </w:r>
                </w:p>
              </w:tc>
              <w:tc>
                <w:tcPr>
                  <w:tcW w:w="430" w:type="pct"/>
                  <w:tcBorders>
                    <w:tl2br w:val="nil"/>
                    <w:tr2bl w:val="nil"/>
                  </w:tcBorders>
                  <w:vAlign w:val="center"/>
                </w:tcPr>
                <w:p w14:paraId="1B6A05B0">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633C97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574F370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w:t>
                  </w:r>
                </w:p>
              </w:tc>
              <w:tc>
                <w:tcPr>
                  <w:tcW w:w="1349" w:type="pct"/>
                  <w:tcBorders>
                    <w:tl2br w:val="nil"/>
                    <w:tr2bl w:val="nil"/>
                  </w:tcBorders>
                  <w:vAlign w:val="center"/>
                </w:tcPr>
                <w:p w14:paraId="1147EC8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人数大于10</w:t>
                  </w:r>
                  <w:r>
                    <w:rPr>
                      <w:rFonts w:hint="default" w:ascii="Times New Roman" w:hAnsi="Times New Roman" w:eastAsia="宋体" w:cs="Times New Roman"/>
                      <w:color w:val="auto"/>
                      <w:sz w:val="18"/>
                      <w:szCs w:val="18"/>
                      <w:lang w:val="en-US" w:eastAsia="zh-CN"/>
                    </w:rPr>
                    <w:t>万人的城镇规划边缘</w:t>
                  </w:r>
                </w:p>
              </w:tc>
              <w:tc>
                <w:tcPr>
                  <w:tcW w:w="679" w:type="pct"/>
                  <w:tcBorders>
                    <w:tl2br w:val="nil"/>
                    <w:tr2bl w:val="nil"/>
                  </w:tcBorders>
                  <w:vAlign w:val="center"/>
                </w:tcPr>
                <w:p w14:paraId="588D5E3F">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w:t>
                  </w:r>
                </w:p>
              </w:tc>
              <w:tc>
                <w:tcPr>
                  <w:tcW w:w="565" w:type="pct"/>
                  <w:tcBorders>
                    <w:tl2br w:val="nil"/>
                    <w:tr2bl w:val="nil"/>
                  </w:tcBorders>
                  <w:vAlign w:val="center"/>
                </w:tcPr>
                <w:p w14:paraId="3A7A55B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900</w:t>
                  </w:r>
                </w:p>
              </w:tc>
              <w:tc>
                <w:tcPr>
                  <w:tcW w:w="429" w:type="pct"/>
                  <w:tcBorders>
                    <w:tl2br w:val="nil"/>
                    <w:tr2bl w:val="nil"/>
                  </w:tcBorders>
                  <w:vAlign w:val="center"/>
                </w:tcPr>
                <w:p w14:paraId="74A4212B">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c>
                <w:tcPr>
                  <w:tcW w:w="637" w:type="pct"/>
                  <w:tcBorders>
                    <w:tl2br w:val="nil"/>
                    <w:tr2bl w:val="nil"/>
                  </w:tcBorders>
                  <w:vAlign w:val="center"/>
                </w:tcPr>
                <w:p w14:paraId="3FFD56F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465</w:t>
                  </w:r>
                </w:p>
              </w:tc>
              <w:tc>
                <w:tcPr>
                  <w:tcW w:w="562" w:type="pct"/>
                  <w:tcBorders>
                    <w:tl2br w:val="nil"/>
                    <w:tr2bl w:val="nil"/>
                  </w:tcBorders>
                  <w:vAlign w:val="center"/>
                </w:tcPr>
                <w:p w14:paraId="1D66729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465</w:t>
                  </w:r>
                </w:p>
              </w:tc>
              <w:tc>
                <w:tcPr>
                  <w:tcW w:w="430" w:type="pct"/>
                  <w:tcBorders>
                    <w:tl2br w:val="nil"/>
                    <w:tr2bl w:val="nil"/>
                  </w:tcBorders>
                  <w:vAlign w:val="center"/>
                </w:tcPr>
                <w:p w14:paraId="5D02CFF6">
                  <w:pPr>
                    <w:jc w:val="center"/>
                    <w:textAlignment w:val="baseline"/>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14:paraId="32CA35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tcBorders>
                    <w:tl2br w:val="nil"/>
                    <w:tr2bl w:val="nil"/>
                  </w:tcBorders>
                  <w:vAlign w:val="center"/>
                </w:tcPr>
                <w:p w14:paraId="2EFCEE77">
                  <w:pPr>
                    <w:pStyle w:val="4"/>
                    <w:autoSpaceDE w:val="0"/>
                    <w:ind w:firstLine="0"/>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备注：</w:t>
                  </w:r>
                </w:p>
                <w:p w14:paraId="40B206E1">
                  <w:pPr>
                    <w:pStyle w:val="4"/>
                    <w:autoSpaceDE w:val="0"/>
                    <w:ind w:firstLine="360" w:firstLineChars="200"/>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1、规范要求距离指《小型民用爆炸物品储存库安全规范》（GA838-2009）要求的被保护目标至危险建筑物外墙的最小安全距离；实际距离指经过搬迁、拆除后的被保护目标至危险建筑物外墙的最小安全距离。</w:t>
                  </w:r>
                </w:p>
                <w:p w14:paraId="77C795B6">
                  <w:pPr>
                    <w:pStyle w:val="4"/>
                    <w:autoSpaceDE w:val="0"/>
                    <w:ind w:firstLine="360" w:firstLineChars="200"/>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2、外部安全距离范围圈内不应有相应的被保护目标，若有，必须搬迁后，按规范建设。</w:t>
                  </w:r>
                </w:p>
                <w:p w14:paraId="3CBFE667">
                  <w:pPr>
                    <w:pStyle w:val="4"/>
                    <w:autoSpaceDE w:val="0"/>
                    <w:ind w:firstLine="360" w:firstLineChars="200"/>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3、本工程须经相关部门验收合格并取得有关许可后方可投入使用。</w:t>
                  </w:r>
                </w:p>
              </w:tc>
            </w:tr>
          </w:tbl>
          <w:p w14:paraId="6633B987">
            <w:pPr>
              <w:pStyle w:val="16"/>
              <w:spacing w:after="0" w:line="360" w:lineRule="auto"/>
              <w:ind w:left="0" w:leftChars="0" w:firstLine="480"/>
              <w:rPr>
                <w:rFonts w:hint="default" w:ascii="Times New Roman" w:hAnsi="Times New Roman" w:cs="Times New Roman"/>
                <w:color w:val="auto"/>
                <w:sz w:val="24"/>
              </w:rPr>
            </w:pPr>
            <w:r>
              <w:rPr>
                <w:rFonts w:hint="eastAsia" w:ascii="Times New Roman" w:hAnsi="Times New Roman" w:eastAsia="宋体" w:cs="Times New Roman"/>
                <w:color w:val="auto"/>
                <w:szCs w:val="24"/>
                <w:lang w:val="en-US" w:eastAsia="zh-CN"/>
              </w:rPr>
              <w:t>根据上表的分析</w:t>
            </w:r>
            <w:r>
              <w:rPr>
                <w:rFonts w:hint="default" w:ascii="Times New Roman" w:hAnsi="Times New Roman" w:eastAsia="宋体" w:cs="Times New Roman"/>
                <w:color w:val="auto"/>
                <w:szCs w:val="24"/>
              </w:rPr>
              <w:t>可以看出，本工程设计的外部安全距离满足《民用爆炸物品工程设计安全标准》</w:t>
            </w:r>
            <w:r>
              <w:rPr>
                <w:rFonts w:hint="eastAsia" w:cs="Times New Roman"/>
                <w:color w:val="auto"/>
                <w:szCs w:val="24"/>
                <w:lang w:eastAsia="zh-CN"/>
              </w:rPr>
              <w:t>（</w:t>
            </w:r>
            <w:r>
              <w:rPr>
                <w:rFonts w:hint="default" w:ascii="Times New Roman" w:hAnsi="Times New Roman" w:eastAsia="宋体" w:cs="Times New Roman"/>
                <w:color w:val="auto"/>
                <w:szCs w:val="24"/>
              </w:rPr>
              <w:t>GB50089-2018</w:t>
            </w:r>
            <w:r>
              <w:rPr>
                <w:rFonts w:hint="eastAsia" w:cs="Times New Roman"/>
                <w:color w:val="auto"/>
                <w:szCs w:val="24"/>
                <w:lang w:eastAsia="zh-CN"/>
              </w:rPr>
              <w:t>）</w:t>
            </w:r>
            <w:r>
              <w:rPr>
                <w:rFonts w:hint="default" w:ascii="Times New Roman" w:hAnsi="Times New Roman" w:eastAsia="宋体" w:cs="Times New Roman"/>
                <w:color w:val="auto"/>
                <w:szCs w:val="24"/>
              </w:rPr>
              <w:t>规定的目标物至危险性建筑物外墙面的最小安全距离，根据《标准》要求，在其规定的距离内不得进行相应建筑物的规划及</w:t>
            </w:r>
            <w:r>
              <w:rPr>
                <w:rFonts w:hint="default" w:ascii="Times New Roman" w:hAnsi="Times New Roman" w:eastAsia="宋体" w:cs="Times New Roman"/>
                <w:color w:val="auto"/>
                <w:szCs w:val="24"/>
                <w:highlight w:val="none"/>
              </w:rPr>
              <w:t>建设，本项目最近</w:t>
            </w:r>
            <w:r>
              <w:rPr>
                <w:rFonts w:hint="eastAsia" w:cs="Times New Roman"/>
                <w:color w:val="auto"/>
                <w:szCs w:val="24"/>
                <w:highlight w:val="none"/>
                <w:lang w:val="en-US" w:eastAsia="zh-CN"/>
              </w:rPr>
              <w:t>的关心点</w:t>
            </w:r>
            <w:r>
              <w:rPr>
                <w:rFonts w:hint="default" w:ascii="Times New Roman" w:hAnsi="Times New Roman" w:eastAsia="宋体" w:cs="Times New Roman"/>
                <w:color w:val="auto"/>
                <w:szCs w:val="24"/>
                <w:highlight w:val="none"/>
              </w:rPr>
              <w:t>为</w:t>
            </w:r>
            <w:r>
              <w:rPr>
                <w:rFonts w:hint="eastAsia" w:cs="Times New Roman"/>
                <w:color w:val="auto"/>
                <w:szCs w:val="24"/>
                <w:highlight w:val="none"/>
                <w:lang w:val="en-US" w:eastAsia="zh-CN"/>
              </w:rPr>
              <w:t>西面</w:t>
            </w:r>
            <w:r>
              <w:rPr>
                <w:rFonts w:hint="eastAsia" w:ascii="Times New Roman" w:hAnsi="Times New Roman" w:eastAsia="宋体" w:cs="Times New Roman"/>
                <w:color w:val="auto"/>
                <w:szCs w:val="24"/>
                <w:highlight w:val="none"/>
                <w:lang w:val="en-US" w:eastAsia="zh-CN"/>
              </w:rPr>
              <w:t>185</w:t>
            </w:r>
            <w:r>
              <w:rPr>
                <w:rFonts w:hint="default" w:ascii="Times New Roman" w:hAnsi="Times New Roman" w:eastAsia="宋体" w:cs="Times New Roman"/>
                <w:color w:val="auto"/>
                <w:szCs w:val="24"/>
                <w:highlight w:val="none"/>
              </w:rPr>
              <w:t>m</w:t>
            </w:r>
            <w:r>
              <w:rPr>
                <w:rFonts w:hint="eastAsia" w:cs="Times New Roman"/>
                <w:color w:val="auto"/>
                <w:szCs w:val="24"/>
                <w:highlight w:val="none"/>
                <w:lang w:val="en-US" w:eastAsia="zh-CN"/>
              </w:rPr>
              <w:t>处的矿山通风工程广场房屋及制备站</w:t>
            </w:r>
            <w:r>
              <w:rPr>
                <w:rFonts w:hint="default" w:ascii="Times New Roman" w:hAnsi="Times New Roman" w:eastAsia="宋体" w:cs="Times New Roman"/>
                <w:color w:val="auto"/>
                <w:szCs w:val="24"/>
                <w:highlight w:val="none"/>
              </w:rPr>
              <w:t>，不在规定距离内。</w:t>
            </w:r>
          </w:p>
          <w:p w14:paraId="7F00DA6A">
            <w:pPr>
              <w:rPr>
                <w:rFonts w:hint="default" w:ascii="Times New Roman" w:hAnsi="Times New Roman" w:cs="Times New Roman"/>
                <w:color w:val="auto"/>
                <w:sz w:val="24"/>
              </w:rPr>
            </w:pPr>
          </w:p>
          <w:p w14:paraId="5EC7FE9B">
            <w:pPr>
              <w:rPr>
                <w:rFonts w:hint="default" w:ascii="Times New Roman" w:hAnsi="Times New Roman" w:cs="Times New Roman"/>
                <w:color w:val="auto"/>
                <w:sz w:val="24"/>
              </w:rPr>
            </w:pPr>
          </w:p>
          <w:p w14:paraId="397F61F1">
            <w:pPr>
              <w:rPr>
                <w:rFonts w:hint="default" w:ascii="Times New Roman" w:hAnsi="Times New Roman" w:cs="Times New Roman"/>
                <w:color w:val="auto"/>
                <w:sz w:val="24"/>
              </w:rPr>
            </w:pPr>
          </w:p>
          <w:p w14:paraId="66DD2806">
            <w:pPr>
              <w:rPr>
                <w:rFonts w:hint="default" w:ascii="Times New Roman" w:hAnsi="Times New Roman" w:cs="Times New Roman"/>
                <w:color w:val="auto"/>
                <w:sz w:val="24"/>
              </w:rPr>
            </w:pPr>
          </w:p>
          <w:p w14:paraId="0DFE82E5">
            <w:pPr>
              <w:rPr>
                <w:rFonts w:hint="default" w:ascii="Times New Roman" w:hAnsi="Times New Roman" w:cs="Times New Roman"/>
                <w:color w:val="auto"/>
                <w:sz w:val="24"/>
              </w:rPr>
            </w:pPr>
          </w:p>
          <w:p w14:paraId="2D9FC095">
            <w:pPr>
              <w:rPr>
                <w:rFonts w:hint="default" w:ascii="Times New Roman" w:hAnsi="Times New Roman" w:cs="Times New Roman"/>
                <w:color w:val="auto"/>
                <w:sz w:val="24"/>
              </w:rPr>
            </w:pPr>
          </w:p>
          <w:p w14:paraId="570230EF">
            <w:pPr>
              <w:rPr>
                <w:rFonts w:hint="default" w:ascii="Times New Roman" w:hAnsi="Times New Roman" w:cs="Times New Roman"/>
                <w:color w:val="auto"/>
                <w:sz w:val="24"/>
              </w:rPr>
            </w:pPr>
          </w:p>
          <w:p w14:paraId="28D3674B">
            <w:pPr>
              <w:rPr>
                <w:rFonts w:hint="default" w:ascii="Times New Roman" w:hAnsi="Times New Roman" w:cs="Times New Roman"/>
                <w:color w:val="auto"/>
                <w:sz w:val="24"/>
              </w:rPr>
            </w:pPr>
          </w:p>
          <w:p w14:paraId="530A6F59">
            <w:pPr>
              <w:rPr>
                <w:rFonts w:hint="default" w:ascii="Times New Roman" w:hAnsi="Times New Roman" w:cs="Times New Roman"/>
                <w:color w:val="auto"/>
                <w:sz w:val="24"/>
              </w:rPr>
            </w:pPr>
          </w:p>
          <w:p w14:paraId="7D5A7A67">
            <w:pPr>
              <w:rPr>
                <w:rFonts w:hint="default" w:ascii="Times New Roman" w:hAnsi="Times New Roman" w:cs="Times New Roman"/>
                <w:color w:val="auto"/>
                <w:sz w:val="24"/>
              </w:rPr>
            </w:pPr>
          </w:p>
          <w:p w14:paraId="35AAF391">
            <w:pPr>
              <w:rPr>
                <w:rFonts w:hint="default" w:ascii="Times New Roman" w:hAnsi="Times New Roman" w:cs="Times New Roman"/>
                <w:color w:val="auto"/>
                <w:sz w:val="24"/>
              </w:rPr>
            </w:pPr>
          </w:p>
          <w:p w14:paraId="236136D7">
            <w:pPr>
              <w:rPr>
                <w:rFonts w:hint="default" w:ascii="Times New Roman" w:hAnsi="Times New Roman" w:cs="Times New Roman"/>
                <w:color w:val="auto"/>
                <w:sz w:val="24"/>
              </w:rPr>
            </w:pPr>
          </w:p>
          <w:p w14:paraId="4D634B25">
            <w:pPr>
              <w:rPr>
                <w:rFonts w:hint="default" w:ascii="Times New Roman" w:hAnsi="Times New Roman" w:cs="Times New Roman"/>
                <w:color w:val="auto"/>
                <w:sz w:val="24"/>
              </w:rPr>
            </w:pPr>
          </w:p>
          <w:p w14:paraId="482EF6F5">
            <w:pPr>
              <w:rPr>
                <w:rFonts w:hint="default" w:ascii="Times New Roman" w:hAnsi="Times New Roman" w:cs="Times New Roman"/>
                <w:color w:val="auto"/>
                <w:sz w:val="24"/>
              </w:rPr>
            </w:pPr>
          </w:p>
          <w:p w14:paraId="2B7300B2">
            <w:pPr>
              <w:rPr>
                <w:rFonts w:hint="default" w:ascii="Times New Roman" w:hAnsi="Times New Roman" w:cs="Times New Roman"/>
                <w:color w:val="auto"/>
                <w:sz w:val="24"/>
              </w:rPr>
            </w:pPr>
          </w:p>
          <w:p w14:paraId="0598EC15">
            <w:pPr>
              <w:rPr>
                <w:rFonts w:hint="default" w:ascii="Times New Roman" w:hAnsi="Times New Roman" w:cs="Times New Roman"/>
                <w:color w:val="auto"/>
                <w:sz w:val="24"/>
              </w:rPr>
            </w:pPr>
          </w:p>
          <w:p w14:paraId="5F38AA7D">
            <w:pPr>
              <w:rPr>
                <w:rFonts w:hint="default" w:ascii="Times New Roman" w:hAnsi="Times New Roman" w:cs="Times New Roman"/>
                <w:color w:val="auto"/>
                <w:sz w:val="24"/>
              </w:rPr>
            </w:pPr>
          </w:p>
          <w:p w14:paraId="38F8A028">
            <w:pPr>
              <w:rPr>
                <w:rFonts w:hint="default" w:ascii="Times New Roman" w:hAnsi="Times New Roman" w:cs="Times New Roman"/>
                <w:color w:val="auto"/>
                <w:sz w:val="24"/>
              </w:rPr>
            </w:pPr>
          </w:p>
          <w:p w14:paraId="3022CB2A">
            <w:pPr>
              <w:rPr>
                <w:rFonts w:hint="default" w:ascii="Times New Roman" w:hAnsi="Times New Roman" w:cs="Times New Roman"/>
                <w:color w:val="auto"/>
                <w:sz w:val="24"/>
              </w:rPr>
            </w:pPr>
          </w:p>
          <w:p w14:paraId="1EBBDDA3">
            <w:pPr>
              <w:rPr>
                <w:rFonts w:hint="default" w:ascii="Times New Roman" w:hAnsi="Times New Roman" w:cs="Times New Roman"/>
                <w:color w:val="auto"/>
                <w:sz w:val="24"/>
              </w:rPr>
            </w:pPr>
          </w:p>
          <w:p w14:paraId="633A545D">
            <w:pPr>
              <w:rPr>
                <w:rFonts w:hint="default" w:ascii="Times New Roman" w:hAnsi="Times New Roman" w:cs="Times New Roman"/>
                <w:color w:val="auto"/>
                <w:sz w:val="24"/>
              </w:rPr>
            </w:pPr>
          </w:p>
          <w:p w14:paraId="4D556757">
            <w:pPr>
              <w:rPr>
                <w:rFonts w:hint="default" w:ascii="Times New Roman" w:hAnsi="Times New Roman" w:cs="Times New Roman"/>
                <w:color w:val="auto"/>
                <w:sz w:val="24"/>
              </w:rPr>
            </w:pPr>
          </w:p>
          <w:p w14:paraId="606A436E">
            <w:pPr>
              <w:pStyle w:val="18"/>
              <w:rPr>
                <w:rFonts w:hint="default" w:ascii="Times New Roman" w:hAnsi="Times New Roman" w:cs="Times New Roman"/>
                <w:color w:val="auto"/>
              </w:rPr>
            </w:pPr>
          </w:p>
        </w:tc>
      </w:tr>
    </w:tbl>
    <w:p w14:paraId="589DBFA7">
      <w:pPr>
        <w:spacing w:line="360" w:lineRule="auto"/>
        <w:outlineLvl w:val="0"/>
        <w:rPr>
          <w:rFonts w:hint="default" w:ascii="Times New Roman" w:hAnsi="Times New Roman" w:eastAsia="黑体" w:cs="Times New Roman"/>
          <w:color w:val="auto"/>
          <w:sz w:val="30"/>
        </w:rPr>
        <w:sectPr>
          <w:footerReference r:id="rId6" w:type="default"/>
          <w:pgSz w:w="11906" w:h="16838"/>
          <w:pgMar w:top="1440" w:right="1803" w:bottom="1440" w:left="1803" w:header="850" w:footer="1077" w:gutter="0"/>
          <w:pgBorders>
            <w:top w:val="none" w:sz="0" w:space="0"/>
            <w:left w:val="none" w:sz="0" w:space="0"/>
            <w:bottom w:val="none" w:sz="0" w:space="0"/>
            <w:right w:val="none" w:sz="0" w:space="0"/>
          </w:pgBorders>
          <w:pgNumType w:start="1"/>
          <w:cols w:space="720" w:num="1"/>
          <w:docGrid w:linePitch="312" w:charSpace="0"/>
        </w:sectPr>
      </w:pPr>
    </w:p>
    <w:p w14:paraId="60ADC605">
      <w:pPr>
        <w:pStyle w:val="32"/>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18" w:name="_Toc68870550"/>
      <w:bookmarkStart w:id="19" w:name="_Toc27802"/>
      <w:bookmarkStart w:id="20" w:name="_Toc70692545"/>
      <w:r>
        <w:rPr>
          <w:rFonts w:hint="default" w:ascii="Times New Roman" w:hAnsi="Times New Roman" w:eastAsia="黑体" w:cs="Times New Roman"/>
          <w:color w:val="auto"/>
          <w:sz w:val="28"/>
          <w:szCs w:val="28"/>
        </w:rPr>
        <w:t>二、建设项目工程分析</w:t>
      </w:r>
      <w:bookmarkEnd w:id="18"/>
      <w:bookmarkEnd w:id="19"/>
      <w:bookmarkEnd w:id="20"/>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8019"/>
      </w:tblGrid>
      <w:tr w14:paraId="2E549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06" w:type="pct"/>
            <w:vAlign w:val="center"/>
          </w:tcPr>
          <w:p w14:paraId="05928C9B">
            <w:pPr>
              <w:pStyle w:val="32"/>
              <w:adjustRightInd w:val="0"/>
              <w:snapToGrid w:val="0"/>
              <w:spacing w:before="0" w:beforeAutospacing="0" w:after="0" w:afterAutospacing="0"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2"/>
                <w:szCs w:val="24"/>
              </w:rPr>
              <w:t>建设内容</w:t>
            </w:r>
          </w:p>
        </w:tc>
        <w:tc>
          <w:tcPr>
            <w:tcW w:w="4493" w:type="pct"/>
          </w:tcPr>
          <w:p w14:paraId="6228C12A">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1、项目任务由来</w:t>
            </w:r>
          </w:p>
          <w:p w14:paraId="668637F9">
            <w:pPr>
              <w:pStyle w:val="16"/>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湖南涟邵建设工程（集团）有限责任公司于2025年8月中标玉溪大红山矿业有限公司铁矿采掘施工业务，并在矿山所在地即玉溪市新平县成立分公司。现由于业务合作模式调整，由湖南涟邵建设工程（集团）有限责任公司自行承担爆破作业，故拟在矿区内新建一座民用爆炸物品储存库。</w:t>
            </w:r>
          </w:p>
          <w:p w14:paraId="6DFDBF04">
            <w:pPr>
              <w:pStyle w:val="16"/>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湖南涟邵建设工程（集团）有限责任公司于2024年03月15日取得</w:t>
            </w:r>
            <w:r>
              <w:rPr>
                <w:rFonts w:hint="eastAsia" w:cs="Times New Roman"/>
                <w:color w:val="auto"/>
                <w:szCs w:val="24"/>
                <w:lang w:eastAsia="zh-CN"/>
              </w:rPr>
              <w:t>了</w:t>
            </w:r>
            <w:r>
              <w:rPr>
                <w:rFonts w:hint="default" w:ascii="Times New Roman" w:hAnsi="Times New Roman" w:cs="Times New Roman"/>
                <w:color w:val="auto"/>
                <w:szCs w:val="24"/>
              </w:rPr>
              <w:t>由湖南省应急管理厅核发的《安全生产许可证》，编号：（湘）FM安许证字【2024】A404Y1号，许可范围：金属非金属矿山采掘施工作业，有效期：2024年03月25日至2027年03月24日。于2025年4月7日取得了由湖南省公安厅签发的《爆破作业单位许可证》（营业性），编号：4300001300270，技术负责人：赵明生，资质等级：三级，从业范围：设计施工、安全监理，有效期至2028年4月7日。</w:t>
            </w:r>
          </w:p>
          <w:p w14:paraId="2F1BCC20">
            <w:pPr>
              <w:pStyle w:val="16"/>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项目于</w:t>
            </w:r>
            <w:r>
              <w:rPr>
                <w:rFonts w:hint="eastAsia" w:cs="Times New Roman"/>
                <w:color w:val="auto"/>
                <w:szCs w:val="24"/>
                <w:lang w:eastAsia="zh-CN"/>
              </w:rPr>
              <w:t>2026年1月12日</w:t>
            </w:r>
            <w:r>
              <w:rPr>
                <w:rFonts w:hint="default" w:ascii="Times New Roman" w:hAnsi="Times New Roman" w:cs="Times New Roman"/>
                <w:color w:val="auto"/>
                <w:szCs w:val="24"/>
              </w:rPr>
              <w:t>取得了</w:t>
            </w:r>
            <w:r>
              <w:rPr>
                <w:rFonts w:hint="eastAsia" w:cs="Times New Roman"/>
                <w:color w:val="auto"/>
                <w:szCs w:val="24"/>
                <w:lang w:val="en-US" w:eastAsia="zh-CN"/>
              </w:rPr>
              <w:t>新平</w:t>
            </w:r>
            <w:r>
              <w:rPr>
                <w:rFonts w:hint="default" w:ascii="Times New Roman" w:hAnsi="Times New Roman" w:cs="Times New Roman"/>
                <w:color w:val="auto"/>
                <w:szCs w:val="24"/>
              </w:rPr>
              <w:t>县发展和改革局下发的《云南省固定资产投资项目备案证》，项目代码：2601-530427-04-01-205541。</w:t>
            </w:r>
          </w:p>
          <w:p w14:paraId="161D6CAC">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根据《建设项目环境影响评价分类管理名录（2021年版）》（生态环境部部令第16号）规定，本项目属于名录中“五十三、装卸搬运和仓储业59—危险品仓储594（不含加油站的油库；不含加气站的气库）—其他（含有毒、有害、危险品的仓储；含液化天然气库）”，需编制环境影响报告表。受</w:t>
            </w:r>
            <w:r>
              <w:rPr>
                <w:rFonts w:hint="default" w:ascii="Times New Roman" w:hAnsi="Times New Roman" w:cs="Times New Roman"/>
                <w:color w:val="auto"/>
                <w:sz w:val="24"/>
              </w:rPr>
              <w:t>湖南涟邵建设工程</w:t>
            </w:r>
            <w:r>
              <w:rPr>
                <w:rFonts w:hint="eastAsia" w:cs="Times New Roman"/>
                <w:color w:val="auto"/>
                <w:sz w:val="24"/>
                <w:lang w:eastAsia="zh-CN"/>
              </w:rPr>
              <w:t>（</w:t>
            </w:r>
            <w:r>
              <w:rPr>
                <w:rFonts w:hint="default" w:ascii="Times New Roman" w:hAnsi="Times New Roman" w:cs="Times New Roman"/>
                <w:color w:val="auto"/>
                <w:sz w:val="24"/>
              </w:rPr>
              <w:t>集团</w:t>
            </w:r>
            <w:r>
              <w:rPr>
                <w:rFonts w:hint="eastAsia" w:cs="Times New Roman"/>
                <w:color w:val="auto"/>
                <w:sz w:val="24"/>
                <w:lang w:eastAsia="zh-CN"/>
              </w:rPr>
              <w:t>）</w:t>
            </w:r>
            <w:r>
              <w:rPr>
                <w:rFonts w:hint="default" w:ascii="Times New Roman" w:hAnsi="Times New Roman" w:cs="Times New Roman"/>
                <w:color w:val="auto"/>
                <w:sz w:val="24"/>
              </w:rPr>
              <w:t>有限责任公司新平分公司</w:t>
            </w:r>
            <w:r>
              <w:rPr>
                <w:rFonts w:hint="default" w:ascii="Times New Roman" w:hAnsi="Times New Roman" w:cs="Times New Roman"/>
                <w:color w:val="auto"/>
                <w:kern w:val="0"/>
                <w:sz w:val="24"/>
                <w:lang w:bidi="ar"/>
              </w:rPr>
              <w:t>委托，我公司承担该项目环境影响报告表的编制工作。接受委托后，我公司组成项目组，对项目场地及周边环境进行了现状调查、实地踏勘和调研工作，对项目进行资料收集，依据《建设项目环境影响报告表编制技术指南（污染影响类）（试行）》的有关规定和要求，编制了《</w:t>
            </w:r>
            <w:r>
              <w:rPr>
                <w:rFonts w:hint="default" w:ascii="Times New Roman" w:hAnsi="Times New Roman" w:cs="Times New Roman"/>
                <w:color w:val="auto"/>
                <w:sz w:val="24"/>
              </w:rPr>
              <w:t>玉溪大红山矿业民用爆炸物品储存库建设项目</w:t>
            </w:r>
            <w:r>
              <w:rPr>
                <w:rFonts w:hint="default" w:ascii="Times New Roman" w:hAnsi="Times New Roman" w:cs="Times New Roman"/>
                <w:color w:val="auto"/>
                <w:kern w:val="0"/>
                <w:sz w:val="24"/>
                <w:lang w:bidi="ar"/>
              </w:rPr>
              <w:t>环境影响报告表》，供建设单位上报审批，经审查批准后的环评报告表，作为环境管理和项目环保工程设计的技术依据。</w:t>
            </w:r>
          </w:p>
          <w:p w14:paraId="6411A25C">
            <w:pPr>
              <w:adjustRightInd w:val="0"/>
              <w:snapToGrid w:val="0"/>
              <w:spacing w:line="360" w:lineRule="auto"/>
              <w:rPr>
                <w:rFonts w:hint="eastAsia"/>
                <w:b/>
                <w:color w:val="auto"/>
                <w:sz w:val="24"/>
                <w:highlight w:val="none"/>
              </w:rPr>
            </w:pPr>
            <w:r>
              <w:rPr>
                <w:rFonts w:hint="eastAsia"/>
                <w:b/>
                <w:color w:val="auto"/>
                <w:sz w:val="24"/>
                <w:highlight w:val="none"/>
              </w:rPr>
              <w:t>2、项目概况</w:t>
            </w:r>
          </w:p>
          <w:p w14:paraId="1DF3267B">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项目名称：玉溪大红山矿业民用爆炸物品储存库建设项目；</w:t>
            </w:r>
          </w:p>
          <w:p w14:paraId="1A1D4D23">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建设性质：</w:t>
            </w:r>
            <w:r>
              <w:rPr>
                <w:rFonts w:hint="eastAsia" w:ascii="Times New Roman" w:hAnsi="Times New Roman" w:eastAsia="宋体" w:cs="Times New Roman"/>
                <w:color w:val="auto"/>
                <w:kern w:val="0"/>
                <w:sz w:val="24"/>
                <w:lang w:val="en-US" w:eastAsia="zh-CN" w:bidi="ar"/>
              </w:rPr>
              <w:t>新</w:t>
            </w:r>
            <w:r>
              <w:rPr>
                <w:rFonts w:hint="default" w:ascii="Times New Roman" w:hAnsi="Times New Roman" w:eastAsia="宋体" w:cs="Times New Roman"/>
                <w:color w:val="auto"/>
                <w:kern w:val="0"/>
                <w:sz w:val="24"/>
                <w:lang w:val="en-US" w:eastAsia="zh-CN" w:bidi="ar"/>
              </w:rPr>
              <w:t>建</w:t>
            </w:r>
            <w:r>
              <w:rPr>
                <w:rFonts w:hint="default" w:ascii="Times New Roman" w:hAnsi="Times New Roman" w:eastAsia="宋体" w:cs="Times New Roman"/>
                <w:color w:val="auto"/>
                <w:kern w:val="0"/>
                <w:sz w:val="24"/>
                <w:lang w:bidi="ar"/>
              </w:rPr>
              <w:t>；</w:t>
            </w:r>
          </w:p>
          <w:p w14:paraId="394BAD7F">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建设单位：湖南涟邵建设工程</w:t>
            </w:r>
            <w:r>
              <w:rPr>
                <w:rFonts w:hint="eastAsia" w:cs="Times New Roman"/>
                <w:color w:val="auto"/>
                <w:kern w:val="0"/>
                <w:sz w:val="24"/>
                <w:lang w:eastAsia="zh-CN" w:bidi="ar"/>
              </w:rPr>
              <w:t>（</w:t>
            </w:r>
            <w:r>
              <w:rPr>
                <w:rFonts w:hint="default" w:ascii="Times New Roman" w:hAnsi="Times New Roman" w:eastAsia="宋体" w:cs="Times New Roman"/>
                <w:color w:val="auto"/>
                <w:kern w:val="0"/>
                <w:sz w:val="24"/>
                <w:lang w:bidi="ar"/>
              </w:rPr>
              <w:t>集团</w:t>
            </w:r>
            <w:r>
              <w:rPr>
                <w:rFonts w:hint="eastAsia" w:cs="Times New Roman"/>
                <w:color w:val="auto"/>
                <w:kern w:val="0"/>
                <w:sz w:val="24"/>
                <w:lang w:eastAsia="zh-CN" w:bidi="ar"/>
              </w:rPr>
              <w:t>）</w:t>
            </w:r>
            <w:r>
              <w:rPr>
                <w:rFonts w:hint="default" w:ascii="Times New Roman" w:hAnsi="Times New Roman" w:eastAsia="宋体" w:cs="Times New Roman"/>
                <w:color w:val="auto"/>
                <w:kern w:val="0"/>
                <w:sz w:val="24"/>
                <w:lang w:bidi="ar"/>
              </w:rPr>
              <w:t>有限责任公司新平分公司；</w:t>
            </w:r>
          </w:p>
          <w:p w14:paraId="7DD8377A">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立项依据：项目于</w:t>
            </w:r>
            <w:r>
              <w:rPr>
                <w:rFonts w:hint="eastAsia" w:cs="Times New Roman"/>
                <w:color w:val="auto"/>
                <w:kern w:val="0"/>
                <w:sz w:val="24"/>
                <w:lang w:eastAsia="zh-CN" w:bidi="ar"/>
              </w:rPr>
              <w:t>2026年1月12日</w:t>
            </w:r>
            <w:r>
              <w:rPr>
                <w:rFonts w:hint="default" w:ascii="Times New Roman" w:hAnsi="Times New Roman" w:eastAsia="宋体" w:cs="Times New Roman"/>
                <w:color w:val="auto"/>
                <w:kern w:val="0"/>
                <w:sz w:val="24"/>
                <w:lang w:bidi="ar"/>
              </w:rPr>
              <w:t>取得</w:t>
            </w:r>
            <w:r>
              <w:rPr>
                <w:rFonts w:hint="eastAsia" w:ascii="Times New Roman" w:hAnsi="Times New Roman" w:eastAsia="宋体" w:cs="Times New Roman"/>
                <w:color w:val="auto"/>
                <w:kern w:val="0"/>
                <w:sz w:val="24"/>
                <w:lang w:val="en-US" w:eastAsia="zh-CN" w:bidi="ar"/>
              </w:rPr>
              <w:t>新平县</w:t>
            </w:r>
            <w:r>
              <w:rPr>
                <w:rFonts w:hint="default" w:ascii="Times New Roman" w:hAnsi="Times New Roman" w:eastAsia="宋体" w:cs="Times New Roman"/>
                <w:color w:val="auto"/>
                <w:kern w:val="0"/>
                <w:sz w:val="24"/>
                <w:lang w:bidi="ar"/>
              </w:rPr>
              <w:t>发展和改革局出具的《云南省固定资产投资项目备案证》</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项目代码</w:t>
            </w:r>
            <w:r>
              <w:rPr>
                <w:rFonts w:hint="default" w:ascii="Times New Roman" w:hAnsi="Times New Roman" w:eastAsia="宋体" w:cs="Times New Roman"/>
                <w:color w:val="auto"/>
                <w:kern w:val="0"/>
                <w:sz w:val="24"/>
                <w:lang w:val="en-US" w:eastAsia="zh-CN" w:bidi="ar"/>
              </w:rPr>
              <w:t>为</w:t>
            </w:r>
            <w:r>
              <w:rPr>
                <w:rFonts w:hint="default" w:ascii="Times New Roman" w:hAnsi="Times New Roman" w:eastAsia="宋体" w:cs="Times New Roman"/>
                <w:color w:val="auto"/>
                <w:kern w:val="0"/>
                <w:sz w:val="24"/>
                <w:lang w:bidi="ar"/>
              </w:rPr>
              <w:t>2601-530427-04-01-205541；</w:t>
            </w:r>
          </w:p>
          <w:p w14:paraId="1A1364BD">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bidi="ar"/>
              </w:rPr>
              <w:t>建设地点：云南省玉溪市新平县戛洒镇米尺莫村委会哈母白租村民小组</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拟建位置不涉及大红山铁矿采区、塌陷区范围内。</w:t>
            </w:r>
          </w:p>
          <w:p w14:paraId="6C540FA8">
            <w:pPr>
              <w:widowControl/>
              <w:spacing w:line="360" w:lineRule="auto"/>
              <w:ind w:firstLine="480" w:firstLineChars="200"/>
              <w:jc w:val="left"/>
              <w:rPr>
                <w:rFonts w:hint="eastAsia" w:ascii="Times New Roman" w:hAnsi="Times New Roman" w:eastAsia="宋体" w:cs="Times New Roman"/>
                <w:color w:val="auto"/>
                <w:kern w:val="0"/>
                <w:sz w:val="24"/>
                <w:lang w:eastAsia="zh-CN" w:bidi="ar"/>
              </w:rPr>
            </w:pPr>
            <w:r>
              <w:rPr>
                <w:rFonts w:hint="default" w:ascii="Times New Roman" w:hAnsi="Times New Roman" w:eastAsia="宋体" w:cs="Times New Roman"/>
                <w:color w:val="auto"/>
                <w:kern w:val="0"/>
                <w:sz w:val="24"/>
                <w:lang w:bidi="ar"/>
              </w:rPr>
              <w:t>项目总投资：</w:t>
            </w:r>
            <w:r>
              <w:rPr>
                <w:rFonts w:hint="eastAsia" w:ascii="Times New Roman" w:hAnsi="Times New Roman" w:eastAsia="宋体" w:cs="Times New Roman"/>
                <w:color w:val="auto"/>
                <w:kern w:val="0"/>
                <w:sz w:val="24"/>
                <w:lang w:val="en-US" w:eastAsia="zh-CN" w:bidi="ar"/>
              </w:rPr>
              <w:t>53</w:t>
            </w:r>
            <w:r>
              <w:rPr>
                <w:rFonts w:hint="eastAsia" w:ascii="Times New Roman" w:hAnsi="Times New Roman" w:eastAsia="宋体" w:cs="Times New Roman"/>
                <w:color w:val="auto"/>
                <w:kern w:val="0"/>
                <w:sz w:val="24"/>
                <w:lang w:bidi="ar"/>
              </w:rPr>
              <w:t>0</w:t>
            </w:r>
            <w:r>
              <w:rPr>
                <w:rFonts w:hint="default" w:ascii="Times New Roman" w:hAnsi="Times New Roman" w:eastAsia="宋体" w:cs="Times New Roman"/>
                <w:color w:val="auto"/>
                <w:kern w:val="0"/>
                <w:sz w:val="24"/>
                <w:lang w:bidi="ar"/>
              </w:rPr>
              <w:t>万元</w:t>
            </w:r>
            <w:r>
              <w:rPr>
                <w:rFonts w:hint="eastAsia" w:ascii="Times New Roman" w:hAnsi="Times New Roman" w:eastAsia="宋体" w:cs="Times New Roman"/>
                <w:color w:val="auto"/>
                <w:kern w:val="0"/>
                <w:sz w:val="24"/>
                <w:lang w:eastAsia="zh-CN" w:bidi="ar"/>
              </w:rPr>
              <w:t>；</w:t>
            </w:r>
          </w:p>
          <w:p w14:paraId="5E94C6D6">
            <w:pPr>
              <w:widowControl/>
              <w:adjustRightInd w:val="0"/>
              <w:snapToGrid w:val="0"/>
              <w:spacing w:line="360" w:lineRule="auto"/>
              <w:ind w:firstLine="480" w:firstLineChars="200"/>
              <w:jc w:val="left"/>
              <w:rPr>
                <w:rFonts w:hint="default" w:eastAsia="宋体"/>
                <w:color w:val="auto"/>
                <w:lang w:val="en-US" w:eastAsia="zh-CN"/>
              </w:rPr>
            </w:pPr>
            <w:r>
              <w:rPr>
                <w:bCs/>
                <w:color w:val="auto"/>
                <w:sz w:val="24"/>
                <w:highlight w:val="none"/>
                <w:shd w:val="clear" w:color="auto" w:fill="FFFFFF"/>
              </w:rPr>
              <w:t>占地面积：</w:t>
            </w:r>
            <w:r>
              <w:rPr>
                <w:rFonts w:hint="eastAsia"/>
                <w:bCs/>
                <w:color w:val="auto"/>
                <w:sz w:val="24"/>
                <w:highlight w:val="none"/>
                <w:shd w:val="clear" w:color="auto" w:fill="FFFFFF"/>
                <w:lang w:val="en-US" w:eastAsia="zh-CN"/>
              </w:rPr>
              <w:t>项目位于玉溪大红山矿业有限公司铁矿矿区范围内，占地面积11820.20m</w:t>
            </w:r>
            <w:r>
              <w:rPr>
                <w:rFonts w:hint="eastAsia"/>
                <w:bCs/>
                <w:color w:val="auto"/>
                <w:sz w:val="24"/>
                <w:highlight w:val="none"/>
                <w:shd w:val="clear" w:color="auto" w:fill="FFFFFF"/>
                <w:vertAlign w:val="superscript"/>
                <w:lang w:val="en-US" w:eastAsia="zh-CN"/>
              </w:rPr>
              <w:t>2</w:t>
            </w:r>
            <w:r>
              <w:rPr>
                <w:rFonts w:hint="eastAsia"/>
                <w:bCs/>
                <w:color w:val="auto"/>
                <w:sz w:val="24"/>
                <w:highlight w:val="none"/>
                <w:shd w:val="clear" w:color="auto" w:fill="FFFFFF"/>
              </w:rPr>
              <w:t>。</w:t>
            </w:r>
            <w:r>
              <w:rPr>
                <w:rFonts w:hint="eastAsia"/>
                <w:bCs/>
                <w:color w:val="auto"/>
                <w:sz w:val="24"/>
                <w:highlight w:val="none"/>
                <w:shd w:val="clear" w:color="auto" w:fill="FFFFFF"/>
                <w:lang w:val="en-US" w:eastAsia="zh-CN"/>
              </w:rPr>
              <w:t>公司已取得《不动产权证书》（云（2019）新平县不动产权第0002460号），项目用地为工业用地。</w:t>
            </w:r>
          </w:p>
          <w:p w14:paraId="5AFF31B7">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3</w:t>
            </w:r>
            <w:r>
              <w:rPr>
                <w:rFonts w:hint="default" w:ascii="Times New Roman" w:hAnsi="Times New Roman" w:eastAsia="黑体" w:cs="Times New Roman"/>
                <w:bCs/>
                <w:color w:val="auto"/>
                <w:sz w:val="24"/>
              </w:rPr>
              <w:t>、项目建设内容</w:t>
            </w:r>
          </w:p>
          <w:p w14:paraId="59CCC242">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本建设项目整体为一座民用爆炸物品储存库，包括三个储量5吨的炸药库（其中一个炸药与导爆索隔离储存），一个储量2</w:t>
            </w:r>
            <w:r>
              <w:rPr>
                <w:rFonts w:hint="eastAsia" w:cs="Times New Roman"/>
                <w:color w:val="auto"/>
                <w:kern w:val="0"/>
                <w:sz w:val="24"/>
                <w:lang w:val="en-US" w:eastAsia="zh-CN" w:bidi="ar"/>
              </w:rPr>
              <w:t>万</w:t>
            </w:r>
            <w:r>
              <w:rPr>
                <w:rFonts w:hint="default" w:ascii="Times New Roman" w:hAnsi="Times New Roman" w:cs="Times New Roman"/>
                <w:color w:val="auto"/>
                <w:kern w:val="0"/>
                <w:sz w:val="24"/>
                <w:lang w:bidi="ar"/>
              </w:rPr>
              <w:t>发的雷管库，以及该储存库配套的设施设备如值班室、安防设施、防雷设施、消防设施等。</w:t>
            </w:r>
          </w:p>
          <w:p w14:paraId="1D6C99BB">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本项目由主体工程、辅助工程、公用工程和环保工程组成，工程具体组成见下表：</w:t>
            </w:r>
          </w:p>
          <w:p w14:paraId="1AADAFB5">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表2-1   建设项目组成一览表</w:t>
            </w:r>
          </w:p>
          <w:tbl>
            <w:tblPr>
              <w:tblStyle w:val="36"/>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39"/>
              <w:gridCol w:w="576"/>
              <w:gridCol w:w="1148"/>
              <w:gridCol w:w="4336"/>
              <w:gridCol w:w="701"/>
            </w:tblGrid>
            <w:tr w14:paraId="73631AE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tcBorders>
                    <w:tl2br w:val="nil"/>
                    <w:tr2bl w:val="nil"/>
                  </w:tcBorders>
                  <w:vAlign w:val="center"/>
                </w:tcPr>
                <w:p w14:paraId="143A7AFD">
                  <w:pPr>
                    <w:jc w:val="center"/>
                    <w:rPr>
                      <w:rFonts w:hint="default" w:ascii="Times New Roman" w:hAnsi="Times New Roman" w:cs="Times New Roman"/>
                      <w:color w:val="auto"/>
                      <w:sz w:val="18"/>
                      <w:szCs w:val="18"/>
                    </w:rPr>
                  </w:pPr>
                  <w:bookmarkStart w:id="21" w:name="_Hlk220319775"/>
                  <w:r>
                    <w:rPr>
                      <w:rFonts w:hint="default" w:ascii="Times New Roman" w:hAnsi="Times New Roman" w:cs="Times New Roman"/>
                      <w:color w:val="auto"/>
                      <w:sz w:val="18"/>
                      <w:szCs w:val="18"/>
                    </w:rPr>
                    <w:t>工程类别</w:t>
                  </w:r>
                </w:p>
              </w:tc>
              <w:tc>
                <w:tcPr>
                  <w:tcW w:w="3884" w:type="pct"/>
                  <w:gridSpan w:val="3"/>
                  <w:tcBorders>
                    <w:tl2br w:val="nil"/>
                    <w:tr2bl w:val="nil"/>
                  </w:tcBorders>
                  <w:vAlign w:val="center"/>
                </w:tcPr>
                <w:p w14:paraId="228CF3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工程内容</w:t>
                  </w:r>
                </w:p>
              </w:tc>
              <w:tc>
                <w:tcPr>
                  <w:tcW w:w="449" w:type="pct"/>
                  <w:tcBorders>
                    <w:tl2br w:val="nil"/>
                    <w:tr2bl w:val="nil"/>
                  </w:tcBorders>
                  <w:vAlign w:val="center"/>
                </w:tcPr>
                <w:p w14:paraId="145DF3E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790E7D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restart"/>
                  <w:tcBorders>
                    <w:tl2br w:val="nil"/>
                    <w:tr2bl w:val="nil"/>
                  </w:tcBorders>
                  <w:vAlign w:val="center"/>
                </w:tcPr>
                <w:p w14:paraId="3C0C8B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主体工程</w:t>
                  </w:r>
                </w:p>
              </w:tc>
              <w:tc>
                <w:tcPr>
                  <w:tcW w:w="1105" w:type="pct"/>
                  <w:gridSpan w:val="2"/>
                  <w:tcBorders>
                    <w:tl2br w:val="nil"/>
                    <w:tr2bl w:val="nil"/>
                  </w:tcBorders>
                  <w:vAlign w:val="center"/>
                </w:tcPr>
                <w:p w14:paraId="484052B6">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101炸药库</w:t>
                  </w:r>
                </w:p>
              </w:tc>
              <w:tc>
                <w:tcPr>
                  <w:tcW w:w="2778" w:type="pct"/>
                  <w:tcBorders>
                    <w:tl2br w:val="nil"/>
                    <w:tr2bl w:val="nil"/>
                  </w:tcBorders>
                  <w:vAlign w:val="center"/>
                </w:tcPr>
                <w:p w14:paraId="66B1DECA">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vertAlign w:val="baseline"/>
                    </w:rPr>
                    <w:t>钢筋混凝土结构，尺寸为</w:t>
                  </w:r>
                  <w:r>
                    <w:rPr>
                      <w:rFonts w:hint="eastAsia" w:cs="Times New Roman"/>
                      <w:color w:val="auto"/>
                      <w:sz w:val="18"/>
                      <w:szCs w:val="18"/>
                      <w:vertAlign w:val="baseline"/>
                      <w:lang w:val="en-US" w:eastAsia="zh-CN"/>
                    </w:rPr>
                    <w:t>5.0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4.0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3.0</w:t>
                  </w:r>
                  <w:r>
                    <w:rPr>
                      <w:rFonts w:hint="default" w:ascii="Times New Roman" w:hAnsi="Times New Roman" w:cs="Times New Roman"/>
                      <w:color w:val="auto"/>
                      <w:sz w:val="18"/>
                      <w:szCs w:val="18"/>
                      <w:vertAlign w:val="baseline"/>
                    </w:rPr>
                    <w:t>m，</w:t>
                  </w:r>
                  <w:r>
                    <w:rPr>
                      <w:rFonts w:hint="default" w:ascii="Times New Roman" w:hAnsi="Times New Roman" w:cs="Times New Roman"/>
                      <w:color w:val="auto"/>
                      <w:sz w:val="18"/>
                      <w:szCs w:val="18"/>
                    </w:rPr>
                    <w:t>建筑面积</w:t>
                  </w:r>
                  <w:r>
                    <w:rPr>
                      <w:rFonts w:hint="eastAsia" w:cs="Times New Roman"/>
                      <w:color w:val="auto"/>
                      <w:sz w:val="18"/>
                      <w:szCs w:val="18"/>
                      <w:lang w:val="en-US" w:eastAsia="zh-CN"/>
                    </w:rPr>
                    <w:t>20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eastAsia" w:cs="Times New Roman"/>
                      <w:color w:val="auto"/>
                      <w:sz w:val="18"/>
                      <w:szCs w:val="18"/>
                      <w:lang w:eastAsia="zh-CN"/>
                    </w:rPr>
                    <w:t>，</w:t>
                  </w:r>
                  <w:r>
                    <w:rPr>
                      <w:rFonts w:hint="default" w:ascii="Times New Roman" w:hAnsi="Times New Roman" w:cs="Times New Roman"/>
                      <w:color w:val="auto"/>
                      <w:sz w:val="18"/>
                      <w:szCs w:val="18"/>
                    </w:rPr>
                    <w:t>设计储量为炸药</w:t>
                  </w:r>
                  <w:r>
                    <w:rPr>
                      <w:rFonts w:hint="eastAsia" w:cs="Times New Roman"/>
                      <w:color w:val="auto"/>
                      <w:sz w:val="18"/>
                      <w:szCs w:val="18"/>
                      <w:lang w:val="en-US" w:eastAsia="zh-CN"/>
                    </w:rPr>
                    <w:t>5t</w:t>
                  </w:r>
                  <w:r>
                    <w:rPr>
                      <w:rFonts w:hint="default" w:ascii="Times New Roman" w:hAnsi="Times New Roman" w:cs="Times New Roman"/>
                      <w:color w:val="auto"/>
                      <w:sz w:val="18"/>
                      <w:szCs w:val="18"/>
                    </w:rPr>
                    <w:t>，符合《民用爆炸物品工程设计安全标准》</w:t>
                  </w:r>
                  <w:r>
                    <w:rPr>
                      <w:rFonts w:hint="eastAsia" w:cs="Times New Roman"/>
                      <w:color w:val="auto"/>
                      <w:sz w:val="18"/>
                      <w:szCs w:val="18"/>
                      <w:lang w:eastAsia="zh-CN"/>
                    </w:rPr>
                    <w:t>（</w:t>
                  </w:r>
                  <w:r>
                    <w:rPr>
                      <w:rFonts w:hint="default" w:ascii="Times New Roman" w:hAnsi="Times New Roman" w:cs="Times New Roman"/>
                      <w:color w:val="auto"/>
                      <w:sz w:val="18"/>
                      <w:szCs w:val="18"/>
                    </w:rPr>
                    <w:t>GB50089-2018</w:t>
                  </w:r>
                  <w:r>
                    <w:rPr>
                      <w:rFonts w:hint="eastAsia" w:cs="Times New Roman"/>
                      <w:color w:val="auto"/>
                      <w:sz w:val="18"/>
                      <w:szCs w:val="18"/>
                      <w:lang w:eastAsia="zh-CN"/>
                    </w:rPr>
                    <w:t>）</w:t>
                  </w:r>
                  <w:r>
                    <w:rPr>
                      <w:rFonts w:hint="default" w:ascii="Times New Roman" w:hAnsi="Times New Roman" w:cs="Times New Roman"/>
                      <w:color w:val="auto"/>
                      <w:sz w:val="18"/>
                      <w:szCs w:val="18"/>
                    </w:rPr>
                    <w:t>的规定。</w:t>
                  </w:r>
                </w:p>
              </w:tc>
              <w:tc>
                <w:tcPr>
                  <w:tcW w:w="449" w:type="pct"/>
                  <w:tcBorders>
                    <w:tl2br w:val="nil"/>
                    <w:tr2bl w:val="nil"/>
                  </w:tcBorders>
                  <w:vAlign w:val="center"/>
                </w:tcPr>
                <w:p w14:paraId="50BCE0F2">
                  <w:pPr>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新建</w:t>
                  </w:r>
                </w:p>
              </w:tc>
            </w:tr>
            <w:tr w14:paraId="73A7E35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3D6C31DE">
                  <w:pPr>
                    <w:jc w:val="center"/>
                    <w:rPr>
                      <w:rFonts w:hint="default" w:ascii="Times New Roman" w:hAnsi="Times New Roman" w:cs="Times New Roman"/>
                      <w:color w:val="auto"/>
                      <w:sz w:val="18"/>
                      <w:szCs w:val="18"/>
                    </w:rPr>
                  </w:pPr>
                </w:p>
              </w:tc>
              <w:tc>
                <w:tcPr>
                  <w:tcW w:w="1105" w:type="pct"/>
                  <w:gridSpan w:val="2"/>
                  <w:tcBorders>
                    <w:tl2br w:val="nil"/>
                    <w:tr2bl w:val="nil"/>
                  </w:tcBorders>
                  <w:vAlign w:val="center"/>
                </w:tcPr>
                <w:p w14:paraId="284E5BFE">
                  <w:pPr>
                    <w:jc w:val="center"/>
                    <w:rPr>
                      <w:rFonts w:hint="eastAsia" w:cs="Times New Roman"/>
                      <w:color w:val="auto"/>
                      <w:sz w:val="18"/>
                      <w:szCs w:val="18"/>
                      <w:lang w:val="en-US" w:eastAsia="zh-CN"/>
                    </w:rPr>
                  </w:pPr>
                  <w:r>
                    <w:rPr>
                      <w:rFonts w:hint="eastAsia" w:cs="Times New Roman"/>
                      <w:color w:val="auto"/>
                      <w:sz w:val="18"/>
                      <w:szCs w:val="18"/>
                      <w:lang w:val="en-US" w:eastAsia="zh-CN"/>
                    </w:rPr>
                    <w:t>102炸药库</w:t>
                  </w:r>
                </w:p>
              </w:tc>
              <w:tc>
                <w:tcPr>
                  <w:tcW w:w="2778" w:type="pct"/>
                  <w:tcBorders>
                    <w:tl2br w:val="nil"/>
                    <w:tr2bl w:val="nil"/>
                  </w:tcBorders>
                  <w:vAlign w:val="center"/>
                </w:tcPr>
                <w:p w14:paraId="265B051C">
                  <w:pPr>
                    <w:ind w:firstLine="360" w:firstLineChars="200"/>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钢筋混凝土结构，尺寸为</w:t>
                  </w:r>
                  <w:r>
                    <w:rPr>
                      <w:rFonts w:hint="eastAsia" w:cs="Times New Roman"/>
                      <w:color w:val="auto"/>
                      <w:sz w:val="18"/>
                      <w:szCs w:val="18"/>
                      <w:vertAlign w:val="baseline"/>
                      <w:lang w:val="en-US" w:eastAsia="zh-CN"/>
                    </w:rPr>
                    <w:t>5.0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4.0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3.0</w:t>
                  </w:r>
                  <w:r>
                    <w:rPr>
                      <w:rFonts w:hint="default" w:ascii="Times New Roman" w:hAnsi="Times New Roman" w:cs="Times New Roman"/>
                      <w:color w:val="auto"/>
                      <w:sz w:val="18"/>
                      <w:szCs w:val="18"/>
                      <w:vertAlign w:val="baseline"/>
                    </w:rPr>
                    <w:t>m，</w:t>
                  </w:r>
                  <w:r>
                    <w:rPr>
                      <w:rFonts w:hint="default" w:ascii="Times New Roman" w:hAnsi="Times New Roman" w:cs="Times New Roman"/>
                      <w:color w:val="auto"/>
                      <w:sz w:val="18"/>
                      <w:szCs w:val="18"/>
                    </w:rPr>
                    <w:t>建筑面积</w:t>
                  </w:r>
                  <w:r>
                    <w:rPr>
                      <w:rFonts w:hint="eastAsia" w:cs="Times New Roman"/>
                      <w:color w:val="auto"/>
                      <w:sz w:val="18"/>
                      <w:szCs w:val="18"/>
                      <w:lang w:val="en-US" w:eastAsia="zh-CN"/>
                    </w:rPr>
                    <w:t>20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eastAsia" w:cs="Times New Roman"/>
                      <w:color w:val="auto"/>
                      <w:sz w:val="18"/>
                      <w:szCs w:val="18"/>
                      <w:lang w:eastAsia="zh-CN"/>
                    </w:rPr>
                    <w:t>，</w:t>
                  </w:r>
                  <w:r>
                    <w:rPr>
                      <w:rFonts w:hint="default" w:ascii="Times New Roman" w:hAnsi="Times New Roman" w:cs="Times New Roman"/>
                      <w:color w:val="auto"/>
                      <w:sz w:val="18"/>
                      <w:szCs w:val="18"/>
                    </w:rPr>
                    <w:t>设计储量为炸药</w:t>
                  </w:r>
                  <w:r>
                    <w:rPr>
                      <w:rFonts w:hint="eastAsia" w:cs="Times New Roman"/>
                      <w:color w:val="auto"/>
                      <w:sz w:val="18"/>
                      <w:szCs w:val="18"/>
                      <w:lang w:val="en-US" w:eastAsia="zh-CN"/>
                    </w:rPr>
                    <w:t>5t</w:t>
                  </w:r>
                  <w:r>
                    <w:rPr>
                      <w:rFonts w:hint="default" w:ascii="Times New Roman" w:hAnsi="Times New Roman" w:cs="Times New Roman"/>
                      <w:color w:val="auto"/>
                      <w:sz w:val="18"/>
                      <w:szCs w:val="18"/>
                    </w:rPr>
                    <w:t>，符合《民用爆炸物品工程设计安全标准》</w:t>
                  </w:r>
                  <w:r>
                    <w:rPr>
                      <w:rFonts w:hint="eastAsia" w:cs="Times New Roman"/>
                      <w:color w:val="auto"/>
                      <w:sz w:val="18"/>
                      <w:szCs w:val="18"/>
                      <w:lang w:eastAsia="zh-CN"/>
                    </w:rPr>
                    <w:t>（</w:t>
                  </w:r>
                  <w:r>
                    <w:rPr>
                      <w:rFonts w:hint="default" w:ascii="Times New Roman" w:hAnsi="Times New Roman" w:cs="Times New Roman"/>
                      <w:color w:val="auto"/>
                      <w:sz w:val="18"/>
                      <w:szCs w:val="18"/>
                    </w:rPr>
                    <w:t>GB50089-2018</w:t>
                  </w:r>
                  <w:r>
                    <w:rPr>
                      <w:rFonts w:hint="eastAsia" w:cs="Times New Roman"/>
                      <w:color w:val="auto"/>
                      <w:sz w:val="18"/>
                      <w:szCs w:val="18"/>
                      <w:lang w:eastAsia="zh-CN"/>
                    </w:rPr>
                    <w:t>）</w:t>
                  </w:r>
                  <w:r>
                    <w:rPr>
                      <w:rFonts w:hint="default" w:ascii="Times New Roman" w:hAnsi="Times New Roman" w:cs="Times New Roman"/>
                      <w:color w:val="auto"/>
                      <w:sz w:val="18"/>
                      <w:szCs w:val="18"/>
                    </w:rPr>
                    <w:t>的规定。</w:t>
                  </w:r>
                </w:p>
              </w:tc>
              <w:tc>
                <w:tcPr>
                  <w:tcW w:w="449" w:type="pct"/>
                  <w:tcBorders>
                    <w:tl2br w:val="nil"/>
                    <w:tr2bl w:val="nil"/>
                  </w:tcBorders>
                  <w:vAlign w:val="center"/>
                </w:tcPr>
                <w:p w14:paraId="137DB12D">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732280B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4EACA5FE">
                  <w:pPr>
                    <w:jc w:val="center"/>
                    <w:rPr>
                      <w:rFonts w:hint="default" w:ascii="Times New Roman" w:hAnsi="Times New Roman" w:cs="Times New Roman"/>
                      <w:color w:val="auto"/>
                      <w:sz w:val="18"/>
                      <w:szCs w:val="18"/>
                    </w:rPr>
                  </w:pPr>
                </w:p>
              </w:tc>
              <w:tc>
                <w:tcPr>
                  <w:tcW w:w="1105" w:type="pct"/>
                  <w:gridSpan w:val="2"/>
                  <w:tcBorders>
                    <w:tl2br w:val="nil"/>
                    <w:tr2bl w:val="nil"/>
                  </w:tcBorders>
                  <w:vAlign w:val="center"/>
                </w:tcPr>
                <w:p w14:paraId="6988CC1A">
                  <w:pPr>
                    <w:jc w:val="center"/>
                    <w:rPr>
                      <w:rFonts w:hint="default" w:cs="Times New Roman"/>
                      <w:color w:val="auto"/>
                      <w:sz w:val="18"/>
                      <w:szCs w:val="18"/>
                      <w:lang w:val="en-US" w:eastAsia="zh-CN"/>
                    </w:rPr>
                  </w:pPr>
                  <w:r>
                    <w:rPr>
                      <w:rFonts w:hint="eastAsia" w:cs="Times New Roman"/>
                      <w:color w:val="auto"/>
                      <w:sz w:val="18"/>
                      <w:szCs w:val="18"/>
                      <w:lang w:val="en-US" w:eastAsia="zh-CN"/>
                    </w:rPr>
                    <w:t>103炸药库（联建导爆索存放间）</w:t>
                  </w:r>
                </w:p>
              </w:tc>
              <w:tc>
                <w:tcPr>
                  <w:tcW w:w="2778" w:type="pct"/>
                  <w:tcBorders>
                    <w:tl2br w:val="nil"/>
                    <w:tr2bl w:val="nil"/>
                  </w:tcBorders>
                  <w:vAlign w:val="center"/>
                </w:tcPr>
                <w:p w14:paraId="2DAE51CA">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vertAlign w:val="baseline"/>
                    </w:rPr>
                    <w:t>钢筋混凝土结构，尺寸为</w:t>
                  </w:r>
                  <w:r>
                    <w:rPr>
                      <w:rFonts w:hint="eastAsia" w:cs="Times New Roman"/>
                      <w:color w:val="auto"/>
                      <w:sz w:val="18"/>
                      <w:szCs w:val="18"/>
                      <w:vertAlign w:val="baseline"/>
                      <w:lang w:val="en-US" w:eastAsia="zh-CN"/>
                    </w:rPr>
                    <w:t>6.0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4.0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3.2</w:t>
                  </w:r>
                  <w:r>
                    <w:rPr>
                      <w:rFonts w:hint="default" w:ascii="Times New Roman" w:hAnsi="Times New Roman" w:cs="Times New Roman"/>
                      <w:color w:val="auto"/>
                      <w:sz w:val="18"/>
                      <w:szCs w:val="18"/>
                      <w:vertAlign w:val="baseline"/>
                    </w:rPr>
                    <w:t>m，</w:t>
                  </w:r>
                  <w:r>
                    <w:rPr>
                      <w:rFonts w:hint="default" w:ascii="Times New Roman" w:hAnsi="Times New Roman" w:cs="Times New Roman"/>
                      <w:color w:val="auto"/>
                      <w:sz w:val="18"/>
                      <w:szCs w:val="18"/>
                    </w:rPr>
                    <w:t>建筑面积</w:t>
                  </w:r>
                  <w:r>
                    <w:rPr>
                      <w:rFonts w:hint="eastAsia" w:cs="Times New Roman"/>
                      <w:color w:val="auto"/>
                      <w:sz w:val="18"/>
                      <w:szCs w:val="18"/>
                      <w:lang w:val="en-US" w:eastAsia="zh-CN"/>
                    </w:rPr>
                    <w:t>24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eastAsia" w:cs="Times New Roman"/>
                      <w:color w:val="auto"/>
                      <w:sz w:val="18"/>
                      <w:szCs w:val="18"/>
                      <w:lang w:eastAsia="zh-CN"/>
                    </w:rPr>
                    <w:t>，</w:t>
                  </w:r>
                  <w:r>
                    <w:rPr>
                      <w:rFonts w:hint="default" w:ascii="Times New Roman" w:hAnsi="Times New Roman" w:cs="Times New Roman"/>
                      <w:color w:val="auto"/>
                      <w:sz w:val="18"/>
                      <w:szCs w:val="18"/>
                    </w:rPr>
                    <w:t>设计储量为炸药</w:t>
                  </w:r>
                  <w:r>
                    <w:rPr>
                      <w:rFonts w:hint="eastAsia" w:cs="Times New Roman"/>
                      <w:color w:val="auto"/>
                      <w:sz w:val="18"/>
                      <w:szCs w:val="18"/>
                      <w:lang w:val="en-US" w:eastAsia="zh-CN"/>
                    </w:rPr>
                    <w:t>5t</w:t>
                  </w:r>
                  <w:r>
                    <w:rPr>
                      <w:rFonts w:hint="eastAsia" w:cs="Times New Roman"/>
                      <w:color w:val="auto"/>
                      <w:sz w:val="18"/>
                      <w:szCs w:val="18"/>
                      <w:lang w:eastAsia="zh-CN"/>
                    </w:rPr>
                    <w:t>（</w:t>
                  </w:r>
                  <w:r>
                    <w:rPr>
                      <w:rFonts w:hint="eastAsia" w:cs="Times New Roman"/>
                      <w:color w:val="auto"/>
                      <w:sz w:val="18"/>
                      <w:szCs w:val="18"/>
                      <w:lang w:val="en-US" w:eastAsia="zh-CN"/>
                    </w:rPr>
                    <w:t>含20000m导爆索</w:t>
                  </w:r>
                  <w:r>
                    <w:rPr>
                      <w:rFonts w:hint="eastAsia" w:cs="Times New Roman"/>
                      <w:color w:val="auto"/>
                      <w:sz w:val="18"/>
                      <w:szCs w:val="18"/>
                      <w:lang w:eastAsia="zh-CN"/>
                    </w:rPr>
                    <w:t>）</w:t>
                  </w:r>
                  <w:r>
                    <w:rPr>
                      <w:rFonts w:hint="default" w:ascii="Times New Roman" w:hAnsi="Times New Roman" w:cs="Times New Roman"/>
                      <w:color w:val="auto"/>
                      <w:sz w:val="18"/>
                      <w:szCs w:val="18"/>
                    </w:rPr>
                    <w:t>，符合《民用爆炸物品工程设计安全标准》</w:t>
                  </w:r>
                  <w:r>
                    <w:rPr>
                      <w:rFonts w:hint="eastAsia" w:cs="Times New Roman"/>
                      <w:color w:val="auto"/>
                      <w:sz w:val="18"/>
                      <w:szCs w:val="18"/>
                      <w:lang w:eastAsia="zh-CN"/>
                    </w:rPr>
                    <w:t>（</w:t>
                  </w:r>
                  <w:r>
                    <w:rPr>
                      <w:rFonts w:hint="default" w:ascii="Times New Roman" w:hAnsi="Times New Roman" w:cs="Times New Roman"/>
                      <w:color w:val="auto"/>
                      <w:sz w:val="18"/>
                      <w:szCs w:val="18"/>
                    </w:rPr>
                    <w:t>GB50089-2018</w:t>
                  </w:r>
                  <w:r>
                    <w:rPr>
                      <w:rFonts w:hint="eastAsia" w:cs="Times New Roman"/>
                      <w:color w:val="auto"/>
                      <w:sz w:val="18"/>
                      <w:szCs w:val="18"/>
                      <w:lang w:eastAsia="zh-CN"/>
                    </w:rPr>
                    <w:t>）</w:t>
                  </w:r>
                  <w:r>
                    <w:rPr>
                      <w:rFonts w:hint="default" w:ascii="Times New Roman" w:hAnsi="Times New Roman" w:cs="Times New Roman"/>
                      <w:color w:val="auto"/>
                      <w:sz w:val="18"/>
                      <w:szCs w:val="18"/>
                    </w:rPr>
                    <w:t>的规定。</w:t>
                  </w:r>
                </w:p>
              </w:tc>
              <w:tc>
                <w:tcPr>
                  <w:tcW w:w="449" w:type="pct"/>
                  <w:tcBorders>
                    <w:tl2br w:val="nil"/>
                    <w:tr2bl w:val="nil"/>
                  </w:tcBorders>
                  <w:vAlign w:val="center"/>
                </w:tcPr>
                <w:p w14:paraId="7FBEEF9F">
                  <w:pPr>
                    <w:jc w:val="center"/>
                    <w:rPr>
                      <w:rFonts w:hint="eastAsia" w:cs="Times New Roman"/>
                      <w:color w:val="auto"/>
                      <w:sz w:val="18"/>
                      <w:szCs w:val="18"/>
                      <w:lang w:val="en-US" w:eastAsia="zh-CN"/>
                    </w:rPr>
                  </w:pPr>
                  <w:r>
                    <w:rPr>
                      <w:rFonts w:hint="eastAsia" w:cs="Times New Roman"/>
                      <w:color w:val="auto"/>
                      <w:sz w:val="18"/>
                      <w:szCs w:val="18"/>
                      <w:lang w:val="en-US" w:eastAsia="zh-CN"/>
                    </w:rPr>
                    <w:t>新建</w:t>
                  </w:r>
                </w:p>
              </w:tc>
            </w:tr>
            <w:tr w14:paraId="3867A42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12A223E1">
                  <w:pPr>
                    <w:widowControl/>
                    <w:jc w:val="left"/>
                    <w:rPr>
                      <w:rFonts w:hint="default" w:ascii="Times New Roman" w:hAnsi="Times New Roman" w:cs="Times New Roman"/>
                      <w:color w:val="auto"/>
                      <w:sz w:val="18"/>
                      <w:szCs w:val="18"/>
                    </w:rPr>
                  </w:pPr>
                </w:p>
              </w:tc>
              <w:tc>
                <w:tcPr>
                  <w:tcW w:w="1105" w:type="pct"/>
                  <w:gridSpan w:val="2"/>
                  <w:tcBorders>
                    <w:tl2br w:val="nil"/>
                    <w:tr2bl w:val="nil"/>
                  </w:tcBorders>
                  <w:vAlign w:val="center"/>
                </w:tcPr>
                <w:p w14:paraId="623888CF">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104雷管库（联建雷管发放间）</w:t>
                  </w:r>
                </w:p>
              </w:tc>
              <w:tc>
                <w:tcPr>
                  <w:tcW w:w="2778" w:type="pct"/>
                  <w:tcBorders>
                    <w:tl2br w:val="nil"/>
                    <w:tr2bl w:val="nil"/>
                  </w:tcBorders>
                  <w:vAlign w:val="center"/>
                </w:tcPr>
                <w:p w14:paraId="2DE567A2">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钢筋混凝土结构，尺寸为</w:t>
                  </w:r>
                  <w:r>
                    <w:rPr>
                      <w:rFonts w:hint="eastAsia" w:cs="Times New Roman"/>
                      <w:color w:val="auto"/>
                      <w:sz w:val="18"/>
                      <w:szCs w:val="18"/>
                      <w:vertAlign w:val="baseline"/>
                      <w:lang w:val="en-US" w:eastAsia="zh-CN"/>
                    </w:rPr>
                    <w:t>6.0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4.0</w:t>
                  </w:r>
                  <w:r>
                    <w:rPr>
                      <w:rFonts w:hint="default" w:ascii="Times New Roman" w:hAnsi="Times New Roman" w:cs="Times New Roman"/>
                      <w:color w:val="auto"/>
                      <w:sz w:val="18"/>
                      <w:szCs w:val="18"/>
                      <w:vertAlign w:val="baseline"/>
                    </w:rPr>
                    <w:t>m</w:t>
                  </w:r>
                  <w:r>
                    <w:rPr>
                      <w:rFonts w:hint="default" w:ascii="Arial" w:hAnsi="Arial" w:cs="Arial"/>
                      <w:color w:val="auto"/>
                      <w:sz w:val="18"/>
                      <w:szCs w:val="18"/>
                      <w:vertAlign w:val="baseline"/>
                    </w:rPr>
                    <w:t>×</w:t>
                  </w:r>
                  <w:r>
                    <w:rPr>
                      <w:rFonts w:hint="eastAsia" w:cs="Times New Roman"/>
                      <w:color w:val="auto"/>
                      <w:sz w:val="18"/>
                      <w:szCs w:val="18"/>
                      <w:vertAlign w:val="baseline"/>
                      <w:lang w:val="en-US" w:eastAsia="zh-CN"/>
                    </w:rPr>
                    <w:t>3.2</w:t>
                  </w:r>
                  <w:r>
                    <w:rPr>
                      <w:rFonts w:hint="default" w:ascii="Times New Roman" w:hAnsi="Times New Roman" w:cs="Times New Roman"/>
                      <w:color w:val="auto"/>
                      <w:sz w:val="18"/>
                      <w:szCs w:val="18"/>
                      <w:vertAlign w:val="baseline"/>
                    </w:rPr>
                    <w:t>m</w:t>
                  </w:r>
                  <w:r>
                    <w:rPr>
                      <w:rFonts w:hint="default" w:ascii="Times New Roman" w:hAnsi="Times New Roman" w:cs="Times New Roman"/>
                      <w:color w:val="auto"/>
                      <w:sz w:val="18"/>
                      <w:szCs w:val="18"/>
                    </w:rPr>
                    <w:t>，建筑面积</w:t>
                  </w:r>
                  <w:r>
                    <w:rPr>
                      <w:rFonts w:hint="eastAsia" w:cs="Times New Roman"/>
                      <w:color w:val="auto"/>
                      <w:sz w:val="18"/>
                      <w:szCs w:val="18"/>
                      <w:lang w:val="en-US" w:eastAsia="zh-CN"/>
                    </w:rPr>
                    <w:t>24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，设计储量为雷管容量</w:t>
                  </w:r>
                  <w:r>
                    <w:rPr>
                      <w:rFonts w:hint="eastAsia" w:cs="Times New Roman"/>
                      <w:color w:val="auto"/>
                      <w:sz w:val="18"/>
                      <w:szCs w:val="18"/>
                      <w:lang w:val="en-US" w:eastAsia="zh-CN"/>
                    </w:rPr>
                    <w:t>20000</w:t>
                  </w:r>
                  <w:r>
                    <w:rPr>
                      <w:rFonts w:hint="default" w:ascii="Times New Roman" w:hAnsi="Times New Roman" w:cs="Times New Roman"/>
                      <w:color w:val="auto"/>
                      <w:sz w:val="18"/>
                      <w:szCs w:val="18"/>
                    </w:rPr>
                    <w:t>发，技术要求符合《民用爆炸物品工程设计安全标准》</w:t>
                  </w:r>
                  <w:r>
                    <w:rPr>
                      <w:rFonts w:hint="eastAsia" w:cs="Times New Roman"/>
                      <w:color w:val="auto"/>
                      <w:sz w:val="18"/>
                      <w:szCs w:val="18"/>
                      <w:lang w:eastAsia="zh-CN"/>
                    </w:rPr>
                    <w:t>（</w:t>
                  </w:r>
                  <w:r>
                    <w:rPr>
                      <w:rFonts w:hint="default" w:ascii="Times New Roman" w:hAnsi="Times New Roman" w:cs="Times New Roman"/>
                      <w:color w:val="auto"/>
                      <w:sz w:val="18"/>
                      <w:szCs w:val="18"/>
                    </w:rPr>
                    <w:t>GB50089-2018</w:t>
                  </w:r>
                  <w:r>
                    <w:rPr>
                      <w:rFonts w:hint="eastAsia" w:cs="Times New Roman"/>
                      <w:color w:val="auto"/>
                      <w:sz w:val="18"/>
                      <w:szCs w:val="18"/>
                      <w:lang w:eastAsia="zh-CN"/>
                    </w:rPr>
                    <w:t>）</w:t>
                  </w:r>
                  <w:r>
                    <w:rPr>
                      <w:rFonts w:hint="default" w:ascii="Times New Roman" w:hAnsi="Times New Roman" w:cs="Times New Roman"/>
                      <w:color w:val="auto"/>
                      <w:sz w:val="18"/>
                      <w:szCs w:val="18"/>
                    </w:rPr>
                    <w:t>的规定。</w:t>
                  </w:r>
                </w:p>
              </w:tc>
              <w:tc>
                <w:tcPr>
                  <w:tcW w:w="449" w:type="pct"/>
                  <w:tcBorders>
                    <w:tl2br w:val="nil"/>
                    <w:tr2bl w:val="nil"/>
                  </w:tcBorders>
                  <w:vAlign w:val="center"/>
                </w:tcPr>
                <w:p w14:paraId="54C5840C">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新建</w:t>
                  </w:r>
                </w:p>
              </w:tc>
            </w:tr>
            <w:tr w14:paraId="65DDA0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restart"/>
                  <w:tcBorders>
                    <w:tl2br w:val="nil"/>
                    <w:tr2bl w:val="nil"/>
                  </w:tcBorders>
                  <w:vAlign w:val="center"/>
                </w:tcPr>
                <w:p w14:paraId="7B11B6FF">
                  <w:pPr>
                    <w:jc w:val="center"/>
                    <w:rPr>
                      <w:rFonts w:hint="default" w:cs="Times New Roman"/>
                      <w:color w:val="auto"/>
                      <w:sz w:val="18"/>
                      <w:szCs w:val="18"/>
                      <w:lang w:val="en-US" w:eastAsia="zh-CN"/>
                    </w:rPr>
                  </w:pPr>
                  <w:r>
                    <w:rPr>
                      <w:rFonts w:hint="default" w:cs="Times New Roman"/>
                      <w:color w:val="auto"/>
                      <w:sz w:val="18"/>
                      <w:szCs w:val="18"/>
                      <w:lang w:val="en-US" w:eastAsia="zh-CN"/>
                    </w:rPr>
                    <w:t>辅助工程</w:t>
                  </w:r>
                </w:p>
              </w:tc>
              <w:tc>
                <w:tcPr>
                  <w:tcW w:w="1105" w:type="pct"/>
                  <w:gridSpan w:val="2"/>
                  <w:tcBorders>
                    <w:tl2br w:val="nil"/>
                    <w:tr2bl w:val="nil"/>
                  </w:tcBorders>
                  <w:vAlign w:val="center"/>
                </w:tcPr>
                <w:p w14:paraId="71A6495F">
                  <w:pPr>
                    <w:jc w:val="center"/>
                    <w:rPr>
                      <w:rFonts w:hint="default" w:cs="Times New Roman"/>
                      <w:color w:val="auto"/>
                      <w:sz w:val="18"/>
                      <w:szCs w:val="18"/>
                      <w:lang w:val="en-US" w:eastAsia="zh-CN"/>
                    </w:rPr>
                  </w:pPr>
                  <w:r>
                    <w:rPr>
                      <w:rFonts w:hint="eastAsia" w:cs="Times New Roman"/>
                      <w:color w:val="auto"/>
                      <w:sz w:val="18"/>
                      <w:szCs w:val="18"/>
                      <w:lang w:val="en-US" w:eastAsia="zh-CN"/>
                    </w:rPr>
                    <w:t>消防水池</w:t>
                  </w:r>
                </w:p>
              </w:tc>
              <w:tc>
                <w:tcPr>
                  <w:tcW w:w="2778" w:type="pct"/>
                  <w:tcBorders>
                    <w:tl2br w:val="nil"/>
                    <w:tr2bl w:val="nil"/>
                  </w:tcBorders>
                  <w:vAlign w:val="center"/>
                </w:tcPr>
                <w:p w14:paraId="1359C1B8">
                  <w:pPr>
                    <w:ind w:firstLine="360" w:firstLineChars="200"/>
                    <w:rPr>
                      <w:rFonts w:hint="eastAsia" w:cs="Times New Roman"/>
                      <w:color w:val="auto"/>
                      <w:sz w:val="18"/>
                      <w:szCs w:val="18"/>
                      <w:lang w:val="en-US" w:eastAsia="zh-CN"/>
                    </w:rPr>
                  </w:pPr>
                  <w:r>
                    <w:rPr>
                      <w:rFonts w:hint="default" w:cs="Times New Roman"/>
                      <w:color w:val="auto"/>
                      <w:sz w:val="18"/>
                      <w:szCs w:val="18"/>
                      <w:lang w:val="en-US" w:eastAsia="zh-CN"/>
                    </w:rPr>
                    <w:t>1座，钢混结构，尺寸为</w:t>
                  </w:r>
                  <w:r>
                    <w:rPr>
                      <w:rFonts w:hint="eastAsia" w:cs="Times New Roman"/>
                      <w:color w:val="auto"/>
                      <w:sz w:val="18"/>
                      <w:szCs w:val="18"/>
                      <w:lang w:val="en-US" w:eastAsia="zh-CN"/>
                    </w:rPr>
                    <w:t>4.0</w:t>
                  </w:r>
                  <w:r>
                    <w:rPr>
                      <w:rFonts w:hint="default" w:cs="Times New Roman"/>
                      <w:color w:val="auto"/>
                      <w:sz w:val="18"/>
                      <w:szCs w:val="18"/>
                      <w:lang w:val="en-US" w:eastAsia="zh-CN"/>
                    </w:rPr>
                    <w:t>m×</w:t>
                  </w:r>
                  <w:r>
                    <w:rPr>
                      <w:rFonts w:hint="eastAsia" w:cs="Times New Roman"/>
                      <w:color w:val="auto"/>
                      <w:sz w:val="18"/>
                      <w:szCs w:val="18"/>
                      <w:lang w:val="en-US" w:eastAsia="zh-CN"/>
                    </w:rPr>
                    <w:t>3.0</w:t>
                  </w:r>
                  <w:r>
                    <w:rPr>
                      <w:rFonts w:hint="default" w:cs="Times New Roman"/>
                      <w:color w:val="auto"/>
                      <w:sz w:val="18"/>
                      <w:szCs w:val="18"/>
                      <w:lang w:val="en-US" w:eastAsia="zh-CN"/>
                    </w:rPr>
                    <w:t>m×</w:t>
                  </w:r>
                  <w:r>
                    <w:rPr>
                      <w:rFonts w:hint="eastAsia" w:cs="Times New Roman"/>
                      <w:color w:val="auto"/>
                      <w:sz w:val="18"/>
                      <w:szCs w:val="18"/>
                      <w:lang w:val="en-US" w:eastAsia="zh-CN"/>
                    </w:rPr>
                    <w:t>1.5</w:t>
                  </w:r>
                  <w:r>
                    <w:rPr>
                      <w:rFonts w:hint="default" w:cs="Times New Roman"/>
                      <w:color w:val="auto"/>
                      <w:sz w:val="18"/>
                      <w:szCs w:val="18"/>
                      <w:lang w:val="en-US" w:eastAsia="zh-CN"/>
                    </w:rPr>
                    <w:t>m，有效容积为</w:t>
                  </w:r>
                  <w:r>
                    <w:rPr>
                      <w:rFonts w:hint="eastAsia" w:cs="Times New Roman"/>
                      <w:color w:val="auto"/>
                      <w:sz w:val="18"/>
                      <w:szCs w:val="18"/>
                      <w:lang w:val="en-US" w:eastAsia="zh-CN"/>
                    </w:rPr>
                    <w:t>18</w:t>
                  </w:r>
                  <w:r>
                    <w:rPr>
                      <w:rFonts w:hint="default" w:cs="Times New Roman"/>
                      <w:color w:val="auto"/>
                      <w:sz w:val="18"/>
                      <w:szCs w:val="18"/>
                      <w:lang w:val="en-US" w:eastAsia="zh-CN"/>
                    </w:rPr>
                    <w:t>m</w:t>
                  </w:r>
                  <w:r>
                    <w:rPr>
                      <w:rFonts w:hint="default" w:cs="Times New Roman"/>
                      <w:color w:val="auto"/>
                      <w:sz w:val="18"/>
                      <w:szCs w:val="18"/>
                      <w:vertAlign w:val="superscript"/>
                      <w:lang w:val="en-US" w:eastAsia="zh-CN"/>
                    </w:rPr>
                    <w:t>3</w:t>
                  </w:r>
                  <w:r>
                    <w:rPr>
                      <w:rFonts w:hint="eastAsia" w:cs="Times New Roman"/>
                      <w:color w:val="auto"/>
                      <w:sz w:val="18"/>
                      <w:szCs w:val="18"/>
                      <w:lang w:val="en-US" w:eastAsia="zh-CN"/>
                    </w:rPr>
                    <w:t>。</w:t>
                  </w:r>
                </w:p>
              </w:tc>
              <w:tc>
                <w:tcPr>
                  <w:tcW w:w="449" w:type="pct"/>
                  <w:tcBorders>
                    <w:tl2br w:val="nil"/>
                    <w:tr2bl w:val="nil"/>
                  </w:tcBorders>
                  <w:vAlign w:val="center"/>
                </w:tcPr>
                <w:p w14:paraId="75695B39">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595D719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02606638">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2049308A">
                  <w:pPr>
                    <w:jc w:val="center"/>
                    <w:rPr>
                      <w:rFonts w:hint="default" w:cs="Times New Roman"/>
                      <w:color w:val="auto"/>
                      <w:sz w:val="18"/>
                      <w:szCs w:val="18"/>
                      <w:lang w:val="en-US" w:eastAsia="zh-CN"/>
                    </w:rPr>
                  </w:pPr>
                  <w:r>
                    <w:rPr>
                      <w:rFonts w:hint="eastAsia" w:cs="Times New Roman"/>
                      <w:color w:val="auto"/>
                      <w:sz w:val="18"/>
                      <w:szCs w:val="18"/>
                      <w:lang w:val="en-US" w:eastAsia="zh-CN"/>
                    </w:rPr>
                    <w:t>监控室、值班室</w:t>
                  </w:r>
                </w:p>
              </w:tc>
              <w:tc>
                <w:tcPr>
                  <w:tcW w:w="2778" w:type="pct"/>
                  <w:tcBorders>
                    <w:tl2br w:val="nil"/>
                    <w:tr2bl w:val="nil"/>
                  </w:tcBorders>
                  <w:vAlign w:val="center"/>
                </w:tcPr>
                <w:p w14:paraId="03EC4D31">
                  <w:pPr>
                    <w:ind w:firstLine="360" w:firstLineChars="200"/>
                    <w:rPr>
                      <w:rFonts w:hint="eastAsia" w:cs="Times New Roman"/>
                      <w:color w:val="auto"/>
                      <w:sz w:val="18"/>
                      <w:szCs w:val="18"/>
                      <w:lang w:val="en-US" w:eastAsia="zh-CN"/>
                    </w:rPr>
                  </w:pPr>
                  <w:r>
                    <w:rPr>
                      <w:rFonts w:hint="default" w:cs="Times New Roman"/>
                      <w:color w:val="auto"/>
                      <w:sz w:val="18"/>
                      <w:szCs w:val="18"/>
                      <w:lang w:val="en-US" w:eastAsia="zh-CN"/>
                    </w:rPr>
                    <w:t>单层砖混结构，尺寸为</w:t>
                  </w:r>
                  <w:r>
                    <w:rPr>
                      <w:rFonts w:hint="eastAsia" w:cs="Times New Roman"/>
                      <w:color w:val="auto"/>
                      <w:sz w:val="18"/>
                      <w:szCs w:val="18"/>
                      <w:lang w:val="en-US" w:eastAsia="zh-CN"/>
                    </w:rPr>
                    <w:t>6.0</w:t>
                  </w:r>
                  <w:r>
                    <w:rPr>
                      <w:rFonts w:hint="default" w:cs="Times New Roman"/>
                      <w:color w:val="auto"/>
                      <w:sz w:val="18"/>
                      <w:szCs w:val="18"/>
                      <w:lang w:val="en-US" w:eastAsia="zh-CN"/>
                    </w:rPr>
                    <w:t>m×</w:t>
                  </w:r>
                  <w:r>
                    <w:rPr>
                      <w:rFonts w:hint="eastAsia" w:cs="Times New Roman"/>
                      <w:color w:val="auto"/>
                      <w:sz w:val="18"/>
                      <w:szCs w:val="18"/>
                      <w:lang w:val="en-US" w:eastAsia="zh-CN"/>
                    </w:rPr>
                    <w:t>4.0</w:t>
                  </w:r>
                  <w:r>
                    <w:rPr>
                      <w:rFonts w:hint="default" w:cs="Times New Roman"/>
                      <w:color w:val="auto"/>
                      <w:sz w:val="18"/>
                      <w:szCs w:val="18"/>
                      <w:lang w:val="en-US" w:eastAsia="zh-CN"/>
                    </w:rPr>
                    <w:t>m×</w:t>
                  </w:r>
                  <w:r>
                    <w:rPr>
                      <w:rFonts w:hint="eastAsia" w:cs="Times New Roman"/>
                      <w:color w:val="auto"/>
                      <w:sz w:val="18"/>
                      <w:szCs w:val="18"/>
                      <w:lang w:val="en-US" w:eastAsia="zh-CN"/>
                    </w:rPr>
                    <w:t>3.2</w:t>
                  </w:r>
                  <w:r>
                    <w:rPr>
                      <w:rFonts w:hint="default" w:cs="Times New Roman"/>
                      <w:color w:val="auto"/>
                      <w:sz w:val="18"/>
                      <w:szCs w:val="18"/>
                      <w:lang w:val="en-US" w:eastAsia="zh-CN"/>
                    </w:rPr>
                    <w:t>m，建筑面积</w:t>
                  </w:r>
                  <w:r>
                    <w:rPr>
                      <w:rFonts w:hint="eastAsia" w:cs="Times New Roman"/>
                      <w:color w:val="auto"/>
                      <w:sz w:val="18"/>
                      <w:szCs w:val="18"/>
                      <w:lang w:val="en-US" w:eastAsia="zh-CN"/>
                    </w:rPr>
                    <w:t>24</w:t>
                  </w:r>
                  <w:r>
                    <w:rPr>
                      <w:rFonts w:hint="default" w:cs="Times New Roman"/>
                      <w:color w:val="auto"/>
                      <w:sz w:val="18"/>
                      <w:szCs w:val="18"/>
                      <w:lang w:val="en-US" w:eastAsia="zh-CN"/>
                    </w:rPr>
                    <w:t>m</w:t>
                  </w:r>
                  <w:r>
                    <w:rPr>
                      <w:rFonts w:hint="default" w:cs="Times New Roman"/>
                      <w:color w:val="auto"/>
                      <w:sz w:val="18"/>
                      <w:szCs w:val="18"/>
                      <w:vertAlign w:val="superscript"/>
                      <w:lang w:val="en-US" w:eastAsia="zh-CN"/>
                    </w:rPr>
                    <w:t>2</w:t>
                  </w:r>
                  <w:r>
                    <w:rPr>
                      <w:rFonts w:hint="eastAsia" w:cs="Times New Roman"/>
                      <w:color w:val="auto"/>
                      <w:sz w:val="18"/>
                      <w:szCs w:val="18"/>
                      <w:lang w:val="en-US" w:eastAsia="zh-CN"/>
                    </w:rPr>
                    <w:t>。</w:t>
                  </w:r>
                </w:p>
              </w:tc>
              <w:tc>
                <w:tcPr>
                  <w:tcW w:w="449" w:type="pct"/>
                  <w:tcBorders>
                    <w:tl2br w:val="nil"/>
                    <w:tr2bl w:val="nil"/>
                  </w:tcBorders>
                  <w:vAlign w:val="center"/>
                </w:tcPr>
                <w:p w14:paraId="440D9D6F">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2304DE5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70DC2FAE">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6062CA6B">
                  <w:pPr>
                    <w:jc w:val="center"/>
                    <w:rPr>
                      <w:rFonts w:hint="default" w:cs="Times New Roman"/>
                      <w:color w:val="auto"/>
                      <w:sz w:val="18"/>
                      <w:szCs w:val="18"/>
                      <w:lang w:val="en-US" w:eastAsia="zh-CN"/>
                    </w:rPr>
                  </w:pPr>
                  <w:r>
                    <w:rPr>
                      <w:rFonts w:hint="eastAsia" w:cs="Times New Roman"/>
                      <w:color w:val="auto"/>
                      <w:sz w:val="18"/>
                      <w:szCs w:val="18"/>
                      <w:lang w:val="en-US" w:eastAsia="zh-CN"/>
                    </w:rPr>
                    <w:t>库区道路</w:t>
                  </w:r>
                </w:p>
              </w:tc>
              <w:tc>
                <w:tcPr>
                  <w:tcW w:w="2778" w:type="pct"/>
                  <w:tcBorders>
                    <w:tl2br w:val="nil"/>
                    <w:tr2bl w:val="nil"/>
                  </w:tcBorders>
                  <w:vAlign w:val="center"/>
                </w:tcPr>
                <w:p w14:paraId="3E60CC31">
                  <w:pPr>
                    <w:ind w:firstLine="360" w:firstLineChars="200"/>
                    <w:rPr>
                      <w:rFonts w:hint="default" w:cs="Times New Roman"/>
                      <w:color w:val="auto"/>
                      <w:sz w:val="18"/>
                      <w:szCs w:val="18"/>
                      <w:lang w:val="en-US" w:eastAsia="zh-CN"/>
                    </w:rPr>
                  </w:pPr>
                  <w:r>
                    <w:rPr>
                      <w:rFonts w:hint="default" w:cs="Times New Roman"/>
                      <w:color w:val="auto"/>
                      <w:sz w:val="18"/>
                      <w:szCs w:val="18"/>
                      <w:lang w:val="en-US" w:eastAsia="zh-CN"/>
                    </w:rPr>
                    <w:t>库区内道路均为水泥道路，道路宽度为4.0m，进入炸药库、雷管库库房道路宽度为4.0m（库区大门4.0m）</w:t>
                  </w:r>
                  <w:r>
                    <w:rPr>
                      <w:rFonts w:hint="eastAsia" w:cs="Times New Roman"/>
                      <w:color w:val="auto"/>
                      <w:sz w:val="18"/>
                      <w:szCs w:val="18"/>
                      <w:lang w:val="en-US" w:eastAsia="zh-CN"/>
                    </w:rPr>
                    <w:t>。项目爆破器材的运输采用专用运输车进行运输。</w:t>
                  </w:r>
                </w:p>
              </w:tc>
              <w:tc>
                <w:tcPr>
                  <w:tcW w:w="449" w:type="pct"/>
                  <w:tcBorders>
                    <w:tl2br w:val="nil"/>
                    <w:tr2bl w:val="nil"/>
                  </w:tcBorders>
                  <w:vAlign w:val="center"/>
                </w:tcPr>
                <w:p w14:paraId="1E8658AE">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4280BDA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59C014DF">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65AD9AC2">
                  <w:pPr>
                    <w:jc w:val="center"/>
                    <w:rPr>
                      <w:rFonts w:hint="default" w:cs="Times New Roman"/>
                      <w:color w:val="auto"/>
                      <w:sz w:val="18"/>
                      <w:szCs w:val="18"/>
                      <w:lang w:val="en-US" w:eastAsia="zh-CN"/>
                    </w:rPr>
                  </w:pPr>
                  <w:r>
                    <w:rPr>
                      <w:rFonts w:hint="eastAsia" w:cs="Times New Roman"/>
                      <w:color w:val="auto"/>
                      <w:sz w:val="18"/>
                      <w:szCs w:val="18"/>
                      <w:lang w:val="en-US" w:eastAsia="zh-CN"/>
                    </w:rPr>
                    <w:t>防护土堤</w:t>
                  </w:r>
                </w:p>
              </w:tc>
              <w:tc>
                <w:tcPr>
                  <w:tcW w:w="2778" w:type="pct"/>
                  <w:tcBorders>
                    <w:tl2br w:val="nil"/>
                    <w:tr2bl w:val="nil"/>
                  </w:tcBorders>
                  <w:vAlign w:val="center"/>
                </w:tcPr>
                <w:p w14:paraId="7108D795">
                  <w:pPr>
                    <w:ind w:firstLine="360" w:firstLineChars="200"/>
                    <w:rPr>
                      <w:rFonts w:hint="eastAsia" w:cs="Times New Roman"/>
                      <w:color w:val="auto"/>
                      <w:sz w:val="18"/>
                      <w:szCs w:val="18"/>
                      <w:lang w:val="en-US" w:eastAsia="zh-CN"/>
                    </w:rPr>
                  </w:pPr>
                  <w:r>
                    <w:rPr>
                      <w:rFonts w:hint="default" w:cs="Times New Roman"/>
                      <w:color w:val="auto"/>
                      <w:sz w:val="18"/>
                      <w:szCs w:val="18"/>
                      <w:lang w:val="en-US" w:eastAsia="zh-CN"/>
                    </w:rPr>
                    <w:t>上宽1m，下宽</w:t>
                  </w:r>
                  <w:r>
                    <w:rPr>
                      <w:rFonts w:hint="eastAsia" w:cs="Times New Roman"/>
                      <w:color w:val="auto"/>
                      <w:sz w:val="18"/>
                      <w:szCs w:val="18"/>
                      <w:lang w:val="en-US" w:eastAsia="zh-CN"/>
                    </w:rPr>
                    <w:t>5.5</w:t>
                  </w:r>
                  <w:r>
                    <w:rPr>
                      <w:rFonts w:hint="default" w:cs="Times New Roman"/>
                      <w:color w:val="auto"/>
                      <w:sz w:val="18"/>
                      <w:szCs w:val="18"/>
                      <w:lang w:val="en-US" w:eastAsia="zh-CN"/>
                    </w:rPr>
                    <w:t>m，高3.6m，采用土填筑</w:t>
                  </w:r>
                  <w:r>
                    <w:rPr>
                      <w:rFonts w:hint="eastAsia" w:cs="Times New Roman"/>
                      <w:color w:val="auto"/>
                      <w:sz w:val="18"/>
                      <w:szCs w:val="18"/>
                      <w:lang w:val="en-US" w:eastAsia="zh-CN"/>
                    </w:rPr>
                    <w:t>。</w:t>
                  </w:r>
                </w:p>
              </w:tc>
              <w:tc>
                <w:tcPr>
                  <w:tcW w:w="449" w:type="pct"/>
                  <w:tcBorders>
                    <w:tl2br w:val="nil"/>
                    <w:tr2bl w:val="nil"/>
                  </w:tcBorders>
                  <w:vAlign w:val="center"/>
                </w:tcPr>
                <w:p w14:paraId="2D18385E">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1AF3A1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2A51E546">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5314558E">
                  <w:pPr>
                    <w:jc w:val="center"/>
                    <w:rPr>
                      <w:rFonts w:hint="default" w:cs="Times New Roman"/>
                      <w:color w:val="auto"/>
                      <w:sz w:val="18"/>
                      <w:szCs w:val="18"/>
                      <w:lang w:val="en-US" w:eastAsia="zh-CN"/>
                    </w:rPr>
                  </w:pPr>
                  <w:r>
                    <w:rPr>
                      <w:rFonts w:hint="eastAsia" w:cs="Times New Roman"/>
                      <w:color w:val="auto"/>
                      <w:sz w:val="18"/>
                      <w:szCs w:val="18"/>
                      <w:lang w:val="en-US" w:eastAsia="zh-CN"/>
                    </w:rPr>
                    <w:t>消防</w:t>
                  </w:r>
                </w:p>
              </w:tc>
              <w:tc>
                <w:tcPr>
                  <w:tcW w:w="2778" w:type="pct"/>
                  <w:tcBorders>
                    <w:tl2br w:val="nil"/>
                    <w:tr2bl w:val="nil"/>
                  </w:tcBorders>
                  <w:vAlign w:val="center"/>
                </w:tcPr>
                <w:p w14:paraId="197AACF3">
                  <w:pPr>
                    <w:ind w:firstLine="360" w:firstLineChars="200"/>
                    <w:rPr>
                      <w:rFonts w:hint="eastAsia" w:cs="Times New Roman"/>
                      <w:color w:val="auto"/>
                      <w:sz w:val="18"/>
                      <w:szCs w:val="18"/>
                      <w:lang w:val="en-US" w:eastAsia="zh-CN"/>
                    </w:rPr>
                  </w:pPr>
                  <w:r>
                    <w:rPr>
                      <w:rFonts w:hint="default" w:cs="Times New Roman"/>
                      <w:color w:val="auto"/>
                      <w:sz w:val="18"/>
                      <w:szCs w:val="18"/>
                      <w:lang w:val="en-US" w:eastAsia="zh-CN"/>
                    </w:rPr>
                    <w:t>厂区内外按消防要求设置消防设施</w:t>
                  </w:r>
                  <w:r>
                    <w:rPr>
                      <w:rFonts w:hint="eastAsia" w:cs="Times New Roman"/>
                      <w:color w:val="auto"/>
                      <w:sz w:val="18"/>
                      <w:szCs w:val="18"/>
                      <w:lang w:val="en-US" w:eastAsia="zh-CN"/>
                    </w:rPr>
                    <w:t>。</w:t>
                  </w:r>
                </w:p>
              </w:tc>
              <w:tc>
                <w:tcPr>
                  <w:tcW w:w="449" w:type="pct"/>
                  <w:tcBorders>
                    <w:tl2br w:val="nil"/>
                    <w:tr2bl w:val="nil"/>
                  </w:tcBorders>
                  <w:vAlign w:val="center"/>
                </w:tcPr>
                <w:p w14:paraId="288D3FB4">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356F78C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763F2728">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62616326">
                  <w:pPr>
                    <w:jc w:val="center"/>
                    <w:rPr>
                      <w:rFonts w:hint="default" w:cs="Times New Roman"/>
                      <w:color w:val="auto"/>
                      <w:sz w:val="18"/>
                      <w:szCs w:val="18"/>
                      <w:lang w:val="en-US" w:eastAsia="zh-CN"/>
                    </w:rPr>
                  </w:pPr>
                  <w:r>
                    <w:rPr>
                      <w:rFonts w:hint="eastAsia" w:cs="Times New Roman"/>
                      <w:color w:val="auto"/>
                      <w:sz w:val="18"/>
                      <w:szCs w:val="18"/>
                      <w:lang w:val="en-US" w:eastAsia="zh-CN"/>
                    </w:rPr>
                    <w:t>防雷电</w:t>
                  </w:r>
                </w:p>
              </w:tc>
              <w:tc>
                <w:tcPr>
                  <w:tcW w:w="2778" w:type="pct"/>
                  <w:tcBorders>
                    <w:tl2br w:val="nil"/>
                    <w:tr2bl w:val="nil"/>
                  </w:tcBorders>
                  <w:vAlign w:val="center"/>
                </w:tcPr>
                <w:p w14:paraId="70CBDF7A">
                  <w:pPr>
                    <w:ind w:firstLine="360" w:firstLineChars="200"/>
                    <w:rPr>
                      <w:rFonts w:hint="default" w:cs="Times New Roman"/>
                      <w:color w:val="auto"/>
                      <w:sz w:val="18"/>
                      <w:szCs w:val="18"/>
                      <w:lang w:val="en-US" w:eastAsia="zh-CN"/>
                    </w:rPr>
                  </w:pPr>
                  <w:r>
                    <w:rPr>
                      <w:rFonts w:hint="default" w:cs="Times New Roman"/>
                      <w:color w:val="auto"/>
                      <w:sz w:val="18"/>
                      <w:szCs w:val="18"/>
                      <w:lang w:val="en-US" w:eastAsia="zh-CN"/>
                    </w:rPr>
                    <w:t>厂区四周安装避雷针</w:t>
                  </w:r>
                  <w:r>
                    <w:rPr>
                      <w:rFonts w:hint="eastAsia" w:cs="Times New Roman"/>
                      <w:color w:val="auto"/>
                      <w:sz w:val="18"/>
                      <w:szCs w:val="18"/>
                      <w:lang w:val="en-US" w:eastAsia="zh-CN"/>
                    </w:rPr>
                    <w:t>。</w:t>
                  </w:r>
                </w:p>
              </w:tc>
              <w:tc>
                <w:tcPr>
                  <w:tcW w:w="449" w:type="pct"/>
                  <w:tcBorders>
                    <w:tl2br w:val="nil"/>
                    <w:tr2bl w:val="nil"/>
                  </w:tcBorders>
                  <w:vAlign w:val="center"/>
                </w:tcPr>
                <w:p w14:paraId="529FF060">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5BDE4EB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01717162">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2F4B19D0">
                  <w:pPr>
                    <w:jc w:val="center"/>
                    <w:rPr>
                      <w:rFonts w:hint="default" w:cs="Times New Roman"/>
                      <w:color w:val="auto"/>
                      <w:sz w:val="18"/>
                      <w:szCs w:val="18"/>
                      <w:lang w:val="en-US" w:eastAsia="zh-CN"/>
                    </w:rPr>
                  </w:pPr>
                  <w:r>
                    <w:rPr>
                      <w:rFonts w:hint="eastAsia" w:cs="Times New Roman"/>
                      <w:color w:val="auto"/>
                      <w:sz w:val="18"/>
                      <w:szCs w:val="18"/>
                      <w:lang w:val="en-US" w:eastAsia="zh-CN"/>
                    </w:rPr>
                    <w:t>雨水</w:t>
                  </w:r>
                </w:p>
              </w:tc>
              <w:tc>
                <w:tcPr>
                  <w:tcW w:w="2778" w:type="pct"/>
                  <w:tcBorders>
                    <w:tl2br w:val="nil"/>
                    <w:tr2bl w:val="nil"/>
                  </w:tcBorders>
                  <w:vAlign w:val="center"/>
                </w:tcPr>
                <w:p w14:paraId="6EB6FFD8">
                  <w:pPr>
                    <w:ind w:firstLine="360" w:firstLineChars="200"/>
                    <w:rPr>
                      <w:rFonts w:hint="default" w:cs="Times New Roman"/>
                      <w:color w:val="auto"/>
                      <w:sz w:val="18"/>
                      <w:szCs w:val="18"/>
                      <w:lang w:val="en-US" w:eastAsia="zh-CN"/>
                    </w:rPr>
                  </w:pPr>
                  <w:r>
                    <w:rPr>
                      <w:rFonts w:hint="default" w:cs="Times New Roman"/>
                      <w:color w:val="auto"/>
                      <w:sz w:val="18"/>
                      <w:szCs w:val="18"/>
                      <w:lang w:val="en-US" w:eastAsia="zh-CN"/>
                    </w:rPr>
                    <w:t>厂区四周新建排水沟，将雨水排出厂区。</w:t>
                  </w:r>
                </w:p>
              </w:tc>
              <w:tc>
                <w:tcPr>
                  <w:tcW w:w="449" w:type="pct"/>
                  <w:tcBorders>
                    <w:tl2br w:val="nil"/>
                    <w:tr2bl w:val="nil"/>
                  </w:tcBorders>
                  <w:vAlign w:val="center"/>
                </w:tcPr>
                <w:p w14:paraId="2F94005A">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5097E9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restart"/>
                  <w:tcBorders>
                    <w:tl2br w:val="nil"/>
                    <w:tr2bl w:val="nil"/>
                  </w:tcBorders>
                  <w:vAlign w:val="center"/>
                </w:tcPr>
                <w:p w14:paraId="7A7FA4E3">
                  <w:pPr>
                    <w:jc w:val="center"/>
                    <w:rPr>
                      <w:rFonts w:hint="default" w:cs="Times New Roman"/>
                      <w:color w:val="auto"/>
                      <w:sz w:val="18"/>
                      <w:szCs w:val="18"/>
                      <w:lang w:val="en-US" w:eastAsia="zh-CN"/>
                    </w:rPr>
                  </w:pPr>
                  <w:r>
                    <w:rPr>
                      <w:rFonts w:hint="default" w:cs="Times New Roman"/>
                      <w:color w:val="auto"/>
                      <w:sz w:val="18"/>
                      <w:szCs w:val="18"/>
                      <w:lang w:val="en-US" w:eastAsia="zh-CN"/>
                    </w:rPr>
                    <w:t>公用工程</w:t>
                  </w:r>
                </w:p>
              </w:tc>
              <w:tc>
                <w:tcPr>
                  <w:tcW w:w="1105" w:type="pct"/>
                  <w:gridSpan w:val="2"/>
                  <w:tcBorders>
                    <w:tl2br w:val="nil"/>
                    <w:tr2bl w:val="nil"/>
                  </w:tcBorders>
                  <w:vAlign w:val="center"/>
                </w:tcPr>
                <w:p w14:paraId="0DE59ED1">
                  <w:pPr>
                    <w:jc w:val="center"/>
                    <w:rPr>
                      <w:rFonts w:hint="eastAsia" w:cs="Times New Roman"/>
                      <w:color w:val="auto"/>
                      <w:sz w:val="18"/>
                      <w:szCs w:val="18"/>
                      <w:lang w:val="en-US" w:eastAsia="zh-CN"/>
                    </w:rPr>
                  </w:pPr>
                  <w:r>
                    <w:rPr>
                      <w:rFonts w:hint="eastAsia" w:cs="Times New Roman"/>
                      <w:color w:val="auto"/>
                      <w:sz w:val="18"/>
                      <w:szCs w:val="18"/>
                      <w:lang w:val="en-US" w:eastAsia="zh-CN"/>
                    </w:rPr>
                    <w:t>供水</w:t>
                  </w:r>
                </w:p>
              </w:tc>
              <w:tc>
                <w:tcPr>
                  <w:tcW w:w="2778" w:type="pct"/>
                  <w:tcBorders>
                    <w:tl2br w:val="nil"/>
                    <w:tr2bl w:val="nil"/>
                  </w:tcBorders>
                  <w:vAlign w:val="center"/>
                </w:tcPr>
                <w:p w14:paraId="3D0A5F43">
                  <w:pPr>
                    <w:ind w:firstLine="360" w:firstLineChars="200"/>
                    <w:rPr>
                      <w:rFonts w:hint="default" w:cs="Times New Roman"/>
                      <w:color w:val="auto"/>
                      <w:sz w:val="18"/>
                      <w:szCs w:val="18"/>
                      <w:lang w:val="en-US" w:eastAsia="zh-CN"/>
                    </w:rPr>
                  </w:pPr>
                  <w:r>
                    <w:rPr>
                      <w:rFonts w:hint="eastAsia" w:cs="Times New Roman"/>
                      <w:color w:val="auto"/>
                      <w:sz w:val="18"/>
                      <w:szCs w:val="18"/>
                      <w:lang w:val="en-US" w:eastAsia="zh-CN"/>
                    </w:rPr>
                    <w:t>从项目区旁的矿山现有供水系统接入。</w:t>
                  </w:r>
                </w:p>
              </w:tc>
              <w:tc>
                <w:tcPr>
                  <w:tcW w:w="449" w:type="pct"/>
                  <w:tcBorders>
                    <w:tl2br w:val="nil"/>
                    <w:tr2bl w:val="nil"/>
                  </w:tcBorders>
                  <w:vAlign w:val="center"/>
                </w:tcPr>
                <w:p w14:paraId="51F5750A">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33CAC23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6EE40BC3">
                  <w:pPr>
                    <w:jc w:val="center"/>
                    <w:rPr>
                      <w:rFonts w:hint="default" w:cs="Times New Roman"/>
                      <w:color w:val="auto"/>
                      <w:sz w:val="18"/>
                      <w:szCs w:val="18"/>
                      <w:lang w:val="en-US" w:eastAsia="zh-CN"/>
                    </w:rPr>
                  </w:pPr>
                </w:p>
              </w:tc>
              <w:tc>
                <w:tcPr>
                  <w:tcW w:w="1105" w:type="pct"/>
                  <w:gridSpan w:val="2"/>
                  <w:tcBorders>
                    <w:tl2br w:val="nil"/>
                    <w:tr2bl w:val="nil"/>
                  </w:tcBorders>
                  <w:vAlign w:val="center"/>
                </w:tcPr>
                <w:p w14:paraId="3DA42503">
                  <w:pPr>
                    <w:jc w:val="center"/>
                    <w:rPr>
                      <w:rFonts w:hint="eastAsia" w:cs="Times New Roman"/>
                      <w:color w:val="auto"/>
                      <w:sz w:val="18"/>
                      <w:szCs w:val="18"/>
                      <w:lang w:val="en-US" w:eastAsia="zh-CN"/>
                    </w:rPr>
                  </w:pPr>
                  <w:r>
                    <w:rPr>
                      <w:rFonts w:hint="eastAsia" w:cs="Times New Roman"/>
                      <w:color w:val="auto"/>
                      <w:sz w:val="18"/>
                      <w:szCs w:val="18"/>
                      <w:lang w:val="en-US" w:eastAsia="zh-CN"/>
                    </w:rPr>
                    <w:t>供电</w:t>
                  </w:r>
                </w:p>
              </w:tc>
              <w:tc>
                <w:tcPr>
                  <w:tcW w:w="2778" w:type="pct"/>
                  <w:tcBorders>
                    <w:tl2br w:val="nil"/>
                    <w:tr2bl w:val="nil"/>
                  </w:tcBorders>
                  <w:vAlign w:val="center"/>
                </w:tcPr>
                <w:p w14:paraId="5D2CB097">
                  <w:pPr>
                    <w:ind w:firstLine="360" w:firstLineChars="200"/>
                    <w:rPr>
                      <w:rFonts w:hint="default" w:cs="Times New Roman"/>
                      <w:color w:val="auto"/>
                      <w:sz w:val="18"/>
                      <w:szCs w:val="18"/>
                      <w:lang w:val="en-US" w:eastAsia="zh-CN"/>
                    </w:rPr>
                  </w:pPr>
                  <w:r>
                    <w:rPr>
                      <w:rFonts w:hint="eastAsia" w:cs="Times New Roman"/>
                      <w:color w:val="auto"/>
                      <w:sz w:val="18"/>
                      <w:szCs w:val="18"/>
                      <w:lang w:val="en-US" w:eastAsia="zh-CN"/>
                    </w:rPr>
                    <w:t>炸药库的电气危险场所类别为F0类，雷管库的电气危险场所类别为F1类，各仓库内不应设置电气照明及其他电气设施；宜采用自然光照明或在库外安设投射照明灯，当采用库外安设投射照明灯时：电气设备及电线的设置与敷设应符合GB50089-2018的规定。</w:t>
                  </w:r>
                </w:p>
              </w:tc>
              <w:tc>
                <w:tcPr>
                  <w:tcW w:w="449" w:type="pct"/>
                  <w:tcBorders>
                    <w:tl2br w:val="nil"/>
                    <w:tr2bl w:val="nil"/>
                  </w:tcBorders>
                  <w:vAlign w:val="center"/>
                </w:tcPr>
                <w:p w14:paraId="167F7C28">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4E835D1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restart"/>
                  <w:tcBorders>
                    <w:tl2br w:val="nil"/>
                    <w:tr2bl w:val="nil"/>
                  </w:tcBorders>
                  <w:vAlign w:val="center"/>
                </w:tcPr>
                <w:p w14:paraId="5405710B">
                  <w:pPr>
                    <w:jc w:val="center"/>
                    <w:rPr>
                      <w:rFonts w:hint="default" w:cs="Times New Roman"/>
                      <w:color w:val="auto"/>
                      <w:sz w:val="18"/>
                      <w:szCs w:val="18"/>
                      <w:lang w:val="en-US" w:eastAsia="zh-CN"/>
                    </w:rPr>
                  </w:pPr>
                  <w:r>
                    <w:rPr>
                      <w:rFonts w:hint="default" w:cs="Times New Roman"/>
                      <w:color w:val="auto"/>
                      <w:sz w:val="18"/>
                      <w:szCs w:val="18"/>
                      <w:lang w:val="en-US" w:eastAsia="zh-CN"/>
                    </w:rPr>
                    <w:t>环保工程</w:t>
                  </w:r>
                </w:p>
              </w:tc>
              <w:tc>
                <w:tcPr>
                  <w:tcW w:w="369" w:type="pct"/>
                  <w:vMerge w:val="restart"/>
                  <w:tcBorders>
                    <w:right w:val="single" w:color="000000" w:sz="4" w:space="0"/>
                    <w:tl2br w:val="nil"/>
                    <w:tr2bl w:val="nil"/>
                  </w:tcBorders>
                  <w:vAlign w:val="center"/>
                </w:tcPr>
                <w:p w14:paraId="4D075269">
                  <w:pPr>
                    <w:jc w:val="center"/>
                    <w:rPr>
                      <w:rFonts w:hint="default" w:cs="Times New Roman"/>
                      <w:color w:val="auto"/>
                      <w:sz w:val="18"/>
                      <w:szCs w:val="18"/>
                      <w:lang w:val="en-US" w:eastAsia="zh-CN"/>
                    </w:rPr>
                  </w:pPr>
                  <w:r>
                    <w:rPr>
                      <w:rFonts w:hint="eastAsia" w:cs="Times New Roman"/>
                      <w:color w:val="auto"/>
                      <w:sz w:val="18"/>
                      <w:szCs w:val="18"/>
                      <w:lang w:val="en-US" w:eastAsia="zh-CN"/>
                    </w:rPr>
                    <w:t>废水</w:t>
                  </w:r>
                </w:p>
              </w:tc>
              <w:tc>
                <w:tcPr>
                  <w:tcW w:w="736" w:type="pct"/>
                  <w:tcBorders>
                    <w:left w:val="single" w:color="000000" w:sz="4" w:space="0"/>
                    <w:tl2br w:val="nil"/>
                    <w:tr2bl w:val="nil"/>
                  </w:tcBorders>
                  <w:vAlign w:val="center"/>
                </w:tcPr>
                <w:p w14:paraId="5157F9A4">
                  <w:pPr>
                    <w:jc w:val="center"/>
                    <w:rPr>
                      <w:rFonts w:hint="default" w:cs="Times New Roman"/>
                      <w:color w:val="auto"/>
                      <w:sz w:val="18"/>
                      <w:szCs w:val="18"/>
                      <w:lang w:val="en-US" w:eastAsia="zh-CN"/>
                    </w:rPr>
                  </w:pPr>
                  <w:r>
                    <w:rPr>
                      <w:rFonts w:hint="default" w:cs="Times New Roman"/>
                      <w:color w:val="auto"/>
                      <w:sz w:val="18"/>
                      <w:szCs w:val="18"/>
                      <w:lang w:val="en-US" w:eastAsia="zh-CN"/>
                    </w:rPr>
                    <w:t>初期雨水</w:t>
                  </w:r>
                </w:p>
              </w:tc>
              <w:tc>
                <w:tcPr>
                  <w:tcW w:w="2778" w:type="pct"/>
                  <w:tcBorders>
                    <w:tl2br w:val="nil"/>
                    <w:tr2bl w:val="nil"/>
                  </w:tcBorders>
                  <w:shd w:val="clear" w:color="auto" w:fill="auto"/>
                  <w:vAlign w:val="center"/>
                </w:tcPr>
                <w:p w14:paraId="5343BE7B">
                  <w:pPr>
                    <w:ind w:firstLine="360" w:firstLineChars="200"/>
                    <w:rPr>
                      <w:rFonts w:hint="default" w:cs="Times New Roman"/>
                      <w:color w:val="auto"/>
                      <w:sz w:val="18"/>
                      <w:szCs w:val="18"/>
                      <w:lang w:val="en-US" w:eastAsia="zh-CN"/>
                    </w:rPr>
                  </w:pPr>
                  <w:r>
                    <w:rPr>
                      <w:rFonts w:hint="eastAsia" w:cs="Times New Roman"/>
                      <w:color w:val="auto"/>
                      <w:sz w:val="18"/>
                      <w:szCs w:val="18"/>
                      <w:lang w:val="en-US" w:eastAsia="zh-CN"/>
                    </w:rPr>
                    <w:t>排水沟：宽0.4m、深0.15m。</w:t>
                  </w:r>
                </w:p>
              </w:tc>
              <w:tc>
                <w:tcPr>
                  <w:tcW w:w="449" w:type="pct"/>
                  <w:tcBorders>
                    <w:tl2br w:val="nil"/>
                    <w:tr2bl w:val="nil"/>
                  </w:tcBorders>
                  <w:shd w:val="clear" w:color="auto" w:fill="auto"/>
                  <w:vAlign w:val="center"/>
                </w:tcPr>
                <w:p w14:paraId="00D692F3">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5799B9C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2EC482D1">
                  <w:pPr>
                    <w:jc w:val="center"/>
                    <w:rPr>
                      <w:rFonts w:hint="default" w:cs="Times New Roman"/>
                      <w:color w:val="auto"/>
                      <w:sz w:val="18"/>
                      <w:szCs w:val="18"/>
                      <w:lang w:val="en-US" w:eastAsia="zh-CN"/>
                    </w:rPr>
                  </w:pPr>
                </w:p>
              </w:tc>
              <w:tc>
                <w:tcPr>
                  <w:tcW w:w="369" w:type="pct"/>
                  <w:vMerge w:val="continue"/>
                  <w:tcBorders>
                    <w:right w:val="single" w:color="000000" w:sz="4" w:space="0"/>
                    <w:tl2br w:val="nil"/>
                    <w:tr2bl w:val="nil"/>
                  </w:tcBorders>
                  <w:vAlign w:val="center"/>
                </w:tcPr>
                <w:p w14:paraId="08539392">
                  <w:pPr>
                    <w:jc w:val="center"/>
                    <w:rPr>
                      <w:rFonts w:hint="default" w:cs="Times New Roman"/>
                      <w:color w:val="auto"/>
                      <w:sz w:val="18"/>
                      <w:szCs w:val="18"/>
                      <w:lang w:val="en-US" w:eastAsia="zh-CN"/>
                    </w:rPr>
                  </w:pPr>
                </w:p>
              </w:tc>
              <w:tc>
                <w:tcPr>
                  <w:tcW w:w="736" w:type="pct"/>
                  <w:tcBorders>
                    <w:left w:val="single" w:color="000000" w:sz="4" w:space="0"/>
                    <w:tl2br w:val="nil"/>
                    <w:tr2bl w:val="nil"/>
                  </w:tcBorders>
                  <w:vAlign w:val="center"/>
                </w:tcPr>
                <w:p w14:paraId="39BA3C0F">
                  <w:pPr>
                    <w:jc w:val="center"/>
                    <w:rPr>
                      <w:rFonts w:hint="default" w:cs="Times New Roman"/>
                      <w:color w:val="auto"/>
                      <w:sz w:val="18"/>
                      <w:szCs w:val="18"/>
                      <w:lang w:val="en-US" w:eastAsia="zh-CN"/>
                    </w:rPr>
                  </w:pPr>
                  <w:r>
                    <w:rPr>
                      <w:rFonts w:hint="eastAsia" w:cs="Times New Roman"/>
                      <w:color w:val="auto"/>
                      <w:sz w:val="18"/>
                      <w:szCs w:val="18"/>
                      <w:lang w:val="en-US" w:eastAsia="zh-CN"/>
                    </w:rPr>
                    <w:t>生活污水</w:t>
                  </w:r>
                </w:p>
              </w:tc>
              <w:tc>
                <w:tcPr>
                  <w:tcW w:w="2778" w:type="pct"/>
                  <w:tcBorders>
                    <w:tl2br w:val="nil"/>
                    <w:tr2bl w:val="nil"/>
                  </w:tcBorders>
                  <w:shd w:val="clear" w:color="auto" w:fill="auto"/>
                  <w:vAlign w:val="center"/>
                </w:tcPr>
                <w:p w14:paraId="27C832F6">
                  <w:pPr>
                    <w:ind w:firstLine="360" w:firstLineChars="200"/>
                    <w:rPr>
                      <w:rFonts w:hint="default" w:cs="Times New Roman"/>
                      <w:color w:val="auto"/>
                      <w:sz w:val="18"/>
                      <w:szCs w:val="18"/>
                      <w:lang w:val="en-US" w:eastAsia="zh-CN"/>
                    </w:rPr>
                  </w:pPr>
                  <w:r>
                    <w:rPr>
                      <w:rFonts w:hint="eastAsia" w:cs="Times New Roman"/>
                      <w:color w:val="auto"/>
                      <w:sz w:val="18"/>
                      <w:szCs w:val="18"/>
                      <w:lang w:val="en-US" w:eastAsia="zh-CN"/>
                    </w:rPr>
                    <w:t>设置1个容积为5m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的化粪池收集后运至玉溪大红山矿业有限公司现有的生活污水处理站处理达《城市污水再生利用  城市杂用水水质》（GB/T18920-2020）表1中绿化、道路清扫标准限值要求后回用于矿山洒水降尘，不外排。</w:t>
                  </w:r>
                </w:p>
              </w:tc>
              <w:tc>
                <w:tcPr>
                  <w:tcW w:w="449" w:type="pct"/>
                  <w:tcBorders>
                    <w:tl2br w:val="nil"/>
                    <w:tr2bl w:val="nil"/>
                  </w:tcBorders>
                  <w:shd w:val="clear" w:color="auto" w:fill="auto"/>
                  <w:vAlign w:val="center"/>
                </w:tcPr>
                <w:p w14:paraId="1EBAFFBD">
                  <w:pPr>
                    <w:jc w:val="center"/>
                    <w:rPr>
                      <w:rFonts w:hint="eastAsia" w:cs="Times New Roman"/>
                      <w:color w:val="auto"/>
                      <w:sz w:val="18"/>
                      <w:szCs w:val="18"/>
                      <w:lang w:val="en-US" w:eastAsia="zh-CN"/>
                    </w:rPr>
                  </w:pPr>
                  <w:r>
                    <w:rPr>
                      <w:rFonts w:hint="eastAsia" w:cs="Times New Roman"/>
                      <w:color w:val="auto"/>
                      <w:sz w:val="18"/>
                      <w:szCs w:val="18"/>
                      <w:lang w:val="en-US" w:eastAsia="zh-CN"/>
                    </w:rPr>
                    <w:t>新建</w:t>
                  </w:r>
                </w:p>
              </w:tc>
            </w:tr>
            <w:tr w14:paraId="4532E0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59D65D4C">
                  <w:pPr>
                    <w:jc w:val="center"/>
                    <w:rPr>
                      <w:rFonts w:hint="default" w:cs="Times New Roman"/>
                      <w:color w:val="auto"/>
                      <w:sz w:val="18"/>
                      <w:szCs w:val="18"/>
                      <w:lang w:val="en-US" w:eastAsia="zh-CN"/>
                    </w:rPr>
                  </w:pPr>
                </w:p>
              </w:tc>
              <w:tc>
                <w:tcPr>
                  <w:tcW w:w="369" w:type="pct"/>
                  <w:vMerge w:val="restart"/>
                  <w:tcBorders>
                    <w:right w:val="single" w:color="000000" w:sz="4" w:space="0"/>
                    <w:tl2br w:val="nil"/>
                    <w:tr2bl w:val="nil"/>
                  </w:tcBorders>
                  <w:vAlign w:val="center"/>
                </w:tcPr>
                <w:p w14:paraId="529A15CA">
                  <w:pPr>
                    <w:jc w:val="center"/>
                    <w:rPr>
                      <w:rFonts w:hint="default" w:cs="Times New Roman"/>
                      <w:color w:val="auto"/>
                      <w:sz w:val="18"/>
                      <w:szCs w:val="18"/>
                      <w:lang w:val="en-US" w:eastAsia="zh-CN"/>
                    </w:rPr>
                  </w:pPr>
                  <w:r>
                    <w:rPr>
                      <w:rFonts w:hint="default" w:cs="Times New Roman"/>
                      <w:color w:val="auto"/>
                      <w:sz w:val="18"/>
                      <w:szCs w:val="18"/>
                      <w:lang w:val="en-US" w:eastAsia="zh-CN"/>
                    </w:rPr>
                    <w:t>固废</w:t>
                  </w:r>
                </w:p>
              </w:tc>
              <w:tc>
                <w:tcPr>
                  <w:tcW w:w="736" w:type="pct"/>
                  <w:tcBorders>
                    <w:left w:val="single" w:color="000000" w:sz="4" w:space="0"/>
                    <w:tl2br w:val="nil"/>
                    <w:tr2bl w:val="nil"/>
                  </w:tcBorders>
                  <w:vAlign w:val="center"/>
                </w:tcPr>
                <w:p w14:paraId="7C42CA69">
                  <w:pPr>
                    <w:jc w:val="center"/>
                    <w:rPr>
                      <w:rFonts w:hint="default" w:cs="Times New Roman"/>
                      <w:color w:val="auto"/>
                      <w:sz w:val="18"/>
                      <w:szCs w:val="18"/>
                      <w:lang w:val="en-US" w:eastAsia="zh-CN"/>
                    </w:rPr>
                  </w:pPr>
                  <w:r>
                    <w:rPr>
                      <w:rFonts w:hint="eastAsia" w:cs="Times New Roman"/>
                      <w:color w:val="auto"/>
                      <w:sz w:val="18"/>
                      <w:szCs w:val="18"/>
                      <w:lang w:val="en-US" w:eastAsia="zh-CN"/>
                    </w:rPr>
                    <w:t>废包装材料</w:t>
                  </w:r>
                </w:p>
              </w:tc>
              <w:tc>
                <w:tcPr>
                  <w:tcW w:w="2778" w:type="pct"/>
                  <w:tcBorders>
                    <w:tl2br w:val="nil"/>
                    <w:tr2bl w:val="nil"/>
                  </w:tcBorders>
                  <w:vAlign w:val="center"/>
                </w:tcPr>
                <w:p w14:paraId="295C0ACB">
                  <w:pPr>
                    <w:ind w:firstLine="360" w:firstLineChars="200"/>
                    <w:rPr>
                      <w:rFonts w:hint="default" w:cs="Times New Roman"/>
                      <w:color w:val="auto"/>
                      <w:sz w:val="18"/>
                      <w:szCs w:val="18"/>
                      <w:lang w:val="en-US" w:eastAsia="zh-CN"/>
                    </w:rPr>
                  </w:pPr>
                  <w:r>
                    <w:rPr>
                      <w:rFonts w:hint="default" w:cs="Times New Roman"/>
                      <w:color w:val="auto"/>
                      <w:sz w:val="18"/>
                      <w:szCs w:val="18"/>
                      <w:lang w:val="en-US" w:eastAsia="zh-CN"/>
                    </w:rPr>
                    <w:t>可回收的外售给废品收购站，不可回收的由环卫部门处置</w:t>
                  </w:r>
                  <w:r>
                    <w:rPr>
                      <w:rFonts w:hint="eastAsia" w:cs="Times New Roman"/>
                      <w:color w:val="auto"/>
                      <w:sz w:val="18"/>
                      <w:szCs w:val="18"/>
                      <w:lang w:val="en-US" w:eastAsia="zh-CN"/>
                    </w:rPr>
                    <w:t>。</w:t>
                  </w:r>
                </w:p>
              </w:tc>
              <w:tc>
                <w:tcPr>
                  <w:tcW w:w="449" w:type="pct"/>
                  <w:tcBorders>
                    <w:tl2br w:val="nil"/>
                    <w:tr2bl w:val="nil"/>
                  </w:tcBorders>
                  <w:vAlign w:val="center"/>
                </w:tcPr>
                <w:p w14:paraId="4B16CFE8">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6614F7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7C6BFD4E">
                  <w:pPr>
                    <w:widowControl/>
                    <w:jc w:val="left"/>
                    <w:rPr>
                      <w:rFonts w:hint="default" w:ascii="Times New Roman" w:hAnsi="Times New Roman" w:cs="Times New Roman"/>
                      <w:color w:val="auto"/>
                      <w:sz w:val="18"/>
                      <w:szCs w:val="18"/>
                    </w:rPr>
                  </w:pPr>
                </w:p>
              </w:tc>
              <w:tc>
                <w:tcPr>
                  <w:tcW w:w="369" w:type="pct"/>
                  <w:vMerge w:val="continue"/>
                  <w:tcBorders>
                    <w:right w:val="single" w:color="000000" w:sz="4" w:space="0"/>
                    <w:tl2br w:val="nil"/>
                    <w:tr2bl w:val="nil"/>
                  </w:tcBorders>
                  <w:vAlign w:val="center"/>
                </w:tcPr>
                <w:p w14:paraId="20A05AE2">
                  <w:pPr>
                    <w:jc w:val="center"/>
                    <w:rPr>
                      <w:rFonts w:hint="default" w:cs="Times New Roman"/>
                      <w:color w:val="auto"/>
                      <w:sz w:val="18"/>
                      <w:szCs w:val="18"/>
                      <w:lang w:val="en-US" w:eastAsia="zh-CN"/>
                    </w:rPr>
                  </w:pPr>
                </w:p>
              </w:tc>
              <w:tc>
                <w:tcPr>
                  <w:tcW w:w="736" w:type="pct"/>
                  <w:tcBorders>
                    <w:tl2br w:val="nil"/>
                    <w:tr2bl w:val="nil"/>
                  </w:tcBorders>
                  <w:vAlign w:val="center"/>
                </w:tcPr>
                <w:p w14:paraId="0B24681F">
                  <w:pPr>
                    <w:jc w:val="center"/>
                    <w:rPr>
                      <w:rFonts w:hint="default" w:cs="Times New Roman"/>
                      <w:color w:val="auto"/>
                      <w:sz w:val="18"/>
                      <w:szCs w:val="18"/>
                      <w:lang w:val="en-US" w:eastAsia="zh-CN"/>
                    </w:rPr>
                  </w:pPr>
                  <w:r>
                    <w:rPr>
                      <w:rFonts w:hint="default" w:cs="Times New Roman"/>
                      <w:color w:val="auto"/>
                      <w:sz w:val="18"/>
                      <w:szCs w:val="18"/>
                      <w:lang w:val="en-US" w:eastAsia="zh-CN"/>
                    </w:rPr>
                    <w:t>生活垃圾</w:t>
                  </w:r>
                </w:p>
              </w:tc>
              <w:tc>
                <w:tcPr>
                  <w:tcW w:w="2778" w:type="pct"/>
                  <w:tcBorders>
                    <w:tl2br w:val="nil"/>
                    <w:tr2bl w:val="nil"/>
                  </w:tcBorders>
                  <w:vAlign w:val="center"/>
                </w:tcPr>
                <w:p w14:paraId="04B6F6DB">
                  <w:pPr>
                    <w:ind w:firstLine="360" w:firstLineChars="200"/>
                    <w:rPr>
                      <w:rFonts w:hint="eastAsia" w:cs="Times New Roman"/>
                      <w:color w:val="auto"/>
                      <w:sz w:val="18"/>
                      <w:szCs w:val="18"/>
                      <w:lang w:val="en-US" w:eastAsia="zh-CN"/>
                    </w:rPr>
                  </w:pPr>
                  <w:r>
                    <w:rPr>
                      <w:rFonts w:hint="default" w:cs="Times New Roman"/>
                      <w:color w:val="auto"/>
                      <w:sz w:val="18"/>
                      <w:szCs w:val="18"/>
                      <w:lang w:val="en-US" w:eastAsia="zh-CN"/>
                    </w:rPr>
                    <w:t>设置可移动式垃圾桶，分类收集后统一运至</w:t>
                  </w:r>
                  <w:r>
                    <w:rPr>
                      <w:rFonts w:hint="eastAsia" w:cs="Times New Roman"/>
                      <w:color w:val="auto"/>
                      <w:sz w:val="18"/>
                      <w:szCs w:val="18"/>
                      <w:lang w:val="en-US" w:eastAsia="zh-CN"/>
                    </w:rPr>
                    <w:t>环卫</w:t>
                  </w:r>
                  <w:r>
                    <w:rPr>
                      <w:rFonts w:hint="default" w:cs="Times New Roman"/>
                      <w:color w:val="auto"/>
                      <w:sz w:val="18"/>
                      <w:szCs w:val="18"/>
                      <w:lang w:val="en-US" w:eastAsia="zh-CN"/>
                    </w:rPr>
                    <w:t>部门指定地点处理</w:t>
                  </w:r>
                  <w:r>
                    <w:rPr>
                      <w:rFonts w:hint="eastAsia" w:cs="Times New Roman"/>
                      <w:color w:val="auto"/>
                      <w:sz w:val="18"/>
                      <w:szCs w:val="18"/>
                      <w:lang w:val="en-US" w:eastAsia="zh-CN"/>
                    </w:rPr>
                    <w:t>。</w:t>
                  </w:r>
                </w:p>
              </w:tc>
              <w:tc>
                <w:tcPr>
                  <w:tcW w:w="449" w:type="pct"/>
                  <w:tcBorders>
                    <w:tl2br w:val="nil"/>
                    <w:tr2bl w:val="nil"/>
                  </w:tcBorders>
                  <w:vAlign w:val="center"/>
                </w:tcPr>
                <w:p w14:paraId="580793DD">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3DEF030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2A689F4E">
                  <w:pPr>
                    <w:widowControl/>
                    <w:jc w:val="left"/>
                    <w:rPr>
                      <w:rFonts w:hint="default" w:ascii="Times New Roman" w:hAnsi="Times New Roman" w:cs="Times New Roman"/>
                      <w:color w:val="auto"/>
                      <w:sz w:val="18"/>
                      <w:szCs w:val="18"/>
                    </w:rPr>
                  </w:pPr>
                </w:p>
              </w:tc>
              <w:tc>
                <w:tcPr>
                  <w:tcW w:w="369" w:type="pct"/>
                  <w:vMerge w:val="continue"/>
                  <w:tcBorders>
                    <w:right w:val="single" w:color="000000" w:sz="4" w:space="0"/>
                    <w:tl2br w:val="nil"/>
                    <w:tr2bl w:val="nil"/>
                  </w:tcBorders>
                  <w:vAlign w:val="center"/>
                </w:tcPr>
                <w:p w14:paraId="08FBF176">
                  <w:pPr>
                    <w:jc w:val="center"/>
                    <w:rPr>
                      <w:rFonts w:hint="default" w:cs="Times New Roman"/>
                      <w:color w:val="auto"/>
                      <w:sz w:val="18"/>
                      <w:szCs w:val="18"/>
                      <w:lang w:val="en-US" w:eastAsia="zh-CN"/>
                    </w:rPr>
                  </w:pPr>
                </w:p>
              </w:tc>
              <w:tc>
                <w:tcPr>
                  <w:tcW w:w="736" w:type="pct"/>
                  <w:tcBorders>
                    <w:tl2br w:val="nil"/>
                    <w:tr2bl w:val="nil"/>
                  </w:tcBorders>
                  <w:vAlign w:val="center"/>
                </w:tcPr>
                <w:p w14:paraId="0C877F68">
                  <w:pPr>
                    <w:jc w:val="center"/>
                    <w:rPr>
                      <w:rFonts w:hint="default" w:cs="Times New Roman"/>
                      <w:color w:val="auto"/>
                      <w:sz w:val="18"/>
                      <w:szCs w:val="18"/>
                      <w:highlight w:val="yellow"/>
                      <w:lang w:val="en-US" w:eastAsia="zh-CN"/>
                    </w:rPr>
                  </w:pPr>
                  <w:r>
                    <w:rPr>
                      <w:rFonts w:hint="default" w:cs="Times New Roman"/>
                      <w:color w:val="auto"/>
                      <w:sz w:val="18"/>
                      <w:szCs w:val="18"/>
                      <w:highlight w:val="none"/>
                      <w:lang w:val="en-US" w:eastAsia="zh-CN"/>
                    </w:rPr>
                    <w:t>化粪池</w:t>
                  </w:r>
                  <w:r>
                    <w:rPr>
                      <w:rFonts w:hint="eastAsia" w:cs="Times New Roman"/>
                      <w:color w:val="auto"/>
                      <w:sz w:val="18"/>
                      <w:szCs w:val="18"/>
                      <w:highlight w:val="none"/>
                      <w:lang w:val="en-US" w:eastAsia="zh-CN"/>
                    </w:rPr>
                    <w:t>污泥</w:t>
                  </w:r>
                </w:p>
              </w:tc>
              <w:tc>
                <w:tcPr>
                  <w:tcW w:w="2778" w:type="pct"/>
                  <w:tcBorders>
                    <w:tl2br w:val="nil"/>
                    <w:tr2bl w:val="nil"/>
                  </w:tcBorders>
                  <w:vAlign w:val="center"/>
                </w:tcPr>
                <w:p w14:paraId="0E8DAEAB">
                  <w:pPr>
                    <w:jc w:val="center"/>
                    <w:rPr>
                      <w:rFonts w:hint="eastAsia" w:cs="Times New Roman"/>
                      <w:color w:val="auto"/>
                      <w:sz w:val="18"/>
                      <w:szCs w:val="18"/>
                      <w:highlight w:val="yellow"/>
                      <w:lang w:val="en-US" w:eastAsia="zh-CN"/>
                    </w:rPr>
                  </w:pPr>
                  <w:r>
                    <w:rPr>
                      <w:rFonts w:hint="eastAsia" w:cs="Times New Roman"/>
                      <w:color w:val="auto"/>
                      <w:sz w:val="18"/>
                      <w:szCs w:val="18"/>
                      <w:lang w:val="en-US" w:eastAsia="zh-CN"/>
                    </w:rPr>
                    <w:t>定期清掏后委托周边村民清掏后作为农肥使用。</w:t>
                  </w:r>
                </w:p>
              </w:tc>
              <w:tc>
                <w:tcPr>
                  <w:tcW w:w="449" w:type="pct"/>
                  <w:tcBorders>
                    <w:tl2br w:val="nil"/>
                    <w:tr2bl w:val="nil"/>
                  </w:tcBorders>
                  <w:vAlign w:val="center"/>
                </w:tcPr>
                <w:p w14:paraId="088A5517">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7F2F3DF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705D55ED">
                  <w:pPr>
                    <w:widowControl/>
                    <w:jc w:val="left"/>
                    <w:rPr>
                      <w:rFonts w:hint="default" w:ascii="Times New Roman" w:hAnsi="Times New Roman" w:cs="Times New Roman"/>
                      <w:color w:val="auto"/>
                      <w:sz w:val="18"/>
                      <w:szCs w:val="18"/>
                    </w:rPr>
                  </w:pPr>
                </w:p>
              </w:tc>
              <w:tc>
                <w:tcPr>
                  <w:tcW w:w="369" w:type="pct"/>
                  <w:vMerge w:val="continue"/>
                  <w:tcBorders>
                    <w:right w:val="single" w:color="000000" w:sz="4" w:space="0"/>
                    <w:tl2br w:val="nil"/>
                    <w:tr2bl w:val="nil"/>
                  </w:tcBorders>
                  <w:vAlign w:val="center"/>
                </w:tcPr>
                <w:p w14:paraId="6C95BE55">
                  <w:pPr>
                    <w:jc w:val="center"/>
                    <w:rPr>
                      <w:rFonts w:hint="default" w:cs="Times New Roman"/>
                      <w:color w:val="auto"/>
                      <w:sz w:val="18"/>
                      <w:szCs w:val="18"/>
                      <w:lang w:val="en-US" w:eastAsia="zh-CN"/>
                    </w:rPr>
                  </w:pPr>
                </w:p>
              </w:tc>
              <w:tc>
                <w:tcPr>
                  <w:tcW w:w="736" w:type="pct"/>
                  <w:tcBorders>
                    <w:tl2br w:val="nil"/>
                    <w:tr2bl w:val="nil"/>
                  </w:tcBorders>
                  <w:vAlign w:val="center"/>
                </w:tcPr>
                <w:p w14:paraId="5663C117">
                  <w:pPr>
                    <w:jc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变质、失效及过期的爆破器材</w:t>
                  </w:r>
                </w:p>
              </w:tc>
              <w:tc>
                <w:tcPr>
                  <w:tcW w:w="2778" w:type="pct"/>
                  <w:tcBorders>
                    <w:tl2br w:val="nil"/>
                    <w:tr2bl w:val="nil"/>
                  </w:tcBorders>
                  <w:vAlign w:val="center"/>
                </w:tcPr>
                <w:p w14:paraId="66C5D663">
                  <w:pPr>
                    <w:jc w:val="center"/>
                    <w:rPr>
                      <w:rFonts w:hint="eastAsia" w:cs="Times New Roman"/>
                      <w:color w:val="auto"/>
                      <w:sz w:val="18"/>
                      <w:szCs w:val="18"/>
                      <w:lang w:val="en-US" w:eastAsia="zh-CN"/>
                    </w:rPr>
                  </w:pPr>
                  <w:r>
                    <w:rPr>
                      <w:rFonts w:hint="eastAsia" w:cs="Times New Roman"/>
                      <w:color w:val="auto"/>
                      <w:sz w:val="18"/>
                      <w:szCs w:val="18"/>
                      <w:lang w:val="en-US" w:eastAsia="zh-CN"/>
                    </w:rPr>
                    <w:t>经收集后上报公安机关，并在公安机关监督下由专业销毁单位处置，严禁自行处理。</w:t>
                  </w:r>
                </w:p>
              </w:tc>
              <w:tc>
                <w:tcPr>
                  <w:tcW w:w="449" w:type="pct"/>
                  <w:tcBorders>
                    <w:tl2br w:val="nil"/>
                    <w:tr2bl w:val="nil"/>
                  </w:tcBorders>
                  <w:vAlign w:val="center"/>
                </w:tcPr>
                <w:p w14:paraId="603505D6">
                  <w:pPr>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tr w14:paraId="2A1181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2433EA74">
                  <w:pPr>
                    <w:widowControl/>
                    <w:jc w:val="left"/>
                    <w:rPr>
                      <w:rFonts w:hint="default" w:ascii="Times New Roman" w:hAnsi="Times New Roman" w:cs="Times New Roman"/>
                      <w:color w:val="auto"/>
                      <w:sz w:val="18"/>
                      <w:szCs w:val="18"/>
                    </w:rPr>
                  </w:pPr>
                </w:p>
              </w:tc>
              <w:tc>
                <w:tcPr>
                  <w:tcW w:w="369" w:type="pct"/>
                  <w:vMerge w:val="restart"/>
                  <w:tcBorders>
                    <w:right w:val="single" w:color="auto" w:sz="4" w:space="0"/>
                    <w:tl2br w:val="nil"/>
                    <w:tr2bl w:val="nil"/>
                  </w:tcBorders>
                  <w:vAlign w:val="center"/>
                </w:tcPr>
                <w:p w14:paraId="1EB9DD4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地下水、土壤</w:t>
                  </w:r>
                </w:p>
              </w:tc>
              <w:tc>
                <w:tcPr>
                  <w:tcW w:w="736" w:type="pct"/>
                  <w:tcBorders>
                    <w:left w:val="single" w:color="auto" w:sz="4" w:space="0"/>
                    <w:tl2br w:val="nil"/>
                    <w:tr2bl w:val="nil"/>
                  </w:tcBorders>
                  <w:vAlign w:val="center"/>
                </w:tcPr>
                <w:p w14:paraId="2CB8CDD3">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一般防渗区</w:t>
                  </w:r>
                </w:p>
              </w:tc>
              <w:tc>
                <w:tcPr>
                  <w:tcW w:w="2778" w:type="pct"/>
                  <w:tcBorders>
                    <w:tl2br w:val="nil"/>
                    <w:tr2bl w:val="nil"/>
                  </w:tcBorders>
                  <w:vAlign w:val="center"/>
                </w:tcPr>
                <w:p w14:paraId="7D26B0E6">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炸药库</w:t>
                  </w:r>
                  <w:r>
                    <w:rPr>
                      <w:rFonts w:hint="eastAsia" w:cs="Times New Roman"/>
                      <w:color w:val="auto"/>
                      <w:sz w:val="18"/>
                      <w:szCs w:val="18"/>
                      <w:lang w:eastAsia="zh-CN"/>
                    </w:rPr>
                    <w:t>、</w:t>
                  </w:r>
                  <w:r>
                    <w:rPr>
                      <w:rFonts w:hint="default" w:ascii="Times New Roman" w:hAnsi="Times New Roman" w:cs="Times New Roman"/>
                      <w:color w:val="auto"/>
                      <w:sz w:val="18"/>
                      <w:szCs w:val="18"/>
                    </w:rPr>
                    <w:t>炸药库及导爆索存放间</w:t>
                  </w:r>
                  <w:r>
                    <w:rPr>
                      <w:rFonts w:hint="eastAsia" w:cs="Times New Roman"/>
                      <w:color w:val="auto"/>
                      <w:sz w:val="18"/>
                      <w:szCs w:val="18"/>
                      <w:lang w:eastAsia="zh-CN"/>
                    </w:rPr>
                    <w:t>、</w:t>
                  </w:r>
                  <w:r>
                    <w:rPr>
                      <w:rFonts w:hint="default" w:ascii="Times New Roman" w:hAnsi="Times New Roman" w:cs="Times New Roman"/>
                      <w:color w:val="auto"/>
                      <w:sz w:val="18"/>
                      <w:szCs w:val="18"/>
                    </w:rPr>
                    <w:t>雷管库及雷管发放间</w:t>
                  </w:r>
                  <w:r>
                    <w:rPr>
                      <w:rFonts w:hint="eastAsia" w:cs="Times New Roman"/>
                      <w:color w:val="auto"/>
                      <w:sz w:val="18"/>
                      <w:szCs w:val="18"/>
                      <w:lang w:eastAsia="zh-CN"/>
                    </w:rPr>
                    <w:t>、消防水池、</w:t>
                  </w:r>
                  <w:r>
                    <w:rPr>
                      <w:rFonts w:hint="eastAsia" w:cs="Times New Roman"/>
                      <w:color w:val="auto"/>
                      <w:sz w:val="18"/>
                      <w:szCs w:val="18"/>
                      <w:lang w:val="en-US" w:eastAsia="zh-CN"/>
                    </w:rPr>
                    <w:t>消防事故应急池、化粪池</w:t>
                  </w:r>
                  <w:r>
                    <w:rPr>
                      <w:rFonts w:hint="default" w:ascii="Times New Roman" w:hAnsi="Times New Roman" w:cs="Times New Roman"/>
                      <w:color w:val="auto"/>
                      <w:sz w:val="18"/>
                      <w:szCs w:val="18"/>
                    </w:rPr>
                    <w:t>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cm/s）的黏土防渗效能。</w:t>
                  </w:r>
                </w:p>
              </w:tc>
              <w:tc>
                <w:tcPr>
                  <w:tcW w:w="449" w:type="pct"/>
                  <w:tcBorders>
                    <w:tl2br w:val="nil"/>
                    <w:tr2bl w:val="nil"/>
                  </w:tcBorders>
                  <w:vAlign w:val="center"/>
                </w:tcPr>
                <w:p w14:paraId="4BA40675">
                  <w:pPr>
                    <w:pStyle w:val="4"/>
                    <w:ind w:firstLine="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新建</w:t>
                  </w:r>
                </w:p>
              </w:tc>
            </w:tr>
            <w:tr w14:paraId="10F46C7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0A0F0958">
                  <w:pPr>
                    <w:widowControl/>
                    <w:jc w:val="left"/>
                    <w:rPr>
                      <w:rFonts w:hint="default" w:ascii="Times New Roman" w:hAnsi="Times New Roman" w:cs="Times New Roman"/>
                      <w:color w:val="auto"/>
                      <w:sz w:val="18"/>
                      <w:szCs w:val="18"/>
                    </w:rPr>
                  </w:pPr>
                </w:p>
              </w:tc>
              <w:tc>
                <w:tcPr>
                  <w:tcW w:w="369" w:type="pct"/>
                  <w:vMerge w:val="continue"/>
                  <w:tcBorders>
                    <w:right w:val="single" w:color="auto" w:sz="4" w:space="0"/>
                    <w:tl2br w:val="nil"/>
                    <w:tr2bl w:val="nil"/>
                  </w:tcBorders>
                  <w:vAlign w:val="center"/>
                </w:tcPr>
                <w:p w14:paraId="76A9914A">
                  <w:pPr>
                    <w:pStyle w:val="4"/>
                    <w:autoSpaceDE w:val="0"/>
                    <w:ind w:firstLine="0"/>
                    <w:jc w:val="center"/>
                    <w:rPr>
                      <w:rFonts w:hint="default" w:ascii="Times New Roman" w:hAnsi="Times New Roman" w:cs="Times New Roman"/>
                      <w:color w:val="auto"/>
                      <w:sz w:val="18"/>
                      <w:szCs w:val="18"/>
                    </w:rPr>
                  </w:pPr>
                </w:p>
              </w:tc>
              <w:tc>
                <w:tcPr>
                  <w:tcW w:w="736" w:type="pct"/>
                  <w:tcBorders>
                    <w:left w:val="single" w:color="auto" w:sz="4" w:space="0"/>
                    <w:tl2br w:val="nil"/>
                    <w:tr2bl w:val="nil"/>
                  </w:tcBorders>
                  <w:vAlign w:val="center"/>
                </w:tcPr>
                <w:p w14:paraId="757BD385">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简单防渗区</w:t>
                  </w:r>
                </w:p>
              </w:tc>
              <w:tc>
                <w:tcPr>
                  <w:tcW w:w="2778" w:type="pct"/>
                  <w:tcBorders>
                    <w:tl2br w:val="nil"/>
                    <w:tr2bl w:val="nil"/>
                  </w:tcBorders>
                  <w:vAlign w:val="center"/>
                </w:tcPr>
                <w:p w14:paraId="6D7EDE5A">
                  <w:pPr>
                    <w:ind w:firstLine="360" w:firstLineChars="200"/>
                    <w:rPr>
                      <w:rFonts w:hint="default" w:ascii="Times New Roman" w:hAnsi="Times New Roman" w:cs="Times New Roman"/>
                      <w:color w:val="auto"/>
                      <w:lang w:val="en-US"/>
                    </w:rPr>
                  </w:pPr>
                  <w:r>
                    <w:rPr>
                      <w:rFonts w:hint="eastAsia" w:cs="Times New Roman"/>
                      <w:color w:val="auto"/>
                      <w:sz w:val="18"/>
                      <w:szCs w:val="18"/>
                      <w:lang w:eastAsia="zh-CN"/>
                    </w:rPr>
                    <w:t>监控室、值班室、库区道路</w:t>
                  </w:r>
                  <w:r>
                    <w:rPr>
                      <w:rFonts w:hint="eastAsia" w:cs="Times New Roman"/>
                      <w:color w:val="auto"/>
                      <w:sz w:val="18"/>
                      <w:szCs w:val="18"/>
                      <w:lang w:val="en-US" w:eastAsia="zh-CN"/>
                    </w:rPr>
                    <w:t>为简单防渗区，采用一般混凝土进行硬化处理。</w:t>
                  </w:r>
                </w:p>
              </w:tc>
              <w:tc>
                <w:tcPr>
                  <w:tcW w:w="449" w:type="pct"/>
                  <w:tcBorders>
                    <w:tl2br w:val="nil"/>
                    <w:tr2bl w:val="nil"/>
                  </w:tcBorders>
                  <w:vAlign w:val="center"/>
                </w:tcPr>
                <w:p w14:paraId="51F20438">
                  <w:pPr>
                    <w:pStyle w:val="4"/>
                    <w:ind w:firstLine="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新建</w:t>
                  </w:r>
                </w:p>
              </w:tc>
            </w:tr>
            <w:tr w14:paraId="5252141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4056BD8C">
                  <w:pPr>
                    <w:widowControl/>
                    <w:jc w:val="left"/>
                    <w:rPr>
                      <w:rFonts w:hint="default" w:ascii="Times New Roman" w:hAnsi="Times New Roman" w:cs="Times New Roman"/>
                      <w:color w:val="auto"/>
                      <w:sz w:val="18"/>
                      <w:szCs w:val="18"/>
                    </w:rPr>
                  </w:pPr>
                </w:p>
              </w:tc>
              <w:tc>
                <w:tcPr>
                  <w:tcW w:w="1105" w:type="pct"/>
                  <w:gridSpan w:val="2"/>
                  <w:vMerge w:val="restart"/>
                  <w:tcBorders>
                    <w:tl2br w:val="nil"/>
                    <w:tr2bl w:val="nil"/>
                  </w:tcBorders>
                  <w:vAlign w:val="center"/>
                </w:tcPr>
                <w:p w14:paraId="2F2B614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w:t>
                  </w:r>
                </w:p>
              </w:tc>
              <w:tc>
                <w:tcPr>
                  <w:tcW w:w="2778" w:type="pct"/>
                  <w:tcBorders>
                    <w:tl2br w:val="nil"/>
                    <w:tr2bl w:val="nil"/>
                  </w:tcBorders>
                  <w:vAlign w:val="center"/>
                </w:tcPr>
                <w:p w14:paraId="2BE9C94E">
                  <w:pPr>
                    <w:ind w:firstLine="360" w:firstLineChars="200"/>
                    <w:rPr>
                      <w:rFonts w:hint="default" w:ascii="Times New Roman" w:hAnsi="Times New Roman" w:cs="Times New Roman"/>
                      <w:color w:val="auto"/>
                      <w:sz w:val="18"/>
                      <w:szCs w:val="18"/>
                    </w:rPr>
                  </w:pPr>
                  <w:r>
                    <w:rPr>
                      <w:rFonts w:hint="eastAsia" w:cs="Times New Roman"/>
                      <w:color w:val="auto"/>
                      <w:sz w:val="18"/>
                      <w:szCs w:val="18"/>
                      <w:lang w:val="en-US" w:eastAsia="zh-CN"/>
                    </w:rPr>
                    <w:t>设置1个容积为18m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的消防水池，并</w:t>
                  </w:r>
                  <w:r>
                    <w:rPr>
                      <w:rFonts w:hint="default" w:ascii="Times New Roman" w:hAnsi="Times New Roman" w:cs="Times New Roman"/>
                      <w:color w:val="auto"/>
                      <w:sz w:val="18"/>
                      <w:szCs w:val="18"/>
                    </w:rPr>
                    <w:t>根据消防部门的要求配置消防设施，加强管理。</w:t>
                  </w:r>
                </w:p>
              </w:tc>
              <w:tc>
                <w:tcPr>
                  <w:tcW w:w="449" w:type="pct"/>
                  <w:tcBorders>
                    <w:tl2br w:val="nil"/>
                    <w:tr2bl w:val="nil"/>
                  </w:tcBorders>
                  <w:vAlign w:val="center"/>
                </w:tcPr>
                <w:p w14:paraId="06DBCB7D">
                  <w:pPr>
                    <w:pStyle w:val="4"/>
                    <w:ind w:firstLine="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新建</w:t>
                  </w:r>
                </w:p>
              </w:tc>
            </w:tr>
            <w:tr w14:paraId="0C02BF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6" w:type="pct"/>
                  <w:vMerge w:val="continue"/>
                  <w:tcBorders>
                    <w:tl2br w:val="nil"/>
                    <w:tr2bl w:val="nil"/>
                  </w:tcBorders>
                  <w:vAlign w:val="center"/>
                </w:tcPr>
                <w:p w14:paraId="0180613E">
                  <w:pPr>
                    <w:widowControl/>
                    <w:jc w:val="left"/>
                    <w:rPr>
                      <w:rFonts w:hint="default" w:ascii="Times New Roman" w:hAnsi="Times New Roman" w:cs="Times New Roman"/>
                      <w:color w:val="auto"/>
                      <w:sz w:val="18"/>
                      <w:szCs w:val="18"/>
                    </w:rPr>
                  </w:pPr>
                </w:p>
              </w:tc>
              <w:tc>
                <w:tcPr>
                  <w:tcW w:w="1105" w:type="pct"/>
                  <w:gridSpan w:val="2"/>
                  <w:vMerge w:val="continue"/>
                  <w:tcBorders>
                    <w:tl2br w:val="nil"/>
                    <w:tr2bl w:val="nil"/>
                  </w:tcBorders>
                  <w:vAlign w:val="center"/>
                </w:tcPr>
                <w:p w14:paraId="2E5C4226">
                  <w:pPr>
                    <w:pStyle w:val="4"/>
                    <w:autoSpaceDE w:val="0"/>
                    <w:ind w:firstLine="0"/>
                    <w:jc w:val="center"/>
                    <w:rPr>
                      <w:rFonts w:hint="default" w:ascii="Times New Roman" w:hAnsi="Times New Roman" w:cs="Times New Roman"/>
                      <w:color w:val="auto"/>
                      <w:sz w:val="18"/>
                      <w:szCs w:val="18"/>
                    </w:rPr>
                  </w:pPr>
                </w:p>
              </w:tc>
              <w:tc>
                <w:tcPr>
                  <w:tcW w:w="2778" w:type="pct"/>
                  <w:tcBorders>
                    <w:tl2br w:val="nil"/>
                    <w:tr2bl w:val="nil"/>
                  </w:tcBorders>
                  <w:vAlign w:val="center"/>
                </w:tcPr>
                <w:p w14:paraId="2D6A7F70">
                  <w:pPr>
                    <w:ind w:firstLine="360" w:firstLineChars="200"/>
                    <w:rPr>
                      <w:rFonts w:hint="default" w:cs="Times New Roman"/>
                      <w:color w:val="auto"/>
                      <w:sz w:val="18"/>
                      <w:szCs w:val="18"/>
                      <w:lang w:val="en-US" w:eastAsia="zh-CN"/>
                    </w:rPr>
                  </w:pPr>
                  <w:r>
                    <w:rPr>
                      <w:rFonts w:hint="eastAsia" w:ascii="Times New Roman" w:hAnsi="Times New Roman" w:cs="Times New Roman"/>
                      <w:color w:val="auto"/>
                      <w:sz w:val="18"/>
                      <w:szCs w:val="18"/>
                      <w:lang w:val="en-US" w:eastAsia="zh-CN"/>
                    </w:rPr>
                    <w:t>设置</w:t>
                  </w:r>
                  <w:r>
                    <w:rPr>
                      <w:rFonts w:hint="eastAsia" w:ascii="Times New Roman" w:hAnsi="Times New Roman" w:cs="Times New Roman"/>
                      <w:color w:val="auto"/>
                      <w:sz w:val="18"/>
                      <w:szCs w:val="18"/>
                      <w:lang w:eastAsia="zh-CN"/>
                    </w:rPr>
                    <w:t>事故应急池</w:t>
                  </w: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rPr>
                    <w:t>座，有效容</w:t>
                  </w:r>
                  <w:r>
                    <w:rPr>
                      <w:rFonts w:hint="eastAsia" w:ascii="Times New Roman" w:hAnsi="Times New Roman" w:cs="Times New Roman"/>
                      <w:color w:val="auto"/>
                      <w:sz w:val="18"/>
                      <w:szCs w:val="18"/>
                      <w:highlight w:val="none"/>
                    </w:rPr>
                    <w:t>积</w:t>
                  </w:r>
                  <w:r>
                    <w:rPr>
                      <w:rFonts w:hint="eastAsia" w:cs="Times New Roman"/>
                      <w:color w:val="auto"/>
                      <w:sz w:val="18"/>
                      <w:szCs w:val="18"/>
                      <w:highlight w:val="none"/>
                      <w:lang w:val="en-US" w:eastAsia="zh-CN"/>
                    </w:rPr>
                    <w:t>65</w:t>
                  </w:r>
                  <w:r>
                    <w:rPr>
                      <w:rFonts w:hint="eastAsia" w:ascii="Times New Roman" w:hAnsi="Times New Roman" w:cs="Times New Roman"/>
                      <w:color w:val="auto"/>
                      <w:sz w:val="18"/>
                      <w:szCs w:val="18"/>
                      <w:highlight w:val="none"/>
                    </w:rPr>
                    <w:t>m</w:t>
                  </w:r>
                  <w:r>
                    <w:rPr>
                      <w:rFonts w:hint="eastAsia" w:ascii="Times New Roman" w:hAnsi="Times New Roman" w:cs="Times New Roman"/>
                      <w:color w:val="auto"/>
                      <w:sz w:val="18"/>
                      <w:szCs w:val="18"/>
                      <w:highlight w:val="none"/>
                      <w:vertAlign w:val="superscript"/>
                      <w:lang w:val="en-US" w:eastAsia="zh-CN"/>
                    </w:rPr>
                    <w:t>3</w:t>
                  </w:r>
                  <w:r>
                    <w:rPr>
                      <w:rFonts w:hint="eastAsia" w:ascii="Times New Roman" w:hAnsi="Times New Roman" w:cs="Times New Roman"/>
                      <w:color w:val="auto"/>
                      <w:sz w:val="18"/>
                      <w:szCs w:val="18"/>
                      <w:highlight w:val="none"/>
                    </w:rPr>
                    <w:t>，</w:t>
                  </w:r>
                  <w:r>
                    <w:rPr>
                      <w:rFonts w:hint="eastAsia" w:ascii="Times New Roman" w:hAnsi="Times New Roman" w:cs="Times New Roman"/>
                      <w:color w:val="auto"/>
                      <w:sz w:val="18"/>
                      <w:szCs w:val="18"/>
                      <w:lang w:eastAsia="zh-CN"/>
                    </w:rPr>
                    <w:t>设置于库区西侧边角低地势处，采用</w:t>
                  </w:r>
                  <w:r>
                    <w:rPr>
                      <w:rFonts w:hint="eastAsia" w:ascii="Times New Roman" w:hAnsi="Times New Roman" w:cs="Times New Roman"/>
                      <w:color w:val="auto"/>
                      <w:sz w:val="18"/>
                      <w:szCs w:val="18"/>
                    </w:rPr>
                    <w:t>矩形钢筋混凝土结构，</w:t>
                  </w:r>
                  <w:r>
                    <w:rPr>
                      <w:rFonts w:hint="eastAsia" w:ascii="Times New Roman" w:hAnsi="Times New Roman" w:cs="Times New Roman"/>
                      <w:color w:val="auto"/>
                      <w:sz w:val="18"/>
                      <w:szCs w:val="18"/>
                      <w:lang w:eastAsia="zh-CN"/>
                    </w:rPr>
                    <w:t>埋地设置，</w:t>
                  </w:r>
                  <w:r>
                    <w:rPr>
                      <w:rFonts w:hint="eastAsia" w:ascii="Times New Roman" w:hAnsi="Times New Roman" w:cs="Times New Roman"/>
                      <w:color w:val="auto"/>
                      <w:sz w:val="18"/>
                      <w:szCs w:val="18"/>
                    </w:rPr>
                    <w:t>用于收集</w:t>
                  </w:r>
                  <w:r>
                    <w:rPr>
                      <w:rFonts w:hint="eastAsia" w:ascii="Times New Roman" w:hAnsi="Times New Roman" w:cs="Times New Roman"/>
                      <w:color w:val="auto"/>
                      <w:sz w:val="18"/>
                      <w:szCs w:val="18"/>
                      <w:lang w:eastAsia="zh-CN"/>
                    </w:rPr>
                    <w:t>事故废水。</w:t>
                  </w:r>
                </w:p>
              </w:tc>
              <w:tc>
                <w:tcPr>
                  <w:tcW w:w="449" w:type="pct"/>
                  <w:tcBorders>
                    <w:tl2br w:val="nil"/>
                    <w:tr2bl w:val="nil"/>
                  </w:tcBorders>
                  <w:vAlign w:val="center"/>
                </w:tcPr>
                <w:p w14:paraId="2E10320D">
                  <w:pPr>
                    <w:pStyle w:val="4"/>
                    <w:ind w:firstLine="0"/>
                    <w:jc w:val="center"/>
                    <w:rPr>
                      <w:rFonts w:hint="default" w:cs="Times New Roman"/>
                      <w:color w:val="auto"/>
                      <w:sz w:val="18"/>
                      <w:szCs w:val="18"/>
                      <w:lang w:val="en-US" w:eastAsia="zh-CN"/>
                    </w:rPr>
                  </w:pPr>
                  <w:r>
                    <w:rPr>
                      <w:rFonts w:hint="eastAsia" w:cs="Times New Roman"/>
                      <w:color w:val="auto"/>
                      <w:sz w:val="18"/>
                      <w:szCs w:val="18"/>
                      <w:lang w:val="en-US" w:eastAsia="zh-CN"/>
                    </w:rPr>
                    <w:t>新建</w:t>
                  </w:r>
                </w:p>
              </w:tc>
            </w:tr>
            <w:bookmarkEnd w:id="21"/>
          </w:tbl>
          <w:p w14:paraId="5E115BF4">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4</w:t>
            </w:r>
            <w:r>
              <w:rPr>
                <w:rFonts w:hint="default" w:ascii="Times New Roman" w:hAnsi="Times New Roman" w:eastAsia="黑体" w:cs="Times New Roman"/>
                <w:bCs/>
                <w:color w:val="auto"/>
                <w:sz w:val="24"/>
              </w:rPr>
              <w:t>、</w:t>
            </w:r>
            <w:r>
              <w:rPr>
                <w:rFonts w:hint="eastAsia" w:eastAsia="黑体" w:cs="Times New Roman"/>
                <w:bCs/>
                <w:color w:val="auto"/>
                <w:sz w:val="24"/>
                <w:lang w:val="en-US" w:eastAsia="zh-CN"/>
              </w:rPr>
              <w:t>储存</w:t>
            </w:r>
            <w:r>
              <w:rPr>
                <w:rFonts w:hint="default" w:ascii="Times New Roman" w:hAnsi="Times New Roman" w:eastAsia="黑体" w:cs="Times New Roman"/>
                <w:bCs/>
                <w:color w:val="auto"/>
                <w:sz w:val="24"/>
              </w:rPr>
              <w:t>规模及爆破器材特征</w:t>
            </w:r>
          </w:p>
          <w:p w14:paraId="6D4907A2">
            <w:pPr>
              <w:widowControl/>
              <w:spacing w:line="360" w:lineRule="auto"/>
              <w:ind w:firstLine="480" w:firstLineChars="200"/>
              <w:jc w:val="left"/>
              <w:rPr>
                <w:rFonts w:hint="eastAsia"/>
                <w:color w:val="auto"/>
                <w:lang w:val="en-US" w:eastAsia="zh-CN"/>
              </w:rPr>
            </w:pPr>
            <w:r>
              <w:rPr>
                <w:rFonts w:hint="default" w:ascii="Times New Roman" w:hAnsi="Times New Roman" w:cs="Times New Roman"/>
                <w:color w:val="auto"/>
                <w:kern w:val="0"/>
                <w:sz w:val="24"/>
                <w:lang w:bidi="ar"/>
              </w:rPr>
              <w:t>项目为民用爆炸物品储存库，储存物质为工业炸药和工业雷管，其中炸药库最大储量</w:t>
            </w:r>
            <w:r>
              <w:rPr>
                <w:rFonts w:hint="eastAsia" w:ascii="Times New Roman" w:hAnsi="Times New Roman" w:cs="Times New Roman"/>
                <w:color w:val="auto"/>
                <w:kern w:val="0"/>
                <w:sz w:val="24"/>
                <w:lang w:val="en-US" w:eastAsia="zh-CN" w:bidi="ar"/>
              </w:rPr>
              <w:t>1</w:t>
            </w:r>
            <w:r>
              <w:rPr>
                <w:rFonts w:hint="eastAsia" w:cs="Times New Roman"/>
                <w:color w:val="auto"/>
                <w:kern w:val="0"/>
                <w:sz w:val="24"/>
                <w:lang w:val="en-US" w:eastAsia="zh-CN" w:bidi="ar"/>
              </w:rPr>
              <w:t>5</w:t>
            </w:r>
            <w:r>
              <w:rPr>
                <w:rFonts w:hint="default" w:ascii="Times New Roman" w:hAnsi="Times New Roman" w:cs="Times New Roman"/>
                <w:color w:val="auto"/>
                <w:kern w:val="0"/>
                <w:sz w:val="24"/>
                <w:lang w:bidi="ar"/>
              </w:rPr>
              <w:t>t，雷管最大储量0.</w:t>
            </w:r>
            <w:r>
              <w:rPr>
                <w:rFonts w:hint="eastAsia" w:cs="Times New Roman"/>
                <w:color w:val="auto"/>
                <w:kern w:val="0"/>
                <w:sz w:val="24"/>
                <w:lang w:val="en-US" w:eastAsia="zh-CN" w:bidi="ar"/>
              </w:rPr>
              <w:t>02</w:t>
            </w:r>
            <w:r>
              <w:rPr>
                <w:rFonts w:hint="default" w:ascii="Times New Roman" w:hAnsi="Times New Roman" w:cs="Times New Roman"/>
                <w:color w:val="auto"/>
                <w:kern w:val="0"/>
                <w:sz w:val="24"/>
                <w:lang w:bidi="ar"/>
              </w:rPr>
              <w:t>t</w:t>
            </w:r>
            <w:r>
              <w:rPr>
                <w:rFonts w:hint="eastAsia" w:cs="Times New Roman"/>
                <w:color w:val="auto"/>
                <w:kern w:val="0"/>
                <w:sz w:val="24"/>
                <w:lang w:eastAsia="zh-CN" w:bidi="ar"/>
              </w:rPr>
              <w:t>（</w:t>
            </w:r>
            <w:r>
              <w:rPr>
                <w:rFonts w:hint="eastAsia" w:cs="Times New Roman"/>
                <w:color w:val="auto"/>
                <w:kern w:val="0"/>
                <w:sz w:val="24"/>
                <w:lang w:val="en-US" w:eastAsia="zh-CN" w:bidi="ar"/>
              </w:rPr>
              <w:t>2</w:t>
            </w:r>
            <w:r>
              <w:rPr>
                <w:rFonts w:hint="default" w:ascii="Times New Roman" w:hAnsi="Times New Roman" w:cs="Times New Roman"/>
                <w:color w:val="auto"/>
                <w:kern w:val="0"/>
                <w:sz w:val="24"/>
                <w:lang w:bidi="ar"/>
              </w:rPr>
              <w:t>万发</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，具体储存量和年消耗量见</w:t>
            </w:r>
            <w:r>
              <w:rPr>
                <w:rFonts w:hint="eastAsia" w:cs="Times New Roman"/>
                <w:color w:val="auto"/>
                <w:kern w:val="0"/>
                <w:sz w:val="24"/>
                <w:lang w:val="en-US" w:eastAsia="zh-CN" w:bidi="ar"/>
              </w:rPr>
              <w:t>下表。</w:t>
            </w:r>
          </w:p>
          <w:p w14:paraId="79278C2D">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w:t>
            </w:r>
            <w:r>
              <w:rPr>
                <w:rFonts w:hint="eastAsia"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 xml:space="preserve">   危险品仓库及储存量表</w:t>
            </w:r>
          </w:p>
          <w:tbl>
            <w:tblPr>
              <w:tblStyle w:val="37"/>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92"/>
              <w:gridCol w:w="972"/>
              <w:gridCol w:w="1142"/>
              <w:gridCol w:w="3560"/>
              <w:gridCol w:w="760"/>
              <w:gridCol w:w="774"/>
            </w:tblGrid>
            <w:tr w14:paraId="77F82E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14:paraId="75521EA6">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序号</w:t>
                  </w:r>
                </w:p>
              </w:tc>
              <w:tc>
                <w:tcPr>
                  <w:tcW w:w="623" w:type="pct"/>
                  <w:tcBorders>
                    <w:tl2br w:val="nil"/>
                    <w:tr2bl w:val="nil"/>
                  </w:tcBorders>
                  <w:vAlign w:val="center"/>
                </w:tcPr>
                <w:p w14:paraId="460593FA">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库房名称</w:t>
                  </w:r>
                </w:p>
              </w:tc>
              <w:tc>
                <w:tcPr>
                  <w:tcW w:w="732" w:type="pct"/>
                  <w:tcBorders>
                    <w:tl2br w:val="nil"/>
                    <w:tr2bl w:val="nil"/>
                  </w:tcBorders>
                  <w:vAlign w:val="center"/>
                </w:tcPr>
                <w:p w14:paraId="192AB34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储存物名称</w:t>
                  </w:r>
                </w:p>
              </w:tc>
              <w:tc>
                <w:tcPr>
                  <w:tcW w:w="2282" w:type="pct"/>
                  <w:tcBorders>
                    <w:tl2br w:val="nil"/>
                    <w:tr2bl w:val="nil"/>
                  </w:tcBorders>
                  <w:vAlign w:val="center"/>
                </w:tcPr>
                <w:p w14:paraId="00488321">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贮存产品包装规格</w:t>
                  </w:r>
                </w:p>
              </w:tc>
              <w:tc>
                <w:tcPr>
                  <w:tcW w:w="487" w:type="pct"/>
                  <w:tcBorders>
                    <w:tl2br w:val="nil"/>
                    <w:tr2bl w:val="nil"/>
                  </w:tcBorders>
                  <w:vAlign w:val="center"/>
                </w:tcPr>
                <w:p w14:paraId="2897003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储存量</w:t>
                  </w:r>
                </w:p>
              </w:tc>
              <w:tc>
                <w:tcPr>
                  <w:tcW w:w="493" w:type="pct"/>
                  <w:tcBorders>
                    <w:tl2br w:val="nil"/>
                    <w:tr2bl w:val="nil"/>
                  </w:tcBorders>
                  <w:vAlign w:val="center"/>
                </w:tcPr>
                <w:p w14:paraId="551B54B1">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r>
            <w:tr w14:paraId="53B984F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vMerge w:val="restart"/>
                  <w:tcBorders>
                    <w:tl2br w:val="nil"/>
                    <w:tr2bl w:val="nil"/>
                  </w:tcBorders>
                  <w:vAlign w:val="center"/>
                </w:tcPr>
                <w:p w14:paraId="783EACE9">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623" w:type="pct"/>
                  <w:vMerge w:val="restart"/>
                  <w:tcBorders>
                    <w:tl2br w:val="nil"/>
                    <w:tr2bl w:val="nil"/>
                  </w:tcBorders>
                  <w:vAlign w:val="center"/>
                </w:tcPr>
                <w:p w14:paraId="6FA0582A">
                  <w:pPr>
                    <w:pStyle w:val="4"/>
                    <w:autoSpaceDE w:val="0"/>
                    <w:ind w:firstLine="0"/>
                    <w:jc w:val="center"/>
                    <w:rPr>
                      <w:rFonts w:hint="eastAsia" w:ascii="Times New Roman" w:hAnsi="Times New Roman" w:cs="Times New Roman"/>
                      <w:color w:val="auto"/>
                      <w:sz w:val="18"/>
                      <w:szCs w:val="18"/>
                      <w:lang w:eastAsia="zh-CN"/>
                    </w:rPr>
                  </w:pPr>
                  <w:r>
                    <w:rPr>
                      <w:rFonts w:hint="default" w:ascii="Times New Roman" w:hAnsi="Times New Roman" w:cs="Times New Roman"/>
                      <w:color w:val="auto"/>
                      <w:sz w:val="18"/>
                      <w:szCs w:val="18"/>
                    </w:rPr>
                    <w:t>炸药库</w:t>
                  </w:r>
                  <w:r>
                    <w:rPr>
                      <w:rFonts w:hint="eastAsia" w:ascii="Times New Roman" w:hAnsi="Times New Roman" w:cs="Times New Roman"/>
                      <w:color w:val="auto"/>
                      <w:sz w:val="18"/>
                      <w:szCs w:val="18"/>
                      <w:lang w:eastAsia="zh-CN"/>
                    </w:rPr>
                    <w:t>（导爆索存放间）</w:t>
                  </w:r>
                </w:p>
              </w:tc>
              <w:tc>
                <w:tcPr>
                  <w:tcW w:w="732" w:type="pct"/>
                  <w:tcBorders>
                    <w:tl2br w:val="nil"/>
                    <w:tr2bl w:val="nil"/>
                  </w:tcBorders>
                  <w:vAlign w:val="center"/>
                </w:tcPr>
                <w:p w14:paraId="4D8449C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工业炸药</w:t>
                  </w:r>
                </w:p>
              </w:tc>
              <w:tc>
                <w:tcPr>
                  <w:tcW w:w="2282" w:type="pct"/>
                  <w:tcBorders>
                    <w:tl2br w:val="nil"/>
                    <w:tr2bl w:val="nil"/>
                  </w:tcBorders>
                  <w:vAlign w:val="center"/>
                </w:tcPr>
                <w:p w14:paraId="2E8E45A0">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箱体外包装为60mm</w:t>
                  </w:r>
                  <m:oMath>
                    <m:r>
                      <m:rPr>
                        <m:sty m:val="p"/>
                      </m:rPr>
                      <w:rPr>
                        <w:rFonts w:hint="eastAsia" w:ascii="Times New Roman" w:hAnsi="Times New Roman" w:cs="Times New Roman"/>
                        <w:color w:val="auto"/>
                        <w:sz w:val="18"/>
                        <w:szCs w:val="18"/>
                        <w:lang w:val="en-US" w:eastAsia="zh-CN"/>
                      </w:rPr>
                      <m:t>×</m:t>
                    </m:r>
                  </m:oMath>
                  <w:r>
                    <w:rPr>
                      <w:rFonts w:hint="eastAsia" w:ascii="Times New Roman" w:hAnsi="Times New Roman" w:cs="Times New Roman"/>
                      <w:color w:val="auto"/>
                      <w:sz w:val="18"/>
                      <w:szCs w:val="18"/>
                      <w:lang w:val="en-US" w:eastAsia="zh-CN"/>
                    </w:rPr>
                    <w:t>360mm</w:t>
                  </w:r>
                  <m:oMath>
                    <m:r>
                      <m:rPr>
                        <m:sty m:val="p"/>
                      </m:rPr>
                      <w:rPr>
                        <w:rFonts w:hint="eastAsia" w:ascii="Times New Roman" w:hAnsi="Times New Roman" w:cs="Times New Roman"/>
                        <w:color w:val="auto"/>
                        <w:sz w:val="18"/>
                        <w:szCs w:val="18"/>
                        <w:lang w:val="en-US" w:eastAsia="zh-CN"/>
                      </w:rPr>
                      <m:t>×</m:t>
                    </m:r>
                  </m:oMath>
                  <w:r>
                    <w:rPr>
                      <w:rFonts w:hint="eastAsia" w:ascii="Times New Roman" w:hAnsi="Times New Roman" w:cs="Times New Roman"/>
                      <w:color w:val="auto"/>
                      <w:sz w:val="18"/>
                      <w:szCs w:val="18"/>
                      <w:lang w:val="en-US" w:eastAsia="zh-CN"/>
                    </w:rPr>
                    <w:t>250mm，</w:t>
                  </w:r>
                </w:p>
                <w:p w14:paraId="3BFCE7C5">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每箱净重量24kg</w:t>
                  </w:r>
                </w:p>
              </w:tc>
              <w:tc>
                <w:tcPr>
                  <w:tcW w:w="487" w:type="pct"/>
                  <w:tcBorders>
                    <w:tl2br w:val="nil"/>
                    <w:tr2bl w:val="nil"/>
                  </w:tcBorders>
                  <w:vAlign w:val="center"/>
                </w:tcPr>
                <w:p w14:paraId="5A82C06A">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15t</w:t>
                  </w:r>
                </w:p>
              </w:tc>
              <w:tc>
                <w:tcPr>
                  <w:tcW w:w="493" w:type="pct"/>
                  <w:vMerge w:val="restart"/>
                  <w:tcBorders>
                    <w:tl2br w:val="nil"/>
                    <w:tr2bl w:val="nil"/>
                  </w:tcBorders>
                  <w:vAlign w:val="center"/>
                </w:tcPr>
                <w:p w14:paraId="6E2F73F9">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r>
            <w:tr w14:paraId="5DCCFF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vMerge w:val="continue"/>
                  <w:tcBorders>
                    <w:tl2br w:val="nil"/>
                    <w:tr2bl w:val="nil"/>
                  </w:tcBorders>
                  <w:vAlign w:val="center"/>
                </w:tcPr>
                <w:p w14:paraId="5185DE2F">
                  <w:pPr>
                    <w:pStyle w:val="4"/>
                    <w:autoSpaceDE w:val="0"/>
                    <w:ind w:firstLine="0"/>
                    <w:jc w:val="center"/>
                    <w:rPr>
                      <w:rFonts w:hint="eastAsia" w:ascii="Times New Roman" w:hAnsi="Times New Roman" w:cs="Times New Roman"/>
                      <w:color w:val="auto"/>
                      <w:sz w:val="18"/>
                      <w:szCs w:val="18"/>
                      <w:lang w:val="en-US" w:eastAsia="zh-CN"/>
                    </w:rPr>
                  </w:pPr>
                </w:p>
              </w:tc>
              <w:tc>
                <w:tcPr>
                  <w:tcW w:w="623" w:type="pct"/>
                  <w:vMerge w:val="continue"/>
                  <w:tcBorders>
                    <w:tl2br w:val="nil"/>
                    <w:tr2bl w:val="nil"/>
                  </w:tcBorders>
                  <w:vAlign w:val="center"/>
                </w:tcPr>
                <w:p w14:paraId="7B09B0F6">
                  <w:pPr>
                    <w:pStyle w:val="4"/>
                    <w:autoSpaceDE w:val="0"/>
                    <w:ind w:firstLine="0"/>
                    <w:jc w:val="center"/>
                    <w:rPr>
                      <w:rFonts w:hint="default" w:ascii="Times New Roman" w:hAnsi="Times New Roman" w:cs="Times New Roman"/>
                      <w:color w:val="auto"/>
                      <w:sz w:val="18"/>
                      <w:szCs w:val="18"/>
                    </w:rPr>
                  </w:pPr>
                </w:p>
              </w:tc>
              <w:tc>
                <w:tcPr>
                  <w:tcW w:w="732" w:type="pct"/>
                  <w:tcBorders>
                    <w:tl2br w:val="nil"/>
                    <w:tr2bl w:val="nil"/>
                  </w:tcBorders>
                  <w:vAlign w:val="center"/>
                </w:tcPr>
                <w:p w14:paraId="5BDAD59D">
                  <w:pPr>
                    <w:pStyle w:val="4"/>
                    <w:autoSpaceDE w:val="0"/>
                    <w:ind w:firstLine="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导爆索</w:t>
                  </w:r>
                </w:p>
              </w:tc>
              <w:tc>
                <w:tcPr>
                  <w:tcW w:w="2282" w:type="pct"/>
                  <w:tcBorders>
                    <w:tl2br w:val="nil"/>
                    <w:tr2bl w:val="nil"/>
                  </w:tcBorders>
                  <w:vAlign w:val="center"/>
                </w:tcPr>
                <w:p w14:paraId="05D6C2AB">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箱体外包装尺寸：510mm</w:t>
                  </w:r>
                  <m:oMath>
                    <m:r>
                      <m:rPr>
                        <m:sty m:val="p"/>
                      </m:rPr>
                      <w:rPr>
                        <w:rFonts w:hint="eastAsia" w:ascii="Times New Roman" w:hAnsi="Times New Roman" w:cs="Times New Roman"/>
                        <w:color w:val="auto"/>
                        <w:sz w:val="18"/>
                        <w:szCs w:val="18"/>
                        <w:lang w:val="en-US" w:eastAsia="zh-CN"/>
                      </w:rPr>
                      <m:t>×</m:t>
                    </m:r>
                  </m:oMath>
                  <w:r>
                    <w:rPr>
                      <w:rFonts w:hint="eastAsia" w:ascii="Times New Roman" w:hAnsi="Times New Roman" w:cs="Times New Roman"/>
                      <w:color w:val="auto"/>
                      <w:sz w:val="18"/>
                      <w:szCs w:val="18"/>
                      <w:lang w:val="en-US" w:eastAsia="zh-CN"/>
                    </w:rPr>
                    <w:t>330mm</w:t>
                  </w:r>
                  <m:oMath>
                    <m:r>
                      <m:rPr>
                        <m:sty m:val="p"/>
                      </m:rPr>
                      <w:rPr>
                        <w:rFonts w:hint="eastAsia" w:ascii="Times New Roman" w:hAnsi="Times New Roman" w:cs="Times New Roman"/>
                        <w:color w:val="auto"/>
                        <w:sz w:val="18"/>
                        <w:szCs w:val="18"/>
                        <w:lang w:val="en-US" w:eastAsia="zh-CN"/>
                      </w:rPr>
                      <m:t>×</m:t>
                    </m:r>
                  </m:oMath>
                  <w:r>
                    <w:rPr>
                      <w:rFonts w:hint="eastAsia" w:ascii="Times New Roman" w:hAnsi="Times New Roman" w:cs="Times New Roman"/>
                      <w:color w:val="auto"/>
                      <w:sz w:val="18"/>
                      <w:szCs w:val="18"/>
                      <w:lang w:val="en-US" w:eastAsia="zh-CN"/>
                    </w:rPr>
                    <w:t>170mm，每箱总长为500m</w:t>
                  </w:r>
                </w:p>
              </w:tc>
              <w:tc>
                <w:tcPr>
                  <w:tcW w:w="487" w:type="pct"/>
                  <w:tcBorders>
                    <w:tl2br w:val="nil"/>
                    <w:tr2bl w:val="nil"/>
                  </w:tcBorders>
                  <w:vAlign w:val="center"/>
                </w:tcPr>
                <w:p w14:paraId="653A955A">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93" w:type="pct"/>
                  <w:vMerge w:val="continue"/>
                  <w:tcBorders>
                    <w:tl2br w:val="nil"/>
                    <w:tr2bl w:val="nil"/>
                  </w:tcBorders>
                  <w:vAlign w:val="center"/>
                </w:tcPr>
                <w:p w14:paraId="574DFA4F">
                  <w:pPr>
                    <w:pStyle w:val="4"/>
                    <w:autoSpaceDE w:val="0"/>
                    <w:ind w:firstLine="0"/>
                    <w:jc w:val="center"/>
                    <w:rPr>
                      <w:rFonts w:hint="eastAsia" w:ascii="Times New Roman" w:hAnsi="Times New Roman" w:cs="Times New Roman"/>
                      <w:color w:val="auto"/>
                      <w:sz w:val="18"/>
                      <w:szCs w:val="18"/>
                      <w:lang w:val="en-US" w:eastAsia="zh-CN"/>
                    </w:rPr>
                  </w:pPr>
                </w:p>
              </w:tc>
            </w:tr>
            <w:tr w14:paraId="79CF499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14:paraId="066A0875">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623" w:type="pct"/>
                  <w:tcBorders>
                    <w:tl2br w:val="nil"/>
                    <w:tr2bl w:val="nil"/>
                  </w:tcBorders>
                  <w:vAlign w:val="center"/>
                </w:tcPr>
                <w:p w14:paraId="525B18C8">
                  <w:pPr>
                    <w:pStyle w:val="4"/>
                    <w:autoSpaceDE w:val="0"/>
                    <w:ind w:firstLine="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雷管库及雷管发放间</w:t>
                  </w:r>
                </w:p>
              </w:tc>
              <w:tc>
                <w:tcPr>
                  <w:tcW w:w="732" w:type="pct"/>
                  <w:tcBorders>
                    <w:tl2br w:val="nil"/>
                    <w:tr2bl w:val="nil"/>
                  </w:tcBorders>
                  <w:vAlign w:val="center"/>
                </w:tcPr>
                <w:p w14:paraId="752D58CE">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工业数码电子雷管</w:t>
                  </w:r>
                </w:p>
              </w:tc>
              <w:tc>
                <w:tcPr>
                  <w:tcW w:w="2282" w:type="pct"/>
                  <w:tcBorders>
                    <w:tl2br w:val="nil"/>
                    <w:tr2bl w:val="nil"/>
                  </w:tcBorders>
                  <w:vAlign w:val="center"/>
                </w:tcPr>
                <w:p w14:paraId="1B13A6D7">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雷管箱体外包装尺寸为</w:t>
                  </w:r>
                </w:p>
                <w:p w14:paraId="3C456D3E">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625mm×335mm×220mm，</w:t>
                  </w:r>
                </w:p>
                <w:p w14:paraId="54E3F1BD">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每箱数量为100发</w:t>
                  </w:r>
                </w:p>
              </w:tc>
              <w:tc>
                <w:tcPr>
                  <w:tcW w:w="487" w:type="pct"/>
                  <w:tcBorders>
                    <w:tl2br w:val="nil"/>
                    <w:tr2bl w:val="nil"/>
                  </w:tcBorders>
                  <w:vAlign w:val="center"/>
                </w:tcPr>
                <w:p w14:paraId="382B4931">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0.02t</w:t>
                  </w:r>
                </w:p>
              </w:tc>
              <w:tc>
                <w:tcPr>
                  <w:tcW w:w="493" w:type="pct"/>
                  <w:tcBorders>
                    <w:tl2br w:val="nil"/>
                    <w:tr2bl w:val="nil"/>
                  </w:tcBorders>
                  <w:vAlign w:val="center"/>
                </w:tcPr>
                <w:p w14:paraId="270FCC0D">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r>
            <w:tr w14:paraId="1A1246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vAlign w:val="center"/>
                </w:tcPr>
                <w:p w14:paraId="5EFA8848">
                  <w:pPr>
                    <w:pStyle w:val="4"/>
                    <w:autoSpaceDE w:val="0"/>
                    <w:ind w:firstLine="0"/>
                    <w:jc w:val="both"/>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注：1发工业数码电子雷管=1g。</w:t>
                  </w:r>
                </w:p>
              </w:tc>
            </w:tr>
          </w:tbl>
          <w:p w14:paraId="47734A18">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cs="Times New Roman"/>
                <w:color w:val="auto"/>
                <w:kern w:val="0"/>
                <w:sz w:val="24"/>
                <w:lang w:bidi="ar"/>
              </w:rPr>
              <w:t>炸药和雷管的组成明细见</w:t>
            </w:r>
            <w:r>
              <w:rPr>
                <w:rFonts w:hint="eastAsia" w:cs="Times New Roman"/>
                <w:color w:val="auto"/>
                <w:kern w:val="0"/>
                <w:sz w:val="24"/>
                <w:lang w:val="en-US" w:eastAsia="zh-CN" w:bidi="ar"/>
              </w:rPr>
              <w:t>下表：</w:t>
            </w:r>
          </w:p>
          <w:p w14:paraId="107C30E8">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 xml:space="preserve">2-3   </w:t>
            </w:r>
            <w:r>
              <w:rPr>
                <w:rFonts w:hint="default" w:ascii="Times New Roman" w:hAnsi="Times New Roman" w:eastAsia="黑体" w:cs="Times New Roman"/>
                <w:color w:val="auto"/>
                <w:sz w:val="21"/>
                <w:szCs w:val="21"/>
              </w:rPr>
              <w:t>炸药</w:t>
            </w:r>
            <w:r>
              <w:rPr>
                <w:rFonts w:hint="eastAsia" w:ascii="Times New Roman" w:hAnsi="Times New Roman" w:eastAsia="黑体" w:cs="Times New Roman"/>
                <w:color w:val="auto"/>
                <w:sz w:val="21"/>
                <w:szCs w:val="21"/>
                <w:lang w:val="en-US" w:eastAsia="zh-CN"/>
              </w:rPr>
              <w:t>和</w:t>
            </w:r>
            <w:r>
              <w:rPr>
                <w:rFonts w:hint="default" w:ascii="Times New Roman" w:hAnsi="Times New Roman" w:eastAsia="黑体" w:cs="Times New Roman"/>
                <w:color w:val="auto"/>
                <w:sz w:val="21"/>
                <w:szCs w:val="21"/>
              </w:rPr>
              <w:t>雷管的组成明细表</w:t>
            </w:r>
          </w:p>
          <w:tbl>
            <w:tblPr>
              <w:tblStyle w:val="37"/>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730"/>
              <w:gridCol w:w="3377"/>
              <w:gridCol w:w="1605"/>
            </w:tblGrid>
            <w:tr w14:paraId="3908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vAlign w:val="center"/>
                </w:tcPr>
                <w:p w14:paraId="565475D6">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序号</w:t>
                  </w:r>
                </w:p>
              </w:tc>
              <w:tc>
                <w:tcPr>
                  <w:tcW w:w="1114" w:type="pct"/>
                  <w:vAlign w:val="center"/>
                </w:tcPr>
                <w:p w14:paraId="3D3DC04E">
                  <w:pPr>
                    <w:pStyle w:val="4"/>
                    <w:autoSpaceDE w:val="0"/>
                    <w:ind w:firstLine="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名称</w:t>
                  </w:r>
                </w:p>
              </w:tc>
              <w:tc>
                <w:tcPr>
                  <w:tcW w:w="2174" w:type="pct"/>
                  <w:vAlign w:val="center"/>
                </w:tcPr>
                <w:p w14:paraId="712D740C">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主要成分</w:t>
                  </w:r>
                </w:p>
              </w:tc>
              <w:tc>
                <w:tcPr>
                  <w:tcW w:w="1033" w:type="pct"/>
                  <w:tcBorders>
                    <w:right w:val="nil"/>
                  </w:tcBorders>
                  <w:vAlign w:val="center"/>
                </w:tcPr>
                <w:p w14:paraId="03201A8D">
                  <w:pPr>
                    <w:pStyle w:val="4"/>
                    <w:autoSpaceDE w:val="0"/>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包装方式</w:t>
                  </w:r>
                </w:p>
              </w:tc>
            </w:tr>
            <w:tr w14:paraId="3BC7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tcBorders>
                    <w:left w:val="nil"/>
                  </w:tcBorders>
                  <w:vAlign w:val="center"/>
                </w:tcPr>
                <w:p w14:paraId="4062A87C">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1114" w:type="pct"/>
                  <w:vAlign w:val="center"/>
                </w:tcPr>
                <w:p w14:paraId="0336A8F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乳化炸药</w:t>
                  </w:r>
                </w:p>
              </w:tc>
              <w:tc>
                <w:tcPr>
                  <w:tcW w:w="2174" w:type="pct"/>
                  <w:vAlign w:val="center"/>
                </w:tcPr>
                <w:p w14:paraId="645F234F">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硝酸铵、硝酸钠、乳化剂、油相</w:t>
                  </w:r>
                </w:p>
              </w:tc>
              <w:tc>
                <w:tcPr>
                  <w:tcW w:w="1033" w:type="pct"/>
                  <w:tcBorders>
                    <w:right w:val="nil"/>
                  </w:tcBorders>
                  <w:vAlign w:val="center"/>
                </w:tcPr>
                <w:p w14:paraId="62CDD57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纸箱</w:t>
                  </w:r>
                </w:p>
              </w:tc>
            </w:tr>
            <w:tr w14:paraId="3089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pct"/>
                  <w:tcBorders>
                    <w:left w:val="nil"/>
                  </w:tcBorders>
                  <w:vAlign w:val="center"/>
                </w:tcPr>
                <w:p w14:paraId="71D85B9A">
                  <w:pPr>
                    <w:pStyle w:val="4"/>
                    <w:autoSpaceDE w:val="0"/>
                    <w:ind w:firstLine="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114" w:type="pct"/>
                  <w:vAlign w:val="center"/>
                </w:tcPr>
                <w:p w14:paraId="0BA6B9EA">
                  <w:pPr>
                    <w:pStyle w:val="4"/>
                    <w:autoSpaceDE w:val="0"/>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数码电子雷管</w:t>
                  </w:r>
                </w:p>
              </w:tc>
              <w:tc>
                <w:tcPr>
                  <w:tcW w:w="2174" w:type="pct"/>
                  <w:shd w:val="clear" w:color="auto" w:fill="auto"/>
                  <w:vAlign w:val="center"/>
                </w:tcPr>
                <w:p w14:paraId="524714D2">
                  <w:pPr>
                    <w:pStyle w:val="4"/>
                    <w:autoSpaceDE w:val="0"/>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高压聚乙烯、其他同类基础雷管</w:t>
                  </w:r>
                </w:p>
              </w:tc>
              <w:tc>
                <w:tcPr>
                  <w:tcW w:w="1033" w:type="pct"/>
                  <w:tcBorders>
                    <w:right w:val="nil"/>
                  </w:tcBorders>
                  <w:shd w:val="clear" w:color="auto" w:fill="auto"/>
                  <w:vAlign w:val="center"/>
                </w:tcPr>
                <w:p w14:paraId="557CACA9">
                  <w:pPr>
                    <w:pStyle w:val="4"/>
                    <w:autoSpaceDE w:val="0"/>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纸箱</w:t>
                  </w:r>
                </w:p>
              </w:tc>
            </w:tr>
          </w:tbl>
          <w:p w14:paraId="101FBDA0">
            <w:pPr>
              <w:widowControl/>
              <w:spacing w:line="360" w:lineRule="auto"/>
              <w:ind w:firstLine="480" w:firstLineChars="200"/>
              <w:jc w:val="left"/>
              <w:rPr>
                <w:rFonts w:hint="default" w:ascii="Times New Roman" w:hAnsi="Times New Roman" w:cs="Times New Roman"/>
                <w:color w:val="auto"/>
                <w:kern w:val="0"/>
                <w:sz w:val="24"/>
                <w:lang w:bidi="ar"/>
              </w:rPr>
            </w:pPr>
            <w:r>
              <w:rPr>
                <w:rFonts w:hint="eastAsia" w:cs="Times New Roman"/>
                <w:color w:val="auto"/>
                <w:kern w:val="0"/>
                <w:sz w:val="24"/>
                <w:lang w:eastAsia="zh-CN" w:bidi="ar"/>
              </w:rPr>
              <w:t>（</w:t>
            </w:r>
            <w:r>
              <w:rPr>
                <w:rFonts w:hint="eastAsia" w:cs="Times New Roman"/>
                <w:color w:val="auto"/>
                <w:kern w:val="0"/>
                <w:sz w:val="24"/>
                <w:lang w:val="en-US" w:eastAsia="zh-CN" w:bidi="ar"/>
              </w:rPr>
              <w:t>1</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爆破品性质：</w:t>
            </w:r>
          </w:p>
          <w:p w14:paraId="016A030C">
            <w:pPr>
              <w:widowControl/>
              <w:spacing w:line="360" w:lineRule="auto"/>
              <w:ind w:firstLine="482" w:firstLineChars="200"/>
              <w:jc w:val="left"/>
              <w:rPr>
                <w:rFonts w:hint="default" w:ascii="Times New Roman" w:hAnsi="Times New Roman" w:cs="Times New Roman"/>
                <w:b/>
                <w:bCs/>
                <w:color w:val="auto"/>
                <w:kern w:val="0"/>
                <w:sz w:val="24"/>
                <w:lang w:bidi="ar"/>
              </w:rPr>
            </w:pPr>
            <w:r>
              <w:rPr>
                <w:rFonts w:hint="eastAsia" w:cs="Times New Roman"/>
                <w:b/>
                <w:bCs/>
                <w:color w:val="auto"/>
                <w:kern w:val="0"/>
                <w:sz w:val="24"/>
                <w:lang w:val="en-US" w:eastAsia="zh-CN" w:bidi="ar"/>
              </w:rPr>
              <w:t>①</w:t>
            </w:r>
            <w:r>
              <w:rPr>
                <w:rFonts w:hint="default" w:ascii="Times New Roman" w:hAnsi="Times New Roman" w:cs="Times New Roman"/>
                <w:b/>
                <w:bCs/>
                <w:color w:val="auto"/>
                <w:kern w:val="0"/>
                <w:sz w:val="24"/>
                <w:lang w:bidi="ar"/>
              </w:rPr>
              <w:t>乳化炸药</w:t>
            </w:r>
          </w:p>
          <w:p w14:paraId="259A2B14">
            <w:pPr>
              <w:widowControl/>
              <w:spacing w:line="360" w:lineRule="auto"/>
              <w:ind w:firstLine="480" w:firstLineChars="200"/>
              <w:jc w:val="left"/>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组分与用途</w:t>
            </w:r>
            <w:r>
              <w:rPr>
                <w:rFonts w:hint="eastAsia" w:cs="Times New Roman"/>
                <w:color w:val="auto"/>
                <w:kern w:val="0"/>
                <w:sz w:val="24"/>
                <w:lang w:eastAsia="zh-CN" w:bidi="ar"/>
              </w:rPr>
              <w:t>：</w:t>
            </w:r>
          </w:p>
          <w:p w14:paraId="7D9EE839">
            <w:pPr>
              <w:widowControl/>
              <w:spacing w:line="360" w:lineRule="auto"/>
              <w:ind w:firstLine="480" w:firstLineChars="200"/>
              <w:jc w:val="left"/>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规格品种</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包装炸药</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药卷一般为</w:t>
            </w:r>
            <w:r>
              <w:rPr>
                <w:rFonts w:hint="eastAsia" w:ascii="微软雅黑" w:hAnsi="微软雅黑" w:eastAsia="微软雅黑" w:cs="微软雅黑"/>
                <w:color w:val="auto"/>
                <w:kern w:val="0"/>
                <w:sz w:val="24"/>
                <w:lang w:bidi="ar"/>
              </w:rPr>
              <w:t>∮</w:t>
            </w:r>
            <w:r>
              <w:rPr>
                <w:rFonts w:hint="default" w:ascii="Times New Roman" w:hAnsi="Times New Roman" w:cs="Times New Roman"/>
                <w:color w:val="auto"/>
                <w:kern w:val="0"/>
                <w:sz w:val="24"/>
                <w:lang w:bidi="ar"/>
              </w:rPr>
              <w:t>35、</w:t>
            </w:r>
            <w:r>
              <w:rPr>
                <w:rFonts w:hint="eastAsia" w:ascii="微软雅黑" w:hAnsi="微软雅黑" w:eastAsia="微软雅黑" w:cs="微软雅黑"/>
                <w:color w:val="auto"/>
                <w:kern w:val="0"/>
                <w:sz w:val="24"/>
                <w:lang w:bidi="ar"/>
              </w:rPr>
              <w:t>∮</w:t>
            </w:r>
            <w:r>
              <w:rPr>
                <w:rFonts w:hint="default" w:ascii="Times New Roman" w:hAnsi="Times New Roman" w:cs="Times New Roman"/>
                <w:color w:val="auto"/>
                <w:kern w:val="0"/>
                <w:sz w:val="24"/>
                <w:lang w:bidi="ar"/>
              </w:rPr>
              <w:t>32</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和散装炸药，品种有煤矿型和岩石型等，外观为膏状体和粉状物</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分有雷管感度和无雷管感度</w:t>
            </w:r>
            <w:r>
              <w:rPr>
                <w:rFonts w:hint="eastAsia" w:cs="Times New Roman"/>
                <w:color w:val="auto"/>
                <w:kern w:val="0"/>
                <w:sz w:val="24"/>
                <w:lang w:eastAsia="zh-CN" w:bidi="ar"/>
              </w:rPr>
              <w:t>。</w:t>
            </w:r>
          </w:p>
          <w:p w14:paraId="5DE16A75">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组分</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硝酸铵、油相、乳化剂、水等。</w:t>
            </w:r>
          </w:p>
          <w:p w14:paraId="0C023120">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起爆方式</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各种雷管和导爆索等。</w:t>
            </w:r>
          </w:p>
          <w:p w14:paraId="0B31C715">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包装方式</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木箱或纸箱。</w:t>
            </w:r>
          </w:p>
          <w:p w14:paraId="0BC6B1A4">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质量保质期</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煤矿型为4个月、岩石型为6个月。</w:t>
            </w:r>
          </w:p>
          <w:p w14:paraId="4ECEC8B7">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用途</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主要用于各种爆破作业。</w:t>
            </w:r>
          </w:p>
          <w:p w14:paraId="66B1619F">
            <w:pPr>
              <w:widowControl/>
              <w:spacing w:line="360" w:lineRule="auto"/>
              <w:ind w:firstLine="480" w:firstLineChars="200"/>
              <w:jc w:val="left"/>
              <w:rPr>
                <w:rFonts w:hint="eastAsia"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bidi="ar"/>
              </w:rPr>
              <w:t>特性及性能指标</w:t>
            </w:r>
            <w:r>
              <w:rPr>
                <w:rFonts w:hint="eastAsia" w:cs="Times New Roman"/>
                <w:color w:val="auto"/>
                <w:kern w:val="0"/>
                <w:sz w:val="24"/>
                <w:lang w:eastAsia="zh-CN" w:bidi="ar"/>
              </w:rPr>
              <w:t>：</w:t>
            </w:r>
          </w:p>
          <w:p w14:paraId="0FDBA3AF">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危险性</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裸露状态下乳化炸药对火焰、静电、摩擦和撞击等能量</w:t>
            </w:r>
            <w:r>
              <w:rPr>
                <w:rFonts w:hint="eastAsia" w:cs="Times New Roman"/>
                <w:color w:val="auto"/>
                <w:kern w:val="0"/>
                <w:sz w:val="24"/>
                <w:lang w:eastAsia="zh-CN" w:bidi="ar"/>
              </w:rPr>
              <w:t>刺激</w:t>
            </w:r>
            <w:r>
              <w:rPr>
                <w:rFonts w:hint="default" w:ascii="Times New Roman" w:hAnsi="Times New Roman" w:cs="Times New Roman"/>
                <w:color w:val="auto"/>
                <w:kern w:val="0"/>
                <w:sz w:val="24"/>
                <w:lang w:bidi="ar"/>
              </w:rPr>
              <w:t>相对钝感，但对冲击波、强热等击发容易引起燃烧爆炸。</w:t>
            </w:r>
          </w:p>
          <w:p w14:paraId="78DEBD18">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性能指标</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爆速≥2800m/s，</w:t>
            </w:r>
            <w:r>
              <w:rPr>
                <w:rFonts w:hint="eastAsia" w:cs="Times New Roman"/>
                <w:color w:val="auto"/>
                <w:kern w:val="0"/>
                <w:sz w:val="24"/>
                <w:lang w:eastAsia="zh-CN" w:bidi="ar"/>
              </w:rPr>
              <w:t>做功</w:t>
            </w:r>
            <w:r>
              <w:rPr>
                <w:rFonts w:hint="default" w:ascii="Times New Roman" w:hAnsi="Times New Roman" w:cs="Times New Roman"/>
                <w:color w:val="auto"/>
                <w:kern w:val="0"/>
                <w:sz w:val="24"/>
                <w:lang w:bidi="ar"/>
              </w:rPr>
              <w:t>能力≥210mL，猛度≥8mm，殉爆距离≥2cm、1发雷管可直接起爆、撞击感度为0~10%、摩擦感度为0~20%、热感度0~3%。</w:t>
            </w:r>
          </w:p>
          <w:p w14:paraId="456DE7EA">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事故处理</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在运输、储存时，如果车辆或仓库着火应立即用水或使用专配灭火器灭火，如果产品着火应立即用水灭火</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在土堤外或安全部位</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如果发生强烈燃烧或爆炸应立即撤离。</w:t>
            </w:r>
          </w:p>
          <w:p w14:paraId="1E5E3177">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储运措施</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储存于阴凉、干燥、通风良好的专用仓库，远离火种、热源，避免阳光直射，最好单独存放</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要轻拿、轻放，存放的仓库要定员定量明确，存放条件应符合民爆物品规定要求</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使用符合要求的专用运输车运输。</w:t>
            </w:r>
          </w:p>
          <w:p w14:paraId="133ABD55">
            <w:pPr>
              <w:widowControl/>
              <w:spacing w:line="360" w:lineRule="auto"/>
              <w:ind w:firstLine="482" w:firstLineChars="200"/>
              <w:jc w:val="left"/>
              <w:rPr>
                <w:rFonts w:hint="eastAsia" w:ascii="Times New Roman" w:hAnsi="Times New Roman" w:cs="Times New Roman"/>
                <w:b/>
                <w:bCs/>
                <w:color w:val="auto"/>
                <w:kern w:val="0"/>
                <w:sz w:val="24"/>
                <w:lang w:val="en-US" w:eastAsia="zh-CN" w:bidi="ar"/>
              </w:rPr>
            </w:pPr>
            <w:r>
              <w:rPr>
                <w:rFonts w:hint="eastAsia" w:ascii="Times New Roman" w:hAnsi="Times New Roman" w:cs="Times New Roman"/>
                <w:b/>
                <w:bCs/>
                <w:color w:val="auto"/>
                <w:kern w:val="0"/>
                <w:sz w:val="24"/>
                <w:lang w:val="en-US" w:eastAsia="zh-CN" w:bidi="ar"/>
              </w:rPr>
              <w:t>②</w:t>
            </w:r>
            <w:r>
              <w:rPr>
                <w:rFonts w:hint="eastAsia" w:cs="Times New Roman"/>
                <w:b/>
                <w:bCs/>
                <w:color w:val="auto"/>
                <w:kern w:val="0"/>
                <w:sz w:val="24"/>
                <w:lang w:val="en-US" w:eastAsia="zh-CN" w:bidi="ar"/>
              </w:rPr>
              <w:t>工业</w:t>
            </w:r>
            <w:r>
              <w:rPr>
                <w:rFonts w:hint="eastAsia" w:ascii="Times New Roman" w:hAnsi="Times New Roman" w:cs="Times New Roman"/>
                <w:b/>
                <w:bCs/>
                <w:color w:val="auto"/>
                <w:kern w:val="0"/>
                <w:sz w:val="24"/>
                <w:lang w:val="en-US" w:eastAsia="zh-CN" w:bidi="ar"/>
              </w:rPr>
              <w:t>导爆索</w:t>
            </w:r>
          </w:p>
          <w:p w14:paraId="549ED019">
            <w:pPr>
              <w:widowControl/>
              <w:spacing w:line="360" w:lineRule="auto"/>
              <w:ind w:firstLine="480" w:firstLineChars="200"/>
              <w:jc w:val="left"/>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工业导爆索是由芯线、芯药</w:t>
            </w:r>
            <w:r>
              <w:rPr>
                <w:rFonts w:hint="eastAsia" w:cs="Times New Roman"/>
                <w:color w:val="auto"/>
                <w:kern w:val="0"/>
                <w:sz w:val="24"/>
                <w:lang w:val="en-US" w:eastAsia="zh-CN" w:bidi="ar"/>
              </w:rPr>
              <w:t>（</w:t>
            </w:r>
            <w:r>
              <w:rPr>
                <w:rFonts w:hint="default" w:ascii="Times New Roman" w:hAnsi="Times New Roman" w:cs="Times New Roman"/>
                <w:color w:val="auto"/>
                <w:kern w:val="0"/>
                <w:sz w:val="24"/>
                <w:lang w:val="en-US" w:eastAsia="zh-CN" w:bidi="ar"/>
              </w:rPr>
              <w:t>黑索金</w:t>
            </w:r>
            <w:r>
              <w:rPr>
                <w:rFonts w:hint="eastAsia" w:cs="Times New Roman"/>
                <w:color w:val="auto"/>
                <w:kern w:val="0"/>
                <w:sz w:val="24"/>
                <w:lang w:val="en-US" w:eastAsia="zh-CN" w:bidi="ar"/>
              </w:rPr>
              <w:t>）</w:t>
            </w:r>
            <w:r>
              <w:rPr>
                <w:rFonts w:hint="default" w:ascii="Times New Roman" w:hAnsi="Times New Roman" w:cs="Times New Roman"/>
                <w:color w:val="auto"/>
                <w:kern w:val="0"/>
                <w:sz w:val="24"/>
                <w:lang w:val="en-US" w:eastAsia="zh-CN" w:bidi="ar"/>
              </w:rPr>
              <w:t>及数层棉线和纸包缠制成。其表皮为红色，以区别于导火索。外径5.2~6.0mm，通常每卷为50m。用雷管起爆，爆速不小于5600m/秒。导爆索感度较灵敏，受到摩擦、撞击、枪弹贯穿和燃烧时，都易引起爆炸。防湿性能良好，两端密封，放入0.5m深的常温静水中，经24小时不失去爆炸性能。</w:t>
            </w:r>
          </w:p>
          <w:p w14:paraId="4729E181">
            <w:pPr>
              <w:widowControl/>
              <w:spacing w:line="360" w:lineRule="auto"/>
              <w:ind w:firstLine="480" w:firstLineChars="200"/>
              <w:jc w:val="left"/>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注意事项</w:t>
            </w:r>
            <w:r>
              <w:rPr>
                <w:rFonts w:hint="eastAsia" w:cs="Times New Roman"/>
                <w:color w:val="auto"/>
                <w:kern w:val="0"/>
                <w:sz w:val="24"/>
                <w:lang w:val="en-US" w:eastAsia="zh-CN" w:bidi="ar"/>
              </w:rPr>
              <w:t>：</w:t>
            </w:r>
            <w:r>
              <w:rPr>
                <w:rFonts w:hint="default" w:ascii="Times New Roman" w:hAnsi="Times New Roman" w:cs="Times New Roman"/>
                <w:color w:val="auto"/>
                <w:kern w:val="0"/>
                <w:sz w:val="24"/>
                <w:lang w:val="en-US" w:eastAsia="zh-CN" w:bidi="ar"/>
              </w:rPr>
              <w:t>在搬运和使用过程中，应轻拿轻放、防止坠落，撞击。禁止与火源接近，严格遵守爆破作业安全守则。</w:t>
            </w:r>
          </w:p>
          <w:p w14:paraId="1D3B3190">
            <w:pPr>
              <w:widowControl/>
              <w:spacing w:line="360" w:lineRule="auto"/>
              <w:ind w:firstLine="480" w:firstLineChars="200"/>
              <w:jc w:val="left"/>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贮存与保管</w:t>
            </w:r>
            <w:r>
              <w:rPr>
                <w:rFonts w:hint="eastAsia" w:cs="Times New Roman"/>
                <w:color w:val="auto"/>
                <w:kern w:val="0"/>
                <w:sz w:val="24"/>
                <w:lang w:val="en-US" w:eastAsia="zh-CN" w:bidi="ar"/>
              </w:rPr>
              <w:t>：</w:t>
            </w:r>
            <w:r>
              <w:rPr>
                <w:rFonts w:hint="default" w:ascii="Times New Roman" w:hAnsi="Times New Roman" w:cs="Times New Roman"/>
                <w:color w:val="auto"/>
                <w:kern w:val="0"/>
                <w:sz w:val="24"/>
                <w:lang w:val="en-US" w:eastAsia="zh-CN" w:bidi="ar"/>
              </w:rPr>
              <w:t>储存于阴凉、干燥、通风良好的专用库房，远离火种、热源，避免阳光直射，最好单独存放</w:t>
            </w:r>
            <w:r>
              <w:rPr>
                <w:rFonts w:hint="eastAsia" w:cs="Times New Roman"/>
                <w:color w:val="auto"/>
                <w:kern w:val="0"/>
                <w:sz w:val="24"/>
                <w:lang w:val="en-US" w:eastAsia="zh-CN" w:bidi="ar"/>
              </w:rPr>
              <w:t>；</w:t>
            </w:r>
            <w:r>
              <w:rPr>
                <w:rFonts w:hint="default" w:ascii="Times New Roman" w:hAnsi="Times New Roman" w:cs="Times New Roman"/>
                <w:color w:val="auto"/>
                <w:kern w:val="0"/>
                <w:sz w:val="24"/>
                <w:lang w:val="en-US" w:eastAsia="zh-CN" w:bidi="ar"/>
              </w:rPr>
              <w:t>要轻拿、轻放，存放的库房要定员定量明确，存放条件应符合民爆物品规定要求</w:t>
            </w:r>
            <w:r>
              <w:rPr>
                <w:rFonts w:hint="eastAsia" w:cs="Times New Roman"/>
                <w:color w:val="auto"/>
                <w:kern w:val="0"/>
                <w:sz w:val="24"/>
                <w:lang w:val="en-US" w:eastAsia="zh-CN" w:bidi="ar"/>
              </w:rPr>
              <w:t>；</w:t>
            </w:r>
            <w:r>
              <w:rPr>
                <w:rFonts w:hint="default" w:ascii="Times New Roman" w:hAnsi="Times New Roman" w:cs="Times New Roman"/>
                <w:color w:val="auto"/>
                <w:kern w:val="0"/>
                <w:sz w:val="24"/>
                <w:lang w:val="en-US" w:eastAsia="zh-CN" w:bidi="ar"/>
              </w:rPr>
              <w:t>使用符合要求的专用运输车运输。</w:t>
            </w:r>
          </w:p>
          <w:p w14:paraId="79EA4E82">
            <w:pPr>
              <w:widowControl/>
              <w:spacing w:line="360" w:lineRule="auto"/>
              <w:ind w:firstLine="482" w:firstLineChars="200"/>
              <w:jc w:val="left"/>
              <w:rPr>
                <w:rFonts w:hint="default" w:ascii="Times New Roman" w:hAnsi="Times New Roman" w:eastAsia="宋体" w:cs="Times New Roman"/>
                <w:b/>
                <w:bCs/>
                <w:color w:val="auto"/>
                <w:kern w:val="0"/>
                <w:sz w:val="24"/>
                <w:lang w:bidi="ar"/>
              </w:rPr>
            </w:pPr>
            <w:r>
              <w:rPr>
                <w:rFonts w:hint="eastAsia" w:cs="Times New Roman"/>
                <w:b/>
                <w:bCs/>
                <w:color w:val="auto"/>
                <w:kern w:val="0"/>
                <w:sz w:val="24"/>
                <w:lang w:val="en-US" w:eastAsia="zh-CN" w:bidi="ar"/>
              </w:rPr>
              <w:t>③工业</w:t>
            </w:r>
            <w:r>
              <w:rPr>
                <w:rFonts w:hint="default" w:ascii="Times New Roman" w:hAnsi="Times New Roman" w:eastAsia="宋体" w:cs="Times New Roman"/>
                <w:b/>
                <w:bCs/>
                <w:color w:val="auto"/>
                <w:kern w:val="0"/>
                <w:sz w:val="24"/>
                <w:lang w:bidi="ar"/>
              </w:rPr>
              <w:t>数码电子雷管</w:t>
            </w:r>
          </w:p>
          <w:p w14:paraId="711E6930">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工业雷管是管壳内装有起爆药和猛炸药的工业火工品。管壳有纸壳、铁壳、覆铜壳、铝壳等。工业雷管是输出爆炸冲能的，用来引爆工业炸药装药的。工业雷管受热、撞击摩擦、冲击波、爆轰波、激光、火焰、雷电、静电、射频感应等可能引起燃烧、爆炸。</w:t>
            </w:r>
          </w:p>
          <w:p w14:paraId="45A02B6D">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工业雷管按引爆雷管的初始冲能分主要有电雷管、导爆管雷管和工业数码电子雷管等，本项目拟使用的雷管主要为</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工业数码电子雷管。</w:t>
            </w:r>
          </w:p>
          <w:p w14:paraId="37521985">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工业数码电子雷管为采用电子控制模块对起爆过程进行控制的电雷管，简称为电子雷管。其中电子控制模块是指置于数码电子雷管内部，具备雷管起爆延期时间控制、起爆能量控制功能，内置雷管身份信息码和起爆密码，能对自身功能、性能以及雷管点火元件的电性能进行测试</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并能和起爆控制器及其他外部控制设备进行通信的专用电路模块。电子雷管起爆系统基本上由三部分组成，即雷管、编码器和起爆器。编码器的功能，是在爆破现场对每发雷管设定所需的延期时间。起爆器</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控制整个爆破网路编程与触发起爆。</w:t>
            </w:r>
          </w:p>
          <w:p w14:paraId="012B7FBF">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产品性能</w:t>
            </w:r>
            <w:r>
              <w:rPr>
                <w:rFonts w:hint="eastAsia" w:cs="Times New Roman"/>
                <w:color w:val="auto"/>
                <w:kern w:val="0"/>
                <w:sz w:val="24"/>
                <w:lang w:val="en-US" w:eastAsia="zh-CN" w:bidi="ar"/>
              </w:rPr>
              <w:t>：</w:t>
            </w:r>
          </w:p>
          <w:p w14:paraId="3DC46D88">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A</w:t>
            </w:r>
            <w:r>
              <w:rPr>
                <w:rFonts w:hint="eastAsia" w:ascii="Times New Roman" w:hAnsi="Times New Roman" w:eastAsia="宋体" w:cs="Times New Roman"/>
                <w:color w:val="auto"/>
                <w:kern w:val="0"/>
                <w:sz w:val="24"/>
                <w:lang w:val="en-US" w:eastAsia="zh-CN" w:bidi="ar"/>
              </w:rPr>
              <w:t>、可检测性</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电子雷管在收到来自起爆控制器或检测设备的检测指令后，应能对电子控制模块和点火元件的电路状态进行检测。</w:t>
            </w:r>
          </w:p>
          <w:p w14:paraId="5171611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B</w:t>
            </w:r>
            <w:r>
              <w:rPr>
                <w:rFonts w:hint="eastAsia" w:ascii="Times New Roman" w:hAnsi="Times New Roman" w:eastAsia="宋体" w:cs="Times New Roman"/>
                <w:color w:val="auto"/>
                <w:kern w:val="0"/>
                <w:sz w:val="24"/>
                <w:lang w:val="en-US" w:eastAsia="zh-CN" w:bidi="ar"/>
              </w:rPr>
              <w:t>、抗震性能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将电子雷管置于凸轮转速为</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60±1</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r/min、落高为</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150±2</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mm的震动试验机中，连续震动10min，震动过程中电子雷管不应发生爆炸、结构松散或损坏等现象</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震动完毕后，电子雷管应能正常起爆。</w:t>
            </w:r>
          </w:p>
          <w:p w14:paraId="5B80AF1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C</w:t>
            </w:r>
            <w:r>
              <w:rPr>
                <w:rFonts w:hint="eastAsia" w:ascii="Times New Roman" w:hAnsi="Times New Roman" w:eastAsia="宋体" w:cs="Times New Roman"/>
                <w:color w:val="auto"/>
                <w:kern w:val="0"/>
                <w:sz w:val="24"/>
                <w:lang w:val="en-US" w:eastAsia="zh-CN" w:bidi="ar"/>
              </w:rPr>
              <w:t>、抗振性能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按照GJB5309.32-2004中表2规定的试验条件进行振动，振动过程中电子雷管不应发生爆炸、结构松散或损坏等现象</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振动完毕后，电子雷管应能正常起爆。</w:t>
            </w:r>
          </w:p>
          <w:p w14:paraId="06A4F23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D</w:t>
            </w:r>
            <w:r>
              <w:rPr>
                <w:rFonts w:hint="eastAsia" w:ascii="Times New Roman" w:hAnsi="Times New Roman" w:eastAsia="宋体" w:cs="Times New Roman"/>
                <w:color w:val="auto"/>
                <w:kern w:val="0"/>
                <w:sz w:val="24"/>
                <w:lang w:val="en-US" w:eastAsia="zh-CN" w:bidi="ar"/>
              </w:rPr>
              <w:t>、抗弯性能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对电子雷管的主装药及电子控制模块部位分别施加</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50±0.1</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N的径向载荷，电子雷管不应发生爆炸，管壳不应呈现明显的裂纹或折痕。</w:t>
            </w:r>
          </w:p>
          <w:p w14:paraId="2BA1A7EC">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E</w:t>
            </w:r>
            <w:r>
              <w:rPr>
                <w:rFonts w:hint="eastAsia" w:ascii="Times New Roman" w:hAnsi="Times New Roman" w:eastAsia="宋体" w:cs="Times New Roman"/>
                <w:color w:val="auto"/>
                <w:kern w:val="0"/>
                <w:sz w:val="24"/>
                <w:lang w:val="en-US" w:eastAsia="zh-CN" w:bidi="ar"/>
              </w:rPr>
              <w:t>、抗击性能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在落锤质量</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2.0±0.002</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kg、落高</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0.8±0.01</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m的条件下，分别撞击电子雷管中的电引火头及起爆药装药部位，电子雷管不应发生爆炸。</w:t>
            </w:r>
          </w:p>
          <w:p w14:paraId="33594618">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F</w:t>
            </w:r>
            <w:r>
              <w:rPr>
                <w:rFonts w:hint="eastAsia" w:ascii="Times New Roman" w:hAnsi="Times New Roman" w:eastAsia="宋体" w:cs="Times New Roman"/>
                <w:color w:val="auto"/>
                <w:kern w:val="0"/>
                <w:sz w:val="24"/>
                <w:lang w:val="en-US" w:eastAsia="zh-CN" w:bidi="ar"/>
              </w:rPr>
              <w:t>、抗跌落性能</w:t>
            </w:r>
            <w:r>
              <w:rPr>
                <w:rFonts w:hint="eastAsia" w:cs="Times New Roman"/>
                <w:color w:val="auto"/>
                <w:kern w:val="0"/>
                <w:sz w:val="24"/>
                <w:lang w:val="en-US" w:eastAsia="zh-CN" w:bidi="ar"/>
              </w:rPr>
              <w:t>：</w:t>
            </w:r>
          </w:p>
          <w:p w14:paraId="19D5DBE1">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自由跌落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电子雷管从距离水平混凝土地面垂直高度为</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5±0.05</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m的高处自由跌落，不应发生爆炸或结构损坏，电子雷管应能正常起爆。</w:t>
            </w:r>
          </w:p>
          <w:p w14:paraId="58DB3767">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导向跌落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电子雷管底部朝下从垂直竖立的</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5±0.05</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m长钢管内跌落至钢板上，不应发生爆炸或结构损坏，电子雷管应能正常起爆。</w:t>
            </w:r>
          </w:p>
          <w:p w14:paraId="0A845C4F">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G</w:t>
            </w:r>
            <w:r>
              <w:rPr>
                <w:rFonts w:hint="eastAsia" w:ascii="Times New Roman" w:hAnsi="Times New Roman" w:eastAsia="宋体" w:cs="Times New Roman"/>
                <w:color w:val="auto"/>
                <w:kern w:val="0"/>
                <w:sz w:val="24"/>
                <w:lang w:val="en-US" w:eastAsia="zh-CN" w:bidi="ar"/>
              </w:rPr>
              <w:t>、抗水性能</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常温下，将电子雷管浸入压力为</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0.05±0.002</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MPa的水中，保持4h</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取出后，电子雷管应能正常起爆。</w:t>
            </w:r>
          </w:p>
          <w:p w14:paraId="0377BEC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highlight w:val="none"/>
                <w:lang w:val="en-US" w:eastAsia="zh-CN" w:bidi="ar"/>
              </w:rPr>
              <w:t>H</w:t>
            </w:r>
            <w:r>
              <w:rPr>
                <w:rFonts w:hint="eastAsia" w:ascii="Times New Roman" w:hAnsi="Times New Roman" w:eastAsia="宋体" w:cs="Times New Roman"/>
                <w:color w:val="auto"/>
                <w:kern w:val="0"/>
                <w:sz w:val="24"/>
                <w:highlight w:val="none"/>
                <w:lang w:val="en-US" w:eastAsia="zh-CN" w:bidi="ar"/>
              </w:rPr>
              <w:t>、抗拉性能</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将电子雷管</w:t>
            </w:r>
            <w:r>
              <w:rPr>
                <w:rFonts w:hint="eastAsia" w:ascii="Times New Roman" w:hAnsi="Times New Roman" w:eastAsia="宋体" w:cs="Times New Roman"/>
                <w:color w:val="auto"/>
                <w:kern w:val="0"/>
                <w:sz w:val="24"/>
                <w:lang w:val="en-US" w:eastAsia="zh-CN" w:bidi="ar"/>
              </w:rPr>
              <w:t>在19.6N的静拉力作用下持续1min，电子雷管密封塞和脚线不应发生目视可见的损坏和移动，电子雷管应能正常起爆。</w:t>
            </w:r>
          </w:p>
          <w:p w14:paraId="2585D7F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I</w:t>
            </w:r>
            <w:r>
              <w:rPr>
                <w:rFonts w:hint="eastAsia" w:ascii="Times New Roman" w:hAnsi="Times New Roman" w:eastAsia="宋体" w:cs="Times New Roman"/>
                <w:color w:val="auto"/>
                <w:kern w:val="0"/>
                <w:sz w:val="24"/>
                <w:lang w:val="en-US" w:eastAsia="zh-CN" w:bidi="ar"/>
              </w:rPr>
              <w:t>、耐温性能</w:t>
            </w:r>
            <w:r>
              <w:rPr>
                <w:rFonts w:hint="eastAsia" w:cs="Times New Roman"/>
                <w:color w:val="auto"/>
                <w:kern w:val="0"/>
                <w:sz w:val="24"/>
                <w:lang w:val="en-US" w:eastAsia="zh-CN" w:bidi="ar"/>
              </w:rPr>
              <w:t>：</w:t>
            </w:r>
          </w:p>
          <w:p w14:paraId="7C2499CB">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耐温性能应符合下列要求</w:t>
            </w:r>
            <w:r>
              <w:rPr>
                <w:rFonts w:hint="eastAsia" w:cs="Times New Roman"/>
                <w:color w:val="auto"/>
                <w:kern w:val="0"/>
                <w:sz w:val="24"/>
                <w:lang w:val="en-US" w:eastAsia="zh-CN" w:bidi="ar"/>
              </w:rPr>
              <w:t>：</w:t>
            </w:r>
          </w:p>
          <w:p w14:paraId="52464C71">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1</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在85C的环境中保持4h不应发生爆炸，取出后应能正常起爆</w:t>
            </w:r>
            <w:r>
              <w:rPr>
                <w:rFonts w:hint="eastAsia" w:cs="Times New Roman"/>
                <w:color w:val="auto"/>
                <w:kern w:val="0"/>
                <w:sz w:val="24"/>
                <w:lang w:val="en-US" w:eastAsia="zh-CN" w:bidi="ar"/>
              </w:rPr>
              <w:t>；</w:t>
            </w:r>
          </w:p>
          <w:p w14:paraId="0C00D126">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2</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在-40C的环境中保持4h后应能正常起爆。</w:t>
            </w:r>
          </w:p>
          <w:p w14:paraId="3D535ED6">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耐温度冲击性能</w:t>
            </w:r>
            <w:r>
              <w:rPr>
                <w:rFonts w:hint="eastAsia" w:cs="Times New Roman"/>
                <w:color w:val="auto"/>
                <w:kern w:val="0"/>
                <w:sz w:val="24"/>
                <w:highlight w:val="none"/>
                <w:lang w:val="en-US" w:eastAsia="zh-CN" w:bidi="ar"/>
              </w:rPr>
              <w:t>：</w:t>
            </w:r>
          </w:p>
          <w:p w14:paraId="29183521">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J</w:t>
            </w:r>
            <w:r>
              <w:rPr>
                <w:rFonts w:hint="eastAsia" w:ascii="Times New Roman" w:hAnsi="Times New Roman" w:eastAsia="宋体" w:cs="Times New Roman"/>
                <w:color w:val="auto"/>
                <w:kern w:val="0"/>
                <w:sz w:val="24"/>
                <w:highlight w:val="none"/>
                <w:lang w:val="en-US" w:eastAsia="zh-CN" w:bidi="ar"/>
              </w:rPr>
              <w:t>、电子雷管经-40℃保持3h、80保持3h，温度转换时间20s~30s，循环3次，电子雷管不应发生爆炸</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取出后，常温保持1h，电子雷管应能正常起爆。</w:t>
            </w:r>
          </w:p>
          <w:p w14:paraId="346551A6">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K</w:t>
            </w:r>
            <w:r>
              <w:rPr>
                <w:rFonts w:hint="eastAsia" w:ascii="Times New Roman" w:hAnsi="Times New Roman" w:eastAsia="宋体" w:cs="Times New Roman"/>
                <w:color w:val="auto"/>
                <w:kern w:val="0"/>
                <w:sz w:val="24"/>
                <w:highlight w:val="none"/>
                <w:lang w:val="en-US" w:eastAsia="zh-CN" w:bidi="ar"/>
              </w:rPr>
              <w:t>、抗直流性能</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向电子雷管施加48V直流电压，保持10s，电子雷管不应发生爆炸。</w:t>
            </w:r>
          </w:p>
          <w:p w14:paraId="41A589F8">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L</w:t>
            </w:r>
            <w:r>
              <w:rPr>
                <w:rFonts w:hint="eastAsia" w:ascii="Times New Roman" w:hAnsi="Times New Roman" w:eastAsia="宋体" w:cs="Times New Roman"/>
                <w:color w:val="auto"/>
                <w:kern w:val="0"/>
                <w:sz w:val="24"/>
                <w:highlight w:val="none"/>
                <w:lang w:val="en-US" w:eastAsia="zh-CN" w:bidi="ar"/>
              </w:rPr>
              <w:t>、抗交流性能</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向电子雷管施加220V/50Hz交流电压，保持10s，电子雷管不应发生爆炸。</w:t>
            </w:r>
          </w:p>
          <w:p w14:paraId="4ABDCB16">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M</w:t>
            </w:r>
            <w:r>
              <w:rPr>
                <w:rFonts w:hint="eastAsia" w:ascii="Times New Roman" w:hAnsi="Times New Roman" w:eastAsia="宋体" w:cs="Times New Roman"/>
                <w:color w:val="auto"/>
                <w:kern w:val="0"/>
                <w:sz w:val="24"/>
                <w:highlight w:val="none"/>
                <w:lang w:val="en-US" w:eastAsia="zh-CN" w:bidi="ar"/>
              </w:rPr>
              <w:t>、静电感度</w:t>
            </w:r>
            <w:r>
              <w:rPr>
                <w:rFonts w:hint="eastAsia" w:cs="Times New Roman"/>
                <w:color w:val="auto"/>
                <w:kern w:val="0"/>
                <w:sz w:val="24"/>
                <w:highlight w:val="none"/>
                <w:lang w:val="en-US" w:eastAsia="zh-CN" w:bidi="ar"/>
              </w:rPr>
              <w:t>：</w:t>
            </w:r>
          </w:p>
          <w:p w14:paraId="6E53B87D">
            <w:pPr>
              <w:widowControl/>
              <w:spacing w:line="360" w:lineRule="auto"/>
              <w:ind w:firstLine="480" w:firstLineChars="200"/>
              <w:jc w:val="left"/>
              <w:rPr>
                <w:rFonts w:hint="eastAsia"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电子雷管的静电感度应符合以下要求</w:t>
            </w:r>
            <w:r>
              <w:rPr>
                <w:rFonts w:hint="eastAsia" w:cs="Times New Roman"/>
                <w:color w:val="auto"/>
                <w:kern w:val="0"/>
                <w:sz w:val="24"/>
                <w:highlight w:val="none"/>
                <w:lang w:val="en-US" w:eastAsia="zh-CN" w:bidi="ar"/>
              </w:rPr>
              <w:t>：</w:t>
            </w:r>
          </w:p>
          <w:p w14:paraId="1A3EA69B">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1</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在电容为500pF、串联电阻为50002及充电电压为25kV的条件下，对电子雷管的脚线一脚线、脚线一管壳放电，电子雷管不应发生爆炸</w:t>
            </w:r>
            <w:r>
              <w:rPr>
                <w:rFonts w:hint="eastAsia" w:cs="Times New Roman"/>
                <w:color w:val="auto"/>
                <w:kern w:val="0"/>
                <w:sz w:val="24"/>
                <w:highlight w:val="none"/>
                <w:lang w:val="en-US" w:eastAsia="zh-CN" w:bidi="ar"/>
              </w:rPr>
              <w:t>；</w:t>
            </w:r>
          </w:p>
          <w:p w14:paraId="21F47FF2">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2</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在电容为2000pF、串联电阻为02及充电电压为8kV的条件下，对电子雷管的脚线一脚线、脚线一管壳放电，电子雷管不应发生爆炸。</w:t>
            </w:r>
          </w:p>
          <w:p w14:paraId="0952B066">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N</w:t>
            </w:r>
            <w:r>
              <w:rPr>
                <w:rFonts w:hint="eastAsia" w:ascii="Times New Roman" w:hAnsi="Times New Roman" w:eastAsia="宋体" w:cs="Times New Roman"/>
                <w:color w:val="auto"/>
                <w:kern w:val="0"/>
                <w:sz w:val="24"/>
                <w:highlight w:val="none"/>
                <w:lang w:val="en-US" w:eastAsia="zh-CN" w:bidi="ar"/>
              </w:rPr>
              <w:t>、射频感度</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按照GB/T27602的方法进行检测。用功率为10W的射频源向电子雷管注入射频能量，在脚线一脚线及脚线一管壳两种模式下，电子雷管均不应发生爆炸。</w:t>
            </w:r>
          </w:p>
          <w:p w14:paraId="78406784">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O</w:t>
            </w:r>
            <w:r>
              <w:rPr>
                <w:rFonts w:hint="eastAsia" w:ascii="Times New Roman" w:hAnsi="Times New Roman" w:eastAsia="宋体" w:cs="Times New Roman"/>
                <w:color w:val="auto"/>
                <w:kern w:val="0"/>
                <w:sz w:val="24"/>
                <w:highlight w:val="none"/>
                <w:lang w:val="en-US" w:eastAsia="zh-CN" w:bidi="ar"/>
              </w:rPr>
              <w:t>、延期时间</w:t>
            </w:r>
            <w:r>
              <w:rPr>
                <w:rFonts w:hint="eastAsia" w:cs="Times New Roman"/>
                <w:color w:val="auto"/>
                <w:kern w:val="0"/>
                <w:sz w:val="24"/>
                <w:highlight w:val="none"/>
                <w:lang w:val="en-US" w:eastAsia="zh-CN" w:bidi="ar"/>
              </w:rPr>
              <w:t>：</w:t>
            </w:r>
          </w:p>
          <w:p w14:paraId="1B59BEF4">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电子雷管在-20℃、70℃以及常温试验条件下，均应满足以下要求</w:t>
            </w:r>
            <w:r>
              <w:rPr>
                <w:rFonts w:hint="eastAsia" w:cs="Times New Roman"/>
                <w:color w:val="auto"/>
                <w:kern w:val="0"/>
                <w:sz w:val="24"/>
                <w:highlight w:val="none"/>
                <w:lang w:val="en-US" w:eastAsia="zh-CN" w:bidi="ar"/>
              </w:rPr>
              <w:t>：</w:t>
            </w:r>
          </w:p>
          <w:p w14:paraId="5470475D">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延期时间不大于150ms时，误差不大于±1.5ms</w:t>
            </w:r>
            <w:r>
              <w:rPr>
                <w:rFonts w:hint="eastAsia" w:cs="Times New Roman"/>
                <w:color w:val="auto"/>
                <w:kern w:val="0"/>
                <w:sz w:val="24"/>
                <w:highlight w:val="none"/>
                <w:lang w:val="en-US" w:eastAsia="zh-CN" w:bidi="ar"/>
              </w:rPr>
              <w:t>；</w:t>
            </w:r>
          </w:p>
          <w:p w14:paraId="7E9F7CFD">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延期时间大于150ms时，相对误差不大于±1%。</w:t>
            </w:r>
          </w:p>
          <w:p w14:paraId="4BDD77ED">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P</w:t>
            </w:r>
            <w:r>
              <w:rPr>
                <w:rFonts w:hint="eastAsia" w:ascii="Times New Roman" w:hAnsi="Times New Roman" w:eastAsia="宋体" w:cs="Times New Roman"/>
                <w:color w:val="auto"/>
                <w:kern w:val="0"/>
                <w:sz w:val="24"/>
                <w:highlight w:val="none"/>
                <w:lang w:val="en-US" w:eastAsia="zh-CN" w:bidi="ar"/>
              </w:rPr>
              <w:t>、起爆能力</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6号电子雷管应能炸穿4mm厚铅板，8号电子雷管应能炸穿5mm厚铅板，穿孔直径应大于电子雷管外径。其他规格电子雷管的起爆能力由供需双方协商确定。</w:t>
            </w:r>
          </w:p>
          <w:p w14:paraId="6D559BBF">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Q</w:t>
            </w:r>
            <w:r>
              <w:rPr>
                <w:rFonts w:hint="eastAsia" w:ascii="Times New Roman" w:hAnsi="Times New Roman" w:eastAsia="宋体" w:cs="Times New Roman"/>
                <w:color w:val="auto"/>
                <w:kern w:val="0"/>
                <w:sz w:val="24"/>
                <w:highlight w:val="none"/>
                <w:lang w:val="en-US" w:eastAsia="zh-CN" w:bidi="ar"/>
              </w:rPr>
              <w:t>、可燃气安全度</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煤矿许用型电子雷管在浓度为9%的可燃气中起爆时，不应引爆可燃气。</w:t>
            </w:r>
          </w:p>
          <w:p w14:paraId="49A815DA">
            <w:pPr>
              <w:widowControl/>
              <w:spacing w:line="360" w:lineRule="auto"/>
              <w:ind w:firstLine="480" w:firstLineChars="200"/>
              <w:jc w:val="left"/>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贮存</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电子雷管在原包装条件下，贮存在通风良好、干燥、防火、防盜的库房内，保质期为两年。</w:t>
            </w:r>
          </w:p>
          <w:p w14:paraId="2437B986">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（2）爆破用品入场和储存要求</w:t>
            </w:r>
          </w:p>
          <w:p w14:paraId="03EB68A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1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①</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对新购进的爆破器材，应逐个检查包装情况，并按规定</w:t>
            </w:r>
            <w:r>
              <w:rPr>
                <w:rFonts w:hint="eastAsia" w:cs="Times New Roman"/>
                <w:color w:val="auto"/>
                <w:kern w:val="0"/>
                <w:sz w:val="24"/>
                <w:lang w:val="en-US" w:eastAsia="zh-CN" w:bidi="ar"/>
              </w:rPr>
              <w:t>做</w:t>
            </w:r>
            <w:r>
              <w:rPr>
                <w:rFonts w:hint="eastAsia" w:ascii="Times New Roman" w:hAnsi="Times New Roman" w:eastAsia="宋体" w:cs="Times New Roman"/>
                <w:color w:val="auto"/>
                <w:kern w:val="0"/>
                <w:sz w:val="24"/>
                <w:lang w:val="en-US" w:eastAsia="zh-CN" w:bidi="ar"/>
              </w:rPr>
              <w:t>性能检测：封条不完整应开箱验收，封条完整的抽箱验收，并核对生产时间是否过期、数量、规格、质量是否相符。</w:t>
            </w:r>
          </w:p>
          <w:p w14:paraId="30AFB1D7">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2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②</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严格出入库手续，严格按照当地公安机构核定的储量、种类进行储存。</w:t>
            </w:r>
          </w:p>
          <w:p w14:paraId="4F3750CD">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3 \* GB3 \* MERGEFORMAT </w:instrText>
            </w:r>
            <w:r>
              <w:rPr>
                <w:rFonts w:hint="eastAsia" w:ascii="Times New Roman" w:hAnsi="Times New Roman" w:eastAsia="宋体" w:cs="Times New Roman"/>
                <w:color w:val="auto"/>
                <w:kern w:val="0"/>
                <w:sz w:val="24"/>
                <w:lang w:val="en-US" w:eastAsia="zh-CN" w:bidi="ar"/>
              </w:rPr>
              <w:fldChar w:fldCharType="separate"/>
            </w:r>
            <w:r>
              <w:rPr>
                <w:rFonts w:hint="default" w:ascii="Times New Roman" w:hAnsi="Times New Roman" w:eastAsia="宋体" w:cs="Times New Roman"/>
                <w:color w:val="auto"/>
                <w:kern w:val="0"/>
                <w:sz w:val="24"/>
                <w:lang w:bidi="ar"/>
              </w:rPr>
              <w:t>③</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储存库内民用爆炸物品应成</w:t>
            </w:r>
            <w:r>
              <w:rPr>
                <w:rFonts w:hint="eastAsia" w:cs="Times New Roman"/>
                <w:color w:val="auto"/>
                <w:kern w:val="0"/>
                <w:sz w:val="24"/>
                <w:lang w:val="en-US" w:eastAsia="zh-CN" w:bidi="ar"/>
              </w:rPr>
              <w:t>垛</w:t>
            </w:r>
            <w:r>
              <w:rPr>
                <w:rFonts w:hint="eastAsia" w:ascii="Times New Roman" w:hAnsi="Times New Roman" w:eastAsia="宋体" w:cs="Times New Roman"/>
                <w:color w:val="auto"/>
                <w:kern w:val="0"/>
                <w:sz w:val="24"/>
                <w:lang w:val="en-US" w:eastAsia="zh-CN" w:bidi="ar"/>
              </w:rPr>
              <w:t>堆放，堆放稳固整齐。</w:t>
            </w:r>
          </w:p>
          <w:p w14:paraId="6F82C6DA">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4 \* GB3 \* MERGEFORMAT </w:instrText>
            </w:r>
            <w:r>
              <w:rPr>
                <w:rFonts w:hint="eastAsia" w:ascii="Times New Roman" w:hAnsi="Times New Roman" w:eastAsia="宋体" w:cs="Times New Roman"/>
                <w:color w:val="auto"/>
                <w:kern w:val="0"/>
                <w:sz w:val="24"/>
                <w:lang w:val="en-US" w:eastAsia="zh-CN" w:bidi="ar"/>
              </w:rPr>
              <w:fldChar w:fldCharType="separate"/>
            </w:r>
            <w:r>
              <w:rPr>
                <w:rFonts w:hint="default" w:ascii="Times New Roman" w:hAnsi="Times New Roman" w:eastAsia="宋体" w:cs="Times New Roman"/>
                <w:color w:val="auto"/>
                <w:kern w:val="0"/>
                <w:sz w:val="24"/>
                <w:lang w:bidi="ar"/>
              </w:rPr>
              <w:t>④</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储存库内应有标记品种、规格和数量的标识牌。同库储存多品种民用爆炸物品时，不同品种、规格应分别堆放，并有明显标志。雷管和炸药不得同库或者同车存放。</w:t>
            </w:r>
          </w:p>
          <w:p w14:paraId="5DFCF02F">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5 \* GB3 \* MERGEFORMAT </w:instrText>
            </w:r>
            <w:r>
              <w:rPr>
                <w:rFonts w:hint="eastAsia" w:ascii="Times New Roman" w:hAnsi="Times New Roman" w:eastAsia="宋体" w:cs="Times New Roman"/>
                <w:color w:val="auto"/>
                <w:kern w:val="0"/>
                <w:sz w:val="24"/>
                <w:lang w:val="en-US" w:eastAsia="zh-CN" w:bidi="ar"/>
              </w:rPr>
              <w:fldChar w:fldCharType="separate"/>
            </w:r>
            <w:r>
              <w:rPr>
                <w:rFonts w:hint="default" w:ascii="Times New Roman" w:hAnsi="Times New Roman" w:eastAsia="宋体" w:cs="Times New Roman"/>
                <w:color w:val="auto"/>
                <w:kern w:val="0"/>
                <w:sz w:val="24"/>
                <w:lang w:bidi="ar"/>
              </w:rPr>
              <w:t>⑤</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堆垛之间应留有检查、清点民用爆炸物品的通道，堆垛与墙面之间、堆垛与堆垛之间应设置不宜小于0.6米宽的检查通道和不宜小于1.2</w:t>
            </w:r>
            <w:r>
              <w:rPr>
                <w:rFonts w:hint="eastAsia" w:cs="Times New Roman"/>
                <w:color w:val="auto"/>
                <w:kern w:val="0"/>
                <w:sz w:val="24"/>
                <w:lang w:val="en-US" w:eastAsia="zh-CN" w:bidi="ar"/>
              </w:rPr>
              <w:t>m</w:t>
            </w:r>
            <w:r>
              <w:rPr>
                <w:rFonts w:hint="eastAsia" w:ascii="Times New Roman" w:hAnsi="Times New Roman" w:eastAsia="宋体" w:cs="Times New Roman"/>
                <w:color w:val="auto"/>
                <w:kern w:val="0"/>
                <w:sz w:val="24"/>
                <w:lang w:val="en-US" w:eastAsia="zh-CN" w:bidi="ar"/>
              </w:rPr>
              <w:t>。</w:t>
            </w:r>
          </w:p>
          <w:p w14:paraId="0B06DA94">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fldChar w:fldCharType="begin"/>
            </w:r>
            <w:r>
              <w:rPr>
                <w:rFonts w:hint="default" w:ascii="Times New Roman" w:hAnsi="Times New Roman" w:eastAsia="宋体" w:cs="Times New Roman"/>
                <w:color w:val="auto"/>
                <w:kern w:val="0"/>
                <w:sz w:val="24"/>
                <w:lang w:val="en-US" w:eastAsia="zh-CN" w:bidi="ar"/>
              </w:rPr>
              <w:instrText xml:space="preserve"> = 6 \* GB3 \* MERGEFORMAT </w:instrText>
            </w:r>
            <w:r>
              <w:rPr>
                <w:rFonts w:hint="default" w:ascii="Times New Roman" w:hAnsi="Times New Roman" w:eastAsia="宋体" w:cs="Times New Roman"/>
                <w:color w:val="auto"/>
                <w:kern w:val="0"/>
                <w:sz w:val="24"/>
                <w:lang w:val="en-US" w:eastAsia="zh-CN" w:bidi="ar"/>
              </w:rPr>
              <w:fldChar w:fldCharType="separate"/>
            </w:r>
            <w:r>
              <w:rPr>
                <w:rFonts w:hint="default" w:ascii="Times New Roman" w:hAnsi="Times New Roman" w:eastAsia="宋体" w:cs="Times New Roman"/>
                <w:color w:val="auto"/>
                <w:kern w:val="0"/>
                <w:sz w:val="24"/>
                <w:lang w:bidi="ar"/>
              </w:rPr>
              <w:t>⑥</w:t>
            </w:r>
            <w:r>
              <w:rPr>
                <w:rFonts w:hint="default"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各种民用爆炸物品整箱堆放高度，工业雷管不应超过1.6m，炸药不应超过1.8m，宜画线定置限高堆放。</w:t>
            </w:r>
          </w:p>
          <w:p w14:paraId="15952C85">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7 \* GB3 \* MERGEFORMAT </w:instrText>
            </w:r>
            <w:r>
              <w:rPr>
                <w:rFonts w:hint="eastAsia" w:ascii="Times New Roman" w:hAnsi="Times New Roman" w:eastAsia="宋体" w:cs="Times New Roman"/>
                <w:color w:val="auto"/>
                <w:kern w:val="0"/>
                <w:sz w:val="24"/>
                <w:lang w:val="en-US" w:eastAsia="zh-CN" w:bidi="ar"/>
              </w:rPr>
              <w:fldChar w:fldCharType="separate"/>
            </w:r>
            <w:r>
              <w:rPr>
                <w:rFonts w:hint="default" w:ascii="Times New Roman" w:hAnsi="Times New Roman" w:eastAsia="宋体" w:cs="Times New Roman"/>
                <w:color w:val="auto"/>
                <w:kern w:val="0"/>
                <w:sz w:val="24"/>
                <w:lang w:bidi="ar"/>
              </w:rPr>
              <w:t>⑦</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爆破用品对火焰、热能、静电、震动、撞击及摩擦等能量的刺激较敏感，因此在储存过程中应保持库房阴凉、通风、干燥，远离火种、热源，防止阳光直射，且需防止小动物进入。</w:t>
            </w:r>
          </w:p>
          <w:p w14:paraId="73766550">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8 \* GB3 \* MERGEFORMAT </w:instrText>
            </w:r>
            <w:r>
              <w:rPr>
                <w:rFonts w:hint="eastAsia" w:ascii="Times New Roman" w:hAnsi="Times New Roman" w:eastAsia="宋体" w:cs="Times New Roman"/>
                <w:color w:val="auto"/>
                <w:kern w:val="0"/>
                <w:sz w:val="24"/>
                <w:lang w:val="en-US" w:eastAsia="zh-CN" w:bidi="ar"/>
              </w:rPr>
              <w:fldChar w:fldCharType="separate"/>
            </w:r>
            <w:r>
              <w:rPr>
                <w:rFonts w:hint="default" w:ascii="Times New Roman" w:hAnsi="Times New Roman" w:eastAsia="宋体" w:cs="Times New Roman"/>
                <w:color w:val="auto"/>
                <w:kern w:val="0"/>
                <w:sz w:val="24"/>
                <w:lang w:bidi="ar"/>
              </w:rPr>
              <w:t>⑧</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储存库内不应存放无关的工具和杂物。</w:t>
            </w:r>
          </w:p>
          <w:p w14:paraId="03548701">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5</w:t>
            </w:r>
            <w:r>
              <w:rPr>
                <w:rFonts w:hint="default" w:ascii="Times New Roman" w:hAnsi="Times New Roman" w:eastAsia="黑体" w:cs="Times New Roman"/>
                <w:bCs/>
                <w:color w:val="auto"/>
                <w:sz w:val="24"/>
              </w:rPr>
              <w:t>、</w:t>
            </w:r>
            <w:r>
              <w:rPr>
                <w:rFonts w:hint="eastAsia" w:ascii="Times New Roman" w:hAnsi="Times New Roman" w:eastAsia="黑体" w:cs="Times New Roman"/>
                <w:bCs/>
                <w:color w:val="auto"/>
                <w:sz w:val="24"/>
              </w:rPr>
              <w:t>主要生产设备</w:t>
            </w:r>
          </w:p>
          <w:p w14:paraId="6A2B4838">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本项目为炸药贮存，不涉及炸药生产，主要生产设备见</w:t>
            </w:r>
            <w:r>
              <w:rPr>
                <w:rFonts w:hint="eastAsia" w:cs="Times New Roman"/>
                <w:color w:val="auto"/>
                <w:kern w:val="0"/>
                <w:sz w:val="24"/>
                <w:lang w:val="en-US" w:eastAsia="zh-CN" w:bidi="ar"/>
              </w:rPr>
              <w:t>下</w:t>
            </w: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REF _Ref208574726 \h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表</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w:t>
            </w:r>
          </w:p>
          <w:p w14:paraId="0C88A6EF">
            <w:pPr>
              <w:pStyle w:val="11"/>
              <w:spacing w:before="0" w:line="360" w:lineRule="auto"/>
              <w:ind w:firstLine="420" w:firstLineChars="200"/>
              <w:jc w:val="center"/>
              <w:rPr>
                <w:rFonts w:hint="default" w:ascii="Times New Roman" w:hAnsi="Times New Roman" w:eastAsia="黑体" w:cs="Times New Roman"/>
                <w:color w:val="auto"/>
                <w:sz w:val="21"/>
                <w:szCs w:val="21"/>
              </w:rPr>
            </w:pPr>
            <w:bookmarkStart w:id="22" w:name="_Ref208574726"/>
            <w:r>
              <w:rPr>
                <w:rFonts w:hint="eastAsia" w:ascii="Times New Roman" w:hAnsi="Times New Roman" w:eastAsia="黑体" w:cs="Times New Roman"/>
                <w:color w:val="auto"/>
                <w:sz w:val="21"/>
                <w:szCs w:val="21"/>
              </w:rPr>
              <w:t>表</w:t>
            </w:r>
            <w:bookmarkEnd w:id="22"/>
            <w:r>
              <w:rPr>
                <w:rFonts w:hint="eastAsia" w:ascii="Times New Roman" w:hAnsi="Times New Roman" w:eastAsia="黑体" w:cs="Times New Roman"/>
                <w:color w:val="auto"/>
                <w:sz w:val="21"/>
                <w:szCs w:val="21"/>
                <w:lang w:val="en-US" w:eastAsia="zh-CN"/>
              </w:rPr>
              <w:t>2-4</w:t>
            </w:r>
            <w:r>
              <w:rPr>
                <w:rFonts w:hint="eastAsia" w:ascii="Times New Roman" w:hAnsi="Times New Roman" w:eastAsia="黑体" w:cs="Times New Roman"/>
                <w:color w:val="auto"/>
                <w:sz w:val="21"/>
                <w:szCs w:val="21"/>
              </w:rPr>
              <w:t xml:space="preserve">   主要生产设备一览表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64"/>
              <w:gridCol w:w="1774"/>
              <w:gridCol w:w="1366"/>
              <w:gridCol w:w="2529"/>
            </w:tblGrid>
            <w:tr w14:paraId="03AF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pct"/>
                  <w:vAlign w:val="center"/>
                </w:tcPr>
                <w:p w14:paraId="07CD15C8">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序号</w:t>
                  </w:r>
                </w:p>
              </w:tc>
              <w:tc>
                <w:tcPr>
                  <w:tcW w:w="875" w:type="pct"/>
                  <w:vAlign w:val="center"/>
                </w:tcPr>
                <w:p w14:paraId="61C93D9F">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名称</w:t>
                  </w:r>
                </w:p>
              </w:tc>
              <w:tc>
                <w:tcPr>
                  <w:tcW w:w="1138" w:type="pct"/>
                  <w:vAlign w:val="center"/>
                </w:tcPr>
                <w:p w14:paraId="004DDDCC">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数量</w:t>
                  </w:r>
                </w:p>
              </w:tc>
              <w:tc>
                <w:tcPr>
                  <w:tcW w:w="876" w:type="pct"/>
                  <w:vAlign w:val="center"/>
                </w:tcPr>
                <w:p w14:paraId="46429734">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设置位置</w:t>
                  </w:r>
                </w:p>
              </w:tc>
              <w:tc>
                <w:tcPr>
                  <w:tcW w:w="1622" w:type="pct"/>
                  <w:tcBorders>
                    <w:right w:val="nil"/>
                  </w:tcBorders>
                  <w:vAlign w:val="center"/>
                </w:tcPr>
                <w:p w14:paraId="1B466455">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功能</w:t>
                  </w:r>
                </w:p>
              </w:tc>
            </w:tr>
            <w:tr w14:paraId="6955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pct"/>
                  <w:tcBorders>
                    <w:left w:val="nil"/>
                  </w:tcBorders>
                  <w:vAlign w:val="center"/>
                </w:tcPr>
                <w:p w14:paraId="7CE6DE75">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1</w:t>
                  </w:r>
                </w:p>
              </w:tc>
              <w:tc>
                <w:tcPr>
                  <w:tcW w:w="875" w:type="pct"/>
                  <w:vAlign w:val="center"/>
                </w:tcPr>
                <w:p w14:paraId="3FF12305">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水泵</w:t>
                  </w:r>
                </w:p>
              </w:tc>
              <w:tc>
                <w:tcPr>
                  <w:tcW w:w="1138" w:type="pct"/>
                  <w:vAlign w:val="center"/>
                </w:tcPr>
                <w:p w14:paraId="20D93BAE">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1台</w:t>
                  </w:r>
                </w:p>
              </w:tc>
              <w:tc>
                <w:tcPr>
                  <w:tcW w:w="876" w:type="pct"/>
                  <w:vAlign w:val="center"/>
                </w:tcPr>
                <w:p w14:paraId="48D332EA">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值班室内</w:t>
                  </w:r>
                </w:p>
              </w:tc>
              <w:tc>
                <w:tcPr>
                  <w:tcW w:w="1622" w:type="pct"/>
                  <w:tcBorders>
                    <w:right w:val="nil"/>
                  </w:tcBorders>
                  <w:vAlign w:val="center"/>
                </w:tcPr>
                <w:p w14:paraId="0F86AECD">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流量不低于15L/s</w:t>
                  </w:r>
                </w:p>
              </w:tc>
            </w:tr>
            <w:tr w14:paraId="403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pct"/>
                  <w:tcBorders>
                    <w:left w:val="nil"/>
                  </w:tcBorders>
                  <w:vAlign w:val="center"/>
                </w:tcPr>
                <w:p w14:paraId="006F561C">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w:t>
                  </w:r>
                </w:p>
              </w:tc>
              <w:tc>
                <w:tcPr>
                  <w:tcW w:w="875" w:type="pct"/>
                  <w:vAlign w:val="center"/>
                </w:tcPr>
                <w:p w14:paraId="4A473089">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手抬机动消防泵组</w:t>
                  </w:r>
                </w:p>
              </w:tc>
              <w:tc>
                <w:tcPr>
                  <w:tcW w:w="1138" w:type="pct"/>
                  <w:vAlign w:val="center"/>
                </w:tcPr>
                <w:p w14:paraId="281DD2BC">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2台（一用一备）</w:t>
                  </w:r>
                </w:p>
              </w:tc>
              <w:tc>
                <w:tcPr>
                  <w:tcW w:w="876" w:type="pct"/>
                  <w:vAlign w:val="center"/>
                </w:tcPr>
                <w:p w14:paraId="1B2A48DF">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消防器材室</w:t>
                  </w:r>
                </w:p>
              </w:tc>
              <w:tc>
                <w:tcPr>
                  <w:tcW w:w="1622" w:type="pct"/>
                  <w:tcBorders>
                    <w:right w:val="nil"/>
                  </w:tcBorders>
                  <w:vAlign w:val="center"/>
                </w:tcPr>
                <w:p w14:paraId="01CBC9F8">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rPr>
                    <w:t>事故情况使用，流量不低于15L/s。设备型号JBC-7，燃料为柴油</w:t>
                  </w:r>
                </w:p>
              </w:tc>
            </w:tr>
          </w:tbl>
          <w:p w14:paraId="6E258A73">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6、</w:t>
            </w:r>
            <w:r>
              <w:rPr>
                <w:rFonts w:hint="default" w:ascii="Times New Roman" w:hAnsi="Times New Roman" w:eastAsia="黑体" w:cs="Times New Roman"/>
                <w:bCs/>
                <w:color w:val="auto"/>
                <w:sz w:val="24"/>
              </w:rPr>
              <w:t>防护土堤</w:t>
            </w:r>
          </w:p>
          <w:p w14:paraId="3AE0C7FF">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防护土堤开工前注意先清除场地杂草和树根，如遇沟圹坑等应先排除积水。防护土堤应在位于土堤内的地下工程综合管线及设施</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如避雷针基座、给排水管道、电力线路等</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完工或采取了有效的措施后方可施工。</w:t>
            </w:r>
          </w:p>
          <w:p w14:paraId="21686650">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防护土堤应采用土填筑</w:t>
            </w:r>
            <w:r>
              <w:rPr>
                <w:rFonts w:hint="eastAsia" w:cs="Times New Roman"/>
                <w:color w:val="auto"/>
                <w:kern w:val="0"/>
                <w:sz w:val="24"/>
                <w:lang w:eastAsia="zh-CN" w:bidi="ar"/>
              </w:rPr>
              <w:t>，根</w:t>
            </w:r>
            <w:r>
              <w:rPr>
                <w:rFonts w:hint="default" w:ascii="Times New Roman" w:hAnsi="Times New Roman" w:cs="Times New Roman"/>
                <w:color w:val="auto"/>
                <w:kern w:val="0"/>
                <w:sz w:val="24"/>
                <w:lang w:bidi="ar"/>
              </w:rPr>
              <w:t>据GB50089-2007规范规定，在取土特别困难的情况下，允许在防护土堤底部1.0m高度以下填筑块状材料，防护土堤底部1.0m高度以上部分必须用土；不允许使用石块、砖块及混凝土块或者轻而可燃的材料填筑。</w:t>
            </w:r>
          </w:p>
          <w:p w14:paraId="6C4C2962">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防护土堤的填筑应在最佳含水量情况下，略大于要求断面的尺寸分层夯实，当用人工夯实时每层厚度宜为20cm；当用机械夯实时每层厚度宜为25~30cm，压实系数大于85%。填筑夯实后的防护土堤应按设计要求的尺寸及边坡度修整坡面，有条件的地区，防护土堤边坡应播种草籽或草皮进行加固。</w:t>
            </w:r>
          </w:p>
          <w:p w14:paraId="7FE6E976">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7</w:t>
            </w:r>
            <w:r>
              <w:rPr>
                <w:rFonts w:hint="default" w:ascii="Times New Roman" w:hAnsi="Times New Roman" w:eastAsia="黑体" w:cs="Times New Roman"/>
                <w:bCs/>
                <w:color w:val="auto"/>
                <w:sz w:val="24"/>
              </w:rPr>
              <w:t>、工作制度及劳动定员</w:t>
            </w:r>
          </w:p>
          <w:p w14:paraId="3D6ECB81">
            <w:pPr>
              <w:widowControl/>
              <w:spacing w:line="360" w:lineRule="auto"/>
              <w:ind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本项目工作人员共10人，每天3个班次，每班次2人值守。</w:t>
            </w:r>
          </w:p>
          <w:p w14:paraId="514323DA">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w:t>
            </w:r>
            <w:r>
              <w:rPr>
                <w:rFonts w:hint="eastAsia" w:cs="Times New Roman"/>
                <w:color w:val="auto"/>
                <w:kern w:val="0"/>
                <w:sz w:val="24"/>
                <w:lang w:val="en-US" w:eastAsia="zh-CN" w:bidi="ar"/>
              </w:rPr>
              <w:t>职工食宿依托玉溪大红山矿业有限公司生活区，库区内</w:t>
            </w:r>
            <w:r>
              <w:rPr>
                <w:rFonts w:hint="default" w:ascii="Times New Roman" w:hAnsi="Times New Roman" w:cs="Times New Roman"/>
                <w:color w:val="auto"/>
                <w:kern w:val="0"/>
                <w:sz w:val="24"/>
                <w:lang w:bidi="ar"/>
              </w:rPr>
              <w:t>不设置食宿，年工作时间按365天</w:t>
            </w:r>
            <w:r>
              <w:rPr>
                <w:rFonts w:hint="eastAsia" w:cs="Times New Roman"/>
                <w:color w:val="auto"/>
                <w:kern w:val="0"/>
                <w:sz w:val="24"/>
                <w:lang w:eastAsia="zh-CN" w:bidi="ar"/>
              </w:rPr>
              <w:t>，</w:t>
            </w:r>
            <w:r>
              <w:rPr>
                <w:rFonts w:hint="eastAsia" w:cs="Times New Roman"/>
                <w:color w:val="auto"/>
                <w:kern w:val="0"/>
                <w:sz w:val="24"/>
                <w:lang w:val="en-US" w:eastAsia="zh-CN" w:bidi="ar"/>
              </w:rPr>
              <w:t>每天3班，每班8小时</w:t>
            </w:r>
            <w:r>
              <w:rPr>
                <w:rFonts w:hint="default" w:ascii="Times New Roman" w:hAnsi="Times New Roman" w:cs="Times New Roman"/>
                <w:color w:val="auto"/>
                <w:kern w:val="0"/>
                <w:sz w:val="24"/>
                <w:lang w:bidi="ar"/>
              </w:rPr>
              <w:t>。</w:t>
            </w:r>
          </w:p>
          <w:p w14:paraId="0C0459F2">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8</w:t>
            </w:r>
            <w:r>
              <w:rPr>
                <w:rFonts w:hint="default" w:ascii="Times New Roman" w:hAnsi="Times New Roman" w:eastAsia="黑体" w:cs="Times New Roman"/>
                <w:bCs/>
                <w:color w:val="auto"/>
                <w:sz w:val="24"/>
              </w:rPr>
              <w:t>、消防</w:t>
            </w:r>
          </w:p>
          <w:p w14:paraId="50CD4B7F">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消防按《建筑设计防火规范》</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GB50016-2006</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有关规定实施，配置严格的消防系统，配备相应的消防泵、消防管道和灭火器等设备，炸药库、雷管库及其他构筑物的耐火等级均为二级。</w:t>
            </w:r>
          </w:p>
          <w:p w14:paraId="37708F06">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9</w:t>
            </w:r>
            <w:r>
              <w:rPr>
                <w:rFonts w:hint="default" w:ascii="Times New Roman" w:hAnsi="Times New Roman" w:eastAsia="黑体" w:cs="Times New Roman"/>
                <w:bCs/>
                <w:color w:val="auto"/>
                <w:sz w:val="24"/>
              </w:rPr>
              <w:t>、给排水</w:t>
            </w:r>
          </w:p>
          <w:p w14:paraId="35FC2145">
            <w:pPr>
              <w:widowControl/>
              <w:spacing w:line="360" w:lineRule="auto"/>
              <w:ind w:firstLine="482" w:firstLineChars="200"/>
              <w:jc w:val="left"/>
              <w:rPr>
                <w:rFonts w:hint="default" w:ascii="Times New Roman" w:hAnsi="Times New Roman" w:cs="Times New Roman"/>
                <w:b/>
                <w:bCs/>
                <w:color w:val="auto"/>
                <w:kern w:val="0"/>
                <w:sz w:val="24"/>
                <w:lang w:bidi="ar"/>
              </w:rPr>
            </w:pPr>
            <w:r>
              <w:rPr>
                <w:rFonts w:hint="eastAsia" w:ascii="Times New Roman" w:hAnsi="Times New Roman" w:cs="Times New Roman"/>
                <w:b/>
                <w:bCs/>
                <w:color w:val="auto"/>
                <w:kern w:val="0"/>
                <w:sz w:val="24"/>
                <w:lang w:eastAsia="zh-CN" w:bidi="ar"/>
              </w:rPr>
              <w:t>（</w:t>
            </w:r>
            <w:r>
              <w:rPr>
                <w:rFonts w:hint="eastAsia" w:ascii="Times New Roman" w:hAnsi="Times New Roman" w:cs="Times New Roman"/>
                <w:b/>
                <w:bCs/>
                <w:color w:val="auto"/>
                <w:kern w:val="0"/>
                <w:sz w:val="24"/>
                <w:lang w:val="en-US" w:eastAsia="zh-CN" w:bidi="ar"/>
              </w:rPr>
              <w:t>1</w:t>
            </w:r>
            <w:r>
              <w:rPr>
                <w:rFonts w:hint="eastAsia" w:ascii="Times New Roman" w:hAnsi="Times New Roman" w:cs="Times New Roman"/>
                <w:b/>
                <w:bCs/>
                <w:color w:val="auto"/>
                <w:kern w:val="0"/>
                <w:sz w:val="24"/>
                <w:lang w:eastAsia="zh-CN" w:bidi="ar"/>
              </w:rPr>
              <w:t>）</w:t>
            </w:r>
            <w:r>
              <w:rPr>
                <w:rFonts w:hint="default" w:ascii="Times New Roman" w:hAnsi="Times New Roman" w:cs="Times New Roman"/>
                <w:b/>
                <w:bCs/>
                <w:color w:val="auto"/>
                <w:kern w:val="0"/>
                <w:sz w:val="24"/>
                <w:lang w:bidi="ar"/>
              </w:rPr>
              <w:t>供水</w:t>
            </w:r>
          </w:p>
          <w:p w14:paraId="30906FFF">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本项目用水主要为消防用水及生活用水，消防用水取自附近山泉水，项目设置一座尺寸为4.0m×3.0m×1.5m，容积为</w:t>
            </w:r>
            <w:r>
              <w:rPr>
                <w:rFonts w:hint="eastAsia" w:cs="Times New Roman"/>
                <w:color w:val="auto"/>
                <w:kern w:val="0"/>
                <w:sz w:val="24"/>
                <w:lang w:val="en-US" w:eastAsia="zh-CN" w:bidi="ar"/>
              </w:rPr>
              <w:t>18</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蓄水1</w:t>
            </w:r>
            <w:r>
              <w:rPr>
                <w:rFonts w:hint="eastAsia" w:cs="Times New Roman"/>
                <w:color w:val="auto"/>
                <w:kern w:val="0"/>
                <w:sz w:val="24"/>
                <w:lang w:val="en-US" w:eastAsia="zh-CN" w:bidi="ar"/>
              </w:rPr>
              <w:t>5</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的消防水池。</w:t>
            </w:r>
          </w:p>
          <w:p w14:paraId="124B5994">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根据《云南省地方标准  用水定额》（DB53/T168-2019）标准进行生活用水量核算，非</w:t>
            </w:r>
            <w:r>
              <w:rPr>
                <w:rFonts w:hint="eastAsia" w:cs="Times New Roman"/>
                <w:color w:val="auto"/>
                <w:kern w:val="0"/>
                <w:sz w:val="24"/>
                <w:lang w:val="en-US" w:eastAsia="zh-CN" w:bidi="ar"/>
              </w:rPr>
              <w:t>食</w:t>
            </w:r>
            <w:r>
              <w:rPr>
                <w:rFonts w:hint="default" w:ascii="Times New Roman" w:hAnsi="Times New Roman" w:cs="Times New Roman"/>
                <w:color w:val="auto"/>
                <w:kern w:val="0"/>
                <w:sz w:val="24"/>
                <w:lang w:bidi="ar"/>
              </w:rPr>
              <w:t>宿人员用水以30L/（人·d）计，则生活用水量为</w:t>
            </w:r>
            <w:r>
              <w:rPr>
                <w:rFonts w:hint="eastAsia" w:cs="Times New Roman"/>
                <w:color w:val="auto"/>
                <w:kern w:val="0"/>
                <w:sz w:val="24"/>
                <w:lang w:val="en-US" w:eastAsia="zh-CN" w:bidi="ar"/>
              </w:rPr>
              <w:t>0.3</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r>
              <w:rPr>
                <w:rFonts w:hint="eastAsia" w:cs="Times New Roman"/>
                <w:color w:val="auto"/>
                <w:kern w:val="0"/>
                <w:sz w:val="24"/>
                <w:lang w:val="en-US" w:eastAsia="zh-CN" w:bidi="ar"/>
              </w:rPr>
              <w:t>109.5</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/a。</w:t>
            </w:r>
          </w:p>
          <w:p w14:paraId="0795838A">
            <w:pPr>
              <w:widowControl/>
              <w:spacing w:line="360" w:lineRule="auto"/>
              <w:ind w:firstLine="482" w:firstLineChars="200"/>
              <w:jc w:val="left"/>
              <w:rPr>
                <w:rFonts w:hint="default" w:ascii="Times New Roman" w:hAnsi="Times New Roman" w:cs="Times New Roman"/>
                <w:b/>
                <w:bCs/>
                <w:color w:val="auto"/>
                <w:kern w:val="0"/>
                <w:sz w:val="24"/>
                <w:lang w:bidi="ar"/>
              </w:rPr>
            </w:pPr>
            <w:r>
              <w:rPr>
                <w:rFonts w:hint="eastAsia" w:cs="Times New Roman"/>
                <w:b/>
                <w:bCs/>
                <w:color w:val="auto"/>
                <w:kern w:val="0"/>
                <w:sz w:val="24"/>
                <w:lang w:eastAsia="zh-CN" w:bidi="ar"/>
              </w:rPr>
              <w:t>（</w:t>
            </w:r>
            <w:r>
              <w:rPr>
                <w:rFonts w:hint="eastAsia" w:cs="Times New Roman"/>
                <w:b/>
                <w:bCs/>
                <w:color w:val="auto"/>
                <w:kern w:val="0"/>
                <w:sz w:val="24"/>
                <w:lang w:val="en-US" w:eastAsia="zh-CN" w:bidi="ar"/>
              </w:rPr>
              <w:t>2</w:t>
            </w:r>
            <w:r>
              <w:rPr>
                <w:rFonts w:hint="eastAsia" w:cs="Times New Roman"/>
                <w:b/>
                <w:bCs/>
                <w:color w:val="auto"/>
                <w:kern w:val="0"/>
                <w:sz w:val="24"/>
                <w:lang w:eastAsia="zh-CN" w:bidi="ar"/>
              </w:rPr>
              <w:t>）</w:t>
            </w:r>
            <w:r>
              <w:rPr>
                <w:rFonts w:hint="default" w:ascii="Times New Roman" w:hAnsi="Times New Roman" w:cs="Times New Roman"/>
                <w:b/>
                <w:bCs/>
                <w:color w:val="auto"/>
                <w:kern w:val="0"/>
                <w:sz w:val="24"/>
                <w:lang w:bidi="ar"/>
              </w:rPr>
              <w:t>排水</w:t>
            </w:r>
          </w:p>
          <w:p w14:paraId="0F3170B4">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本项目仅为危险爆炸器材的贮存，不涉及工艺排水。排水主要为雨水和生活污水，本项目所在区域无完善排水管网，储存库所在区域的雨水，经排水沟</w:t>
            </w:r>
            <w:r>
              <w:rPr>
                <w:rFonts w:hint="eastAsia" w:cs="Times New Roman"/>
                <w:color w:val="auto"/>
                <w:kern w:val="0"/>
                <w:sz w:val="24"/>
                <w:lang w:val="en-US" w:eastAsia="zh-CN" w:bidi="ar"/>
              </w:rPr>
              <w:t>外排</w:t>
            </w:r>
            <w:r>
              <w:rPr>
                <w:rFonts w:hint="default" w:ascii="Times New Roman" w:hAnsi="Times New Roman" w:cs="Times New Roman"/>
                <w:color w:val="auto"/>
                <w:kern w:val="0"/>
                <w:sz w:val="24"/>
                <w:lang w:bidi="ar"/>
              </w:rPr>
              <w:t>；生活污水产生量按用水量的80%计，则生活污水产生量为</w:t>
            </w:r>
            <w:r>
              <w:rPr>
                <w:rFonts w:hint="eastAsia" w:cs="Times New Roman"/>
                <w:color w:val="auto"/>
                <w:kern w:val="0"/>
                <w:sz w:val="24"/>
                <w:lang w:val="en-US" w:eastAsia="zh-CN" w:bidi="ar"/>
              </w:rPr>
              <w:t>0.24</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r>
              <w:rPr>
                <w:rFonts w:hint="eastAsia" w:cs="Times New Roman"/>
                <w:color w:val="auto"/>
                <w:kern w:val="0"/>
                <w:sz w:val="24"/>
                <w:lang w:val="en-US" w:eastAsia="zh-CN" w:bidi="ar"/>
              </w:rPr>
              <w:t>87.6</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/a</w:t>
            </w:r>
            <w:r>
              <w:rPr>
                <w:rFonts w:hint="eastAsia"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经</w:t>
            </w:r>
            <w:r>
              <w:rPr>
                <w:rFonts w:hint="eastAsia" w:cs="Times New Roman"/>
                <w:color w:val="auto"/>
                <w:kern w:val="0"/>
                <w:sz w:val="24"/>
                <w:lang w:val="en-US" w:eastAsia="zh-CN" w:bidi="ar"/>
              </w:rPr>
              <w:t>化粪池</w:t>
            </w:r>
            <w:r>
              <w:rPr>
                <w:rFonts w:hint="default" w:ascii="Times New Roman" w:hAnsi="Times New Roman" w:cs="Times New Roman"/>
                <w:color w:val="auto"/>
                <w:kern w:val="0"/>
                <w:sz w:val="24"/>
                <w:lang w:bidi="ar"/>
              </w:rPr>
              <w:t>收集后运至玉溪大红山矿业有限公司现有的生活污水处理站处理达《城市污水再生利用  城市杂用水水质》（GB/T18920-2020）表1中绿化、道路清扫标准限值要求后回用于矿山洒水降尘，不外排，严禁生活污水直接排放入外环境。</w:t>
            </w:r>
          </w:p>
          <w:p w14:paraId="788951B9">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本项目水平衡见</w:t>
            </w:r>
            <w:r>
              <w:rPr>
                <w:rFonts w:hint="eastAsia" w:cs="Times New Roman"/>
                <w:color w:val="auto"/>
                <w:kern w:val="0"/>
                <w:sz w:val="24"/>
                <w:lang w:val="en-US" w:eastAsia="zh-CN" w:bidi="ar"/>
              </w:rPr>
              <w:t>下图</w:t>
            </w:r>
            <w:r>
              <w:rPr>
                <w:rFonts w:hint="default" w:ascii="Times New Roman" w:hAnsi="Times New Roman" w:cs="Times New Roman"/>
                <w:color w:val="auto"/>
                <w:kern w:val="0"/>
                <w:sz w:val="24"/>
                <w:lang w:bidi="ar"/>
              </w:rPr>
              <w:t>。</w:t>
            </w:r>
          </w:p>
          <w:p w14:paraId="10D6F751">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object>
                <v:shape id="_x0000_i1025" o:spt="75" type="#_x0000_t75" style="height:59.35pt;width:390.1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5665FBB0">
            <w:pPr>
              <w:pStyle w:val="18"/>
              <w:spacing w:line="360" w:lineRule="auto"/>
              <w:jc w:val="center"/>
              <w:rPr>
                <w:rFonts w:hint="default" w:ascii="Times New Roman" w:hAnsi="Times New Roman" w:eastAsia="黑体" w:cs="Times New Roman"/>
                <w:color w:val="auto"/>
                <w:sz w:val="21"/>
                <w:lang w:val="en-US" w:eastAsia="zh-CN"/>
              </w:rPr>
            </w:pPr>
            <w:r>
              <w:rPr>
                <w:rFonts w:hint="default" w:ascii="Times New Roman" w:hAnsi="Times New Roman" w:eastAsia="黑体" w:cs="Times New Roman"/>
                <w:color w:val="auto"/>
                <w:sz w:val="21"/>
              </w:rPr>
              <w:t>图2-</w:t>
            </w:r>
            <w:r>
              <w:rPr>
                <w:rFonts w:hint="eastAsia" w:ascii="Times New Roman" w:hAnsi="Times New Roman" w:eastAsia="黑体" w:cs="Times New Roman"/>
                <w:color w:val="auto"/>
                <w:sz w:val="21"/>
                <w:lang w:val="en-US" w:eastAsia="zh-CN"/>
              </w:rPr>
              <w:t>1</w:t>
            </w:r>
            <w:r>
              <w:rPr>
                <w:rFonts w:hint="default" w:ascii="Times New Roman" w:hAnsi="Times New Roman" w:eastAsia="黑体" w:cs="Times New Roman"/>
                <w:color w:val="auto"/>
                <w:sz w:val="21"/>
              </w:rPr>
              <w:t xml:space="preserve">  </w:t>
            </w:r>
            <w:r>
              <w:rPr>
                <w:rFonts w:hint="eastAsia" w:ascii="Times New Roman" w:hAnsi="Times New Roman" w:eastAsia="黑体" w:cs="Times New Roman"/>
                <w:color w:val="auto"/>
                <w:sz w:val="21"/>
                <w:lang w:val="en-US" w:eastAsia="zh-CN"/>
              </w:rPr>
              <w:t>项目区水量平衡图</w:t>
            </w:r>
          </w:p>
          <w:p w14:paraId="032C7CF7">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10</w:t>
            </w:r>
            <w:r>
              <w:rPr>
                <w:rFonts w:hint="default" w:ascii="Times New Roman" w:hAnsi="Times New Roman" w:eastAsia="黑体" w:cs="Times New Roman"/>
                <w:bCs/>
                <w:color w:val="auto"/>
                <w:sz w:val="24"/>
              </w:rPr>
              <w:t>、供电</w:t>
            </w:r>
          </w:p>
          <w:p w14:paraId="7FF7980B">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炸药库的电气危险场所类别为F</w:t>
            </w:r>
            <w:r>
              <w:rPr>
                <w:rFonts w:hint="default" w:ascii="Times New Roman" w:hAnsi="Times New Roman" w:cs="Times New Roman"/>
                <w:color w:val="auto"/>
                <w:kern w:val="0"/>
                <w:sz w:val="24"/>
                <w:vertAlign w:val="subscript"/>
                <w:lang w:bidi="ar"/>
              </w:rPr>
              <w:t>0</w:t>
            </w:r>
            <w:r>
              <w:rPr>
                <w:rFonts w:hint="default" w:ascii="Times New Roman" w:hAnsi="Times New Roman" w:cs="Times New Roman"/>
                <w:color w:val="auto"/>
                <w:kern w:val="0"/>
                <w:sz w:val="24"/>
                <w:lang w:bidi="ar"/>
              </w:rPr>
              <w:t>类，雷管库的电气危险场所类别为F</w:t>
            </w:r>
            <w:r>
              <w:rPr>
                <w:rFonts w:hint="default" w:ascii="Times New Roman" w:hAnsi="Times New Roman" w:cs="Times New Roman"/>
                <w:color w:val="auto"/>
                <w:kern w:val="0"/>
                <w:sz w:val="24"/>
                <w:vertAlign w:val="subscript"/>
                <w:lang w:bidi="ar"/>
              </w:rPr>
              <w:t>1</w:t>
            </w:r>
            <w:r>
              <w:rPr>
                <w:rFonts w:hint="default" w:ascii="Times New Roman" w:hAnsi="Times New Roman" w:cs="Times New Roman"/>
                <w:color w:val="auto"/>
                <w:kern w:val="0"/>
                <w:sz w:val="24"/>
                <w:lang w:bidi="ar"/>
              </w:rPr>
              <w:t>类，各仓库内不应设置电气照明及其他电气设施；宜采用自然光照明或在库外安设投射照明灯，当采用库外安设投射照明灯时：电气设备及电线的设置与敷设应符合GB50089-2018的规定。</w:t>
            </w:r>
          </w:p>
          <w:p w14:paraId="73696269">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11</w:t>
            </w:r>
            <w:r>
              <w:rPr>
                <w:rFonts w:hint="default" w:ascii="Times New Roman" w:hAnsi="Times New Roman" w:eastAsia="黑体" w:cs="Times New Roman"/>
                <w:bCs/>
                <w:color w:val="auto"/>
                <w:sz w:val="24"/>
              </w:rPr>
              <w:t>、防雷设计</w:t>
            </w:r>
          </w:p>
          <w:p w14:paraId="67A95CDF">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工业炸药库：本工程为一类防雷建筑物，采用独立避雷针防直击雷，该接地系统冲击接地电阻不大于10Ω。为防雷电感应，应将钢筋混凝土屋面、梁、柱及基础内钢筋绑扎或焊接成闭合回路，与屋顶避雷带焊接，并经引下线引下与室外接地装置焊接。</w:t>
            </w:r>
          </w:p>
          <w:p w14:paraId="6D6B25B8">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工业雷管库：本工程为一类防雷建筑物，电气危险场所为F</w:t>
            </w:r>
            <w:r>
              <w:rPr>
                <w:rFonts w:hint="default" w:ascii="Times New Roman" w:hAnsi="Times New Roman" w:cs="Times New Roman"/>
                <w:color w:val="auto"/>
                <w:kern w:val="0"/>
                <w:sz w:val="24"/>
                <w:vertAlign w:val="subscript"/>
                <w:lang w:bidi="ar"/>
              </w:rPr>
              <w:t>1</w:t>
            </w:r>
            <w:r>
              <w:rPr>
                <w:rFonts w:hint="default" w:ascii="Times New Roman" w:hAnsi="Times New Roman" w:cs="Times New Roman"/>
                <w:color w:val="auto"/>
                <w:kern w:val="0"/>
                <w:sz w:val="24"/>
                <w:lang w:bidi="ar"/>
              </w:rPr>
              <w:t>类。采用独立避雷针防直击雷，该接地系统冲击接地电阻不大于10Ω。为防雷电感应，应将钢筋混凝土屋面、梁、柱及基础内钢筋绑扎或焊接成闭合回路，与屋顶避雷带焊接，并经引下线引下与室外接地装置焊接。</w:t>
            </w:r>
          </w:p>
          <w:p w14:paraId="232BA0E6">
            <w:pPr>
              <w:spacing w:before="120" w:beforeLines="50" w:line="360" w:lineRule="auto"/>
              <w:jc w:val="left"/>
              <w:rPr>
                <w:rFonts w:hint="eastAsia" w:eastAsia="黑体" w:cs="Times New Roman"/>
                <w:bCs/>
                <w:color w:val="auto"/>
                <w:sz w:val="24"/>
                <w:lang w:val="en-US" w:eastAsia="zh-CN"/>
              </w:rPr>
            </w:pPr>
            <w:r>
              <w:rPr>
                <w:rFonts w:hint="eastAsia" w:eastAsia="黑体" w:cs="Times New Roman"/>
                <w:bCs/>
                <w:color w:val="auto"/>
                <w:sz w:val="24"/>
                <w:lang w:val="en-US" w:eastAsia="zh-CN"/>
              </w:rPr>
              <w:t>12、运输线路</w:t>
            </w:r>
          </w:p>
          <w:p w14:paraId="67FBCD46">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本项目民用爆炸物品运进储存库由有资质的单位采用专用运输车运进，</w:t>
            </w:r>
            <w:r>
              <w:rPr>
                <w:rFonts w:hint="eastAsia" w:ascii="Times New Roman" w:hAnsi="Times New Roman" w:eastAsia="宋体" w:cs="Times New Roman"/>
                <w:color w:val="auto"/>
                <w:szCs w:val="24"/>
                <w:lang w:val="en-US" w:eastAsia="zh-CN"/>
              </w:rPr>
              <w:t>运输过程</w:t>
            </w:r>
            <w:r>
              <w:rPr>
                <w:rFonts w:hint="default" w:ascii="Times New Roman" w:hAnsi="Times New Roman" w:eastAsia="宋体" w:cs="Times New Roman"/>
                <w:color w:val="auto"/>
                <w:szCs w:val="24"/>
              </w:rPr>
              <w:t>携带《民用爆炸物品运输许可证》；民用爆炸物品的装载符合国家有关标准和规范，车厢内不得载人；运输车辆安全技术状况符合国家有关安全技术标准的要求，并按照规定悬挂或者安装符合国家标准的易燃易爆危险物品警示标志；运输民用爆炸物品的车辆保持安全车速；按照规定的路线行驶，途中经停有专人看守，并远离建筑设施和人口稠密的地方，不在许可以外的地点经停；按照安全操作规程装卸民用爆炸物品，并在装卸现场设置警戒，禁止无关人员进入；出现危险情况立即采取必要的应急处置措施，并报告当地公安机关。</w:t>
            </w:r>
          </w:p>
          <w:p w14:paraId="4FA6353C">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由储存库到使用点的运输则由爆破单位采用专用运输车进行运输。</w:t>
            </w:r>
          </w:p>
          <w:p w14:paraId="2F3745AD">
            <w:pPr>
              <w:pStyle w:val="16"/>
              <w:spacing w:after="0" w:line="360" w:lineRule="auto"/>
              <w:ind w:left="0" w:leftChars="0"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本项目自行铺设水泥路将仓库与村道连接起来，危险物品采用专业运输公司及专用运输车辆，安装有醒目的警示灯和标志。拟定入库运输路线为：炸药厂家→高速路或国道→县道→村道→炸药库。出库路线为：</w:t>
            </w:r>
            <w:r>
              <w:rPr>
                <w:rFonts w:hint="eastAsia" w:ascii="Times New Roman" w:hAnsi="Times New Roman" w:eastAsia="宋体" w:cs="Times New Roman"/>
                <w:color w:val="auto"/>
                <w:szCs w:val="24"/>
                <w:lang w:val="en-US" w:eastAsia="zh-CN"/>
              </w:rPr>
              <w:t>炸药库</w:t>
            </w:r>
            <w:r>
              <w:rPr>
                <w:rFonts w:hint="default" w:ascii="Times New Roman" w:hAnsi="Times New Roman" w:eastAsia="宋体" w:cs="Times New Roman"/>
                <w:color w:val="auto"/>
                <w:szCs w:val="24"/>
              </w:rPr>
              <w:t>→村道→县道→玉溪大红山矿业有限公司铁矿。运输路线采用绕城路线，严格按公安局指定的运输路线行驶，不经过城区，运输时间尽量避开交通高峰期。不经过人口密集区、加油站、繁华路段等区域，也尽量不经过事故高发地。</w:t>
            </w:r>
          </w:p>
          <w:p w14:paraId="0FE88616">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13、</w:t>
            </w:r>
            <w:r>
              <w:rPr>
                <w:rFonts w:hint="default" w:ascii="Times New Roman" w:hAnsi="Times New Roman" w:eastAsia="黑体" w:cs="Times New Roman"/>
                <w:bCs/>
                <w:color w:val="auto"/>
                <w:sz w:val="24"/>
              </w:rPr>
              <w:t>总平面布置</w:t>
            </w:r>
          </w:p>
          <w:p w14:paraId="20AC4BA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项目位于云南省玉溪市新平县戛洒镇米尺莫村委会哈母白租村民小组，拟建库区整体大致呈矩形状布置，南北方向的长边长87.5m、东西方向上的短边宽28.0m。</w:t>
            </w:r>
          </w:p>
          <w:p w14:paraId="226F6EE8">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储存库区：设有一个总出入口，位于库区南面的短边围墙。储存库区大门往内依次布置：104雷管库（联建雷管发放间）、103炸药库（联建导爆索存放间）、102炸药库、101炸药库；消防水池拟设置在库区南面靠围墙处。</w:t>
            </w:r>
          </w:p>
          <w:p w14:paraId="7D439A79">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防护屏障：101-103炸药库四周均设置有防护屏障</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103炸药库与104雷管库之间设置单有防护土堤，相邻的炸药库之间设置双有防护土堤。</w:t>
            </w:r>
          </w:p>
          <w:p w14:paraId="75A26391">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库区道路：库区内道路均为水泥道路，道路宽度为4.0m，进入炸药库、雷管库库房道路宽度为4.0m（库区大门4.0m），未注明道路转弯半径为9m。</w:t>
            </w:r>
          </w:p>
          <w:p w14:paraId="52E15C72">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库区围墙：库区围墙距离各危险品仓库外墙面均不小于5m。</w:t>
            </w:r>
          </w:p>
          <w:p w14:paraId="61F6F20F">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库区值班室：值班室拟建在库区外安全地带，距任一炸药库实际安全距离：有防护屏障的情况下大于65m，无防护屏障的情况下大于90m，距雷管库实际安全距离大于20m。</w:t>
            </w:r>
          </w:p>
          <w:p w14:paraId="69D9BB83">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该储存库的总平面布置方案，根据各储存库的危险等级和计算药量并结合地形特点，以有利于安全、运输和装卸作业的原则进行布置</w:t>
            </w:r>
            <w:r>
              <w:rPr>
                <w:rFonts w:hint="eastAsia" w:cs="Times New Roman"/>
                <w:color w:val="auto"/>
                <w:sz w:val="24"/>
                <w:highlight w:val="none"/>
                <w:lang w:val="en-US" w:eastAsia="zh-CN"/>
              </w:rPr>
              <w:t>，总平面布置合理。</w:t>
            </w:r>
          </w:p>
          <w:p w14:paraId="34E4B131">
            <w:pPr>
              <w:pStyle w:val="11"/>
              <w:spacing w:before="0" w:line="360" w:lineRule="auto"/>
              <w:ind w:firstLine="420" w:firstLineChars="200"/>
              <w:jc w:val="center"/>
              <w:rPr>
                <w:rFonts w:hint="eastAsia"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表2-5  各建筑物之间安全距离一览表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904"/>
              <w:gridCol w:w="796"/>
              <w:gridCol w:w="831"/>
              <w:gridCol w:w="723"/>
              <w:gridCol w:w="807"/>
              <w:gridCol w:w="832"/>
              <w:gridCol w:w="843"/>
              <w:gridCol w:w="804"/>
            </w:tblGrid>
            <w:tr w14:paraId="36DE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vMerge w:val="restart"/>
                  <w:vAlign w:val="center"/>
                </w:tcPr>
                <w:p w14:paraId="1A14187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距离</w:t>
                  </w:r>
                </w:p>
                <w:p w14:paraId="4CDBE8C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库房名称</w:t>
                  </w:r>
                </w:p>
              </w:tc>
              <w:tc>
                <w:tcPr>
                  <w:tcW w:w="1091" w:type="pct"/>
                  <w:gridSpan w:val="2"/>
                  <w:vAlign w:val="center"/>
                </w:tcPr>
                <w:p w14:paraId="2935732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102炸药库</w:t>
                  </w:r>
                </w:p>
              </w:tc>
              <w:tc>
                <w:tcPr>
                  <w:tcW w:w="997" w:type="pct"/>
                  <w:gridSpan w:val="2"/>
                  <w:vAlign w:val="center"/>
                </w:tcPr>
                <w:p w14:paraId="0DC144C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103炸药库（联建导爆索存放间）</w:t>
                  </w:r>
                </w:p>
              </w:tc>
              <w:tc>
                <w:tcPr>
                  <w:tcW w:w="1052" w:type="pct"/>
                  <w:gridSpan w:val="2"/>
                  <w:vAlign w:val="center"/>
                </w:tcPr>
                <w:p w14:paraId="05A75D8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104雷管库（联建雷管发放间）</w:t>
                  </w:r>
                </w:p>
              </w:tc>
              <w:tc>
                <w:tcPr>
                  <w:tcW w:w="1056" w:type="pct"/>
                  <w:gridSpan w:val="2"/>
                  <w:tcBorders>
                    <w:right w:val="nil"/>
                  </w:tcBorders>
                  <w:vAlign w:val="center"/>
                </w:tcPr>
                <w:p w14:paraId="4262EC0E">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值班室（无防护屏障）</w:t>
                  </w:r>
                </w:p>
              </w:tc>
            </w:tr>
            <w:tr w14:paraId="66F8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vMerge w:val="continue"/>
                  <w:tcBorders>
                    <w:left w:val="nil"/>
                  </w:tcBorders>
                  <w:vAlign w:val="center"/>
                </w:tcPr>
                <w:p w14:paraId="07D257CF">
                  <w:pPr>
                    <w:jc w:val="center"/>
                    <w:rPr>
                      <w:rFonts w:hint="default" w:ascii="Times New Roman" w:hAnsi="Times New Roman" w:eastAsia="宋体" w:cs="Times New Roman"/>
                      <w:color w:val="auto"/>
                      <w:sz w:val="18"/>
                      <w:szCs w:val="18"/>
                      <w:lang w:val="en-US" w:eastAsia="zh-CN"/>
                    </w:rPr>
                  </w:pPr>
                </w:p>
              </w:tc>
              <w:tc>
                <w:tcPr>
                  <w:tcW w:w="580" w:type="pct"/>
                  <w:vAlign w:val="center"/>
                </w:tcPr>
                <w:p w14:paraId="6AD25FC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510" w:type="pct"/>
                  <w:vAlign w:val="center"/>
                </w:tcPr>
                <w:p w14:paraId="056E89F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c>
                <w:tcPr>
                  <w:tcW w:w="533" w:type="pct"/>
                  <w:vAlign w:val="center"/>
                </w:tcPr>
                <w:p w14:paraId="104B0A0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464" w:type="pct"/>
                  <w:vAlign w:val="center"/>
                </w:tcPr>
                <w:p w14:paraId="4F1A3F8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c>
                <w:tcPr>
                  <w:tcW w:w="518" w:type="pct"/>
                  <w:vAlign w:val="center"/>
                </w:tcPr>
                <w:p w14:paraId="12575FF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533" w:type="pct"/>
                  <w:vAlign w:val="center"/>
                </w:tcPr>
                <w:p w14:paraId="40D0341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c>
                <w:tcPr>
                  <w:tcW w:w="541" w:type="pct"/>
                  <w:vAlign w:val="center"/>
                </w:tcPr>
                <w:p w14:paraId="472DDD9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设计距离（m）</w:t>
                  </w:r>
                </w:p>
              </w:tc>
              <w:tc>
                <w:tcPr>
                  <w:tcW w:w="514" w:type="pct"/>
                  <w:tcBorders>
                    <w:right w:val="nil"/>
                  </w:tcBorders>
                  <w:vAlign w:val="center"/>
                </w:tcPr>
                <w:p w14:paraId="2921EEF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规范距离（m）</w:t>
                  </w:r>
                </w:p>
              </w:tc>
            </w:tr>
            <w:tr w14:paraId="515C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tcBorders>
                    <w:left w:val="nil"/>
                  </w:tcBorders>
                  <w:vAlign w:val="center"/>
                </w:tcPr>
                <w:p w14:paraId="300E024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101炸药库</w:t>
                  </w:r>
                </w:p>
              </w:tc>
              <w:tc>
                <w:tcPr>
                  <w:tcW w:w="580" w:type="pct"/>
                  <w:vAlign w:val="center"/>
                </w:tcPr>
                <w:p w14:paraId="24D5768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20.5</w:t>
                  </w:r>
                </w:p>
              </w:tc>
              <w:tc>
                <w:tcPr>
                  <w:tcW w:w="510" w:type="pct"/>
                  <w:vAlign w:val="center"/>
                </w:tcPr>
                <w:p w14:paraId="4765B8A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533" w:type="pct"/>
                  <w:vAlign w:val="center"/>
                </w:tcPr>
                <w:p w14:paraId="4AEEDFA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464" w:type="pct"/>
                  <w:vAlign w:val="center"/>
                </w:tcPr>
                <w:p w14:paraId="196F985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518" w:type="pct"/>
                  <w:vAlign w:val="center"/>
                </w:tcPr>
                <w:p w14:paraId="6CC68C3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64.5</w:t>
                  </w:r>
                </w:p>
              </w:tc>
              <w:tc>
                <w:tcPr>
                  <w:tcW w:w="533" w:type="pct"/>
                  <w:vAlign w:val="center"/>
                </w:tcPr>
                <w:p w14:paraId="24D7FF9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541" w:type="pct"/>
                  <w:vAlign w:val="center"/>
                </w:tcPr>
                <w:p w14:paraId="5BA30298">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90</w:t>
                  </w:r>
                </w:p>
              </w:tc>
              <w:tc>
                <w:tcPr>
                  <w:tcW w:w="514" w:type="pct"/>
                  <w:tcBorders>
                    <w:right w:val="nil"/>
                  </w:tcBorders>
                  <w:vAlign w:val="center"/>
                </w:tcPr>
                <w:p w14:paraId="356091B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r>
            <w:tr w14:paraId="6C2E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tcBorders>
                    <w:left w:val="nil"/>
                  </w:tcBorders>
                  <w:vAlign w:val="center"/>
                </w:tcPr>
                <w:p w14:paraId="484F82C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102炸药库</w:t>
                  </w:r>
                </w:p>
              </w:tc>
              <w:tc>
                <w:tcPr>
                  <w:tcW w:w="580" w:type="pct"/>
                  <w:vAlign w:val="center"/>
                </w:tcPr>
                <w:p w14:paraId="03057E1B">
                  <w:pPr>
                    <w:jc w:val="center"/>
                    <w:rPr>
                      <w:rFonts w:hint="default" w:ascii="Times New Roman" w:hAnsi="Times New Roman" w:eastAsia="宋体" w:cs="Times New Roman"/>
                      <w:color w:val="auto"/>
                      <w:sz w:val="18"/>
                      <w:szCs w:val="18"/>
                      <w:lang w:val="en-US" w:eastAsia="zh-CN"/>
                    </w:rPr>
                  </w:pPr>
                </w:p>
              </w:tc>
              <w:tc>
                <w:tcPr>
                  <w:tcW w:w="510" w:type="pct"/>
                  <w:vAlign w:val="center"/>
                </w:tcPr>
                <w:p w14:paraId="1086744D">
                  <w:pPr>
                    <w:jc w:val="center"/>
                    <w:rPr>
                      <w:rFonts w:hint="default" w:ascii="Times New Roman" w:hAnsi="Times New Roman" w:eastAsia="宋体" w:cs="Times New Roman"/>
                      <w:color w:val="auto"/>
                      <w:sz w:val="18"/>
                      <w:szCs w:val="18"/>
                      <w:lang w:val="en-US" w:eastAsia="zh-CN"/>
                    </w:rPr>
                  </w:pPr>
                </w:p>
              </w:tc>
              <w:tc>
                <w:tcPr>
                  <w:tcW w:w="533" w:type="pct"/>
                  <w:vAlign w:val="center"/>
                </w:tcPr>
                <w:p w14:paraId="0713F96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20.5</w:t>
                  </w:r>
                </w:p>
              </w:tc>
              <w:tc>
                <w:tcPr>
                  <w:tcW w:w="464" w:type="pct"/>
                  <w:vAlign w:val="center"/>
                </w:tcPr>
                <w:p w14:paraId="53FF009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518" w:type="pct"/>
                  <w:vAlign w:val="center"/>
                </w:tcPr>
                <w:p w14:paraId="7219F5E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533" w:type="pct"/>
                  <w:vAlign w:val="center"/>
                </w:tcPr>
                <w:p w14:paraId="788DBF4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541" w:type="pct"/>
                  <w:vAlign w:val="center"/>
                </w:tcPr>
                <w:p w14:paraId="066956F1">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90</w:t>
                  </w:r>
                </w:p>
              </w:tc>
              <w:tc>
                <w:tcPr>
                  <w:tcW w:w="514" w:type="pct"/>
                  <w:tcBorders>
                    <w:right w:val="nil"/>
                  </w:tcBorders>
                  <w:vAlign w:val="center"/>
                </w:tcPr>
                <w:p w14:paraId="2298FB0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r>
            <w:tr w14:paraId="62AE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tcBorders>
                    <w:left w:val="nil"/>
                  </w:tcBorders>
                  <w:vAlign w:val="center"/>
                </w:tcPr>
                <w:p w14:paraId="3D16DC5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103炸药库（联建导爆索存放间）</w:t>
                  </w:r>
                </w:p>
              </w:tc>
              <w:tc>
                <w:tcPr>
                  <w:tcW w:w="580" w:type="pct"/>
                  <w:vAlign w:val="center"/>
                </w:tcPr>
                <w:p w14:paraId="182C0D47">
                  <w:pPr>
                    <w:jc w:val="center"/>
                    <w:rPr>
                      <w:rFonts w:hint="default" w:ascii="Times New Roman" w:hAnsi="Times New Roman" w:eastAsia="宋体" w:cs="Times New Roman"/>
                      <w:color w:val="auto"/>
                      <w:sz w:val="18"/>
                      <w:szCs w:val="18"/>
                      <w:lang w:val="en-US" w:eastAsia="zh-CN"/>
                    </w:rPr>
                  </w:pPr>
                </w:p>
              </w:tc>
              <w:tc>
                <w:tcPr>
                  <w:tcW w:w="510" w:type="pct"/>
                  <w:vAlign w:val="center"/>
                </w:tcPr>
                <w:p w14:paraId="2802F768">
                  <w:pPr>
                    <w:jc w:val="center"/>
                    <w:rPr>
                      <w:rFonts w:hint="default" w:ascii="Times New Roman" w:hAnsi="Times New Roman" w:eastAsia="宋体" w:cs="Times New Roman"/>
                      <w:color w:val="auto"/>
                      <w:sz w:val="18"/>
                      <w:szCs w:val="18"/>
                      <w:lang w:val="en-US" w:eastAsia="zh-CN"/>
                    </w:rPr>
                  </w:pPr>
                </w:p>
              </w:tc>
              <w:tc>
                <w:tcPr>
                  <w:tcW w:w="533" w:type="pct"/>
                  <w:vAlign w:val="center"/>
                </w:tcPr>
                <w:p w14:paraId="5C03C19B">
                  <w:pPr>
                    <w:jc w:val="center"/>
                    <w:rPr>
                      <w:rFonts w:hint="default" w:ascii="Times New Roman" w:hAnsi="Times New Roman" w:eastAsia="宋体" w:cs="Times New Roman"/>
                      <w:color w:val="auto"/>
                      <w:sz w:val="18"/>
                      <w:szCs w:val="18"/>
                      <w:lang w:val="en-US" w:eastAsia="zh-CN"/>
                    </w:rPr>
                  </w:pPr>
                </w:p>
              </w:tc>
              <w:tc>
                <w:tcPr>
                  <w:tcW w:w="464" w:type="pct"/>
                  <w:vAlign w:val="center"/>
                </w:tcPr>
                <w:p w14:paraId="3071FEE3">
                  <w:pPr>
                    <w:jc w:val="center"/>
                    <w:rPr>
                      <w:rFonts w:hint="default" w:ascii="Times New Roman" w:hAnsi="Times New Roman" w:eastAsia="宋体" w:cs="Times New Roman"/>
                      <w:color w:val="auto"/>
                      <w:sz w:val="18"/>
                      <w:szCs w:val="18"/>
                      <w:lang w:val="en-US" w:eastAsia="zh-CN"/>
                    </w:rPr>
                  </w:pPr>
                </w:p>
              </w:tc>
              <w:tc>
                <w:tcPr>
                  <w:tcW w:w="518" w:type="pct"/>
                  <w:vAlign w:val="center"/>
                </w:tcPr>
                <w:p w14:paraId="5391861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15.5</w:t>
                  </w:r>
                </w:p>
              </w:tc>
              <w:tc>
                <w:tcPr>
                  <w:tcW w:w="533" w:type="pct"/>
                  <w:vAlign w:val="center"/>
                </w:tcPr>
                <w:p w14:paraId="009D910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541" w:type="pct"/>
                  <w:vAlign w:val="center"/>
                </w:tcPr>
                <w:p w14:paraId="56DA226A">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90</w:t>
                  </w:r>
                </w:p>
              </w:tc>
              <w:tc>
                <w:tcPr>
                  <w:tcW w:w="514" w:type="pct"/>
                  <w:tcBorders>
                    <w:right w:val="nil"/>
                  </w:tcBorders>
                  <w:vAlign w:val="center"/>
                </w:tcPr>
                <w:p w14:paraId="21A1C19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r>
            <w:tr w14:paraId="4D0A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tcBorders>
                    <w:left w:val="nil"/>
                  </w:tcBorders>
                  <w:vAlign w:val="center"/>
                </w:tcPr>
                <w:p w14:paraId="1816501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104雷管库（联建雷管发放间）</w:t>
                  </w:r>
                </w:p>
              </w:tc>
              <w:tc>
                <w:tcPr>
                  <w:tcW w:w="580" w:type="pct"/>
                  <w:vAlign w:val="center"/>
                </w:tcPr>
                <w:p w14:paraId="49B41C09">
                  <w:pPr>
                    <w:jc w:val="center"/>
                    <w:rPr>
                      <w:rFonts w:hint="default" w:ascii="Times New Roman" w:hAnsi="Times New Roman" w:eastAsia="宋体" w:cs="Times New Roman"/>
                      <w:color w:val="auto"/>
                      <w:sz w:val="18"/>
                      <w:szCs w:val="18"/>
                      <w:lang w:val="en-US" w:eastAsia="zh-CN"/>
                    </w:rPr>
                  </w:pPr>
                </w:p>
              </w:tc>
              <w:tc>
                <w:tcPr>
                  <w:tcW w:w="510" w:type="pct"/>
                  <w:vAlign w:val="center"/>
                </w:tcPr>
                <w:p w14:paraId="20427593">
                  <w:pPr>
                    <w:jc w:val="center"/>
                    <w:rPr>
                      <w:rFonts w:hint="default" w:ascii="Times New Roman" w:hAnsi="Times New Roman" w:eastAsia="宋体" w:cs="Times New Roman"/>
                      <w:color w:val="auto"/>
                      <w:sz w:val="18"/>
                      <w:szCs w:val="18"/>
                      <w:lang w:val="en-US" w:eastAsia="zh-CN"/>
                    </w:rPr>
                  </w:pPr>
                </w:p>
              </w:tc>
              <w:tc>
                <w:tcPr>
                  <w:tcW w:w="533" w:type="pct"/>
                  <w:vAlign w:val="center"/>
                </w:tcPr>
                <w:p w14:paraId="24D112E5">
                  <w:pPr>
                    <w:jc w:val="center"/>
                    <w:rPr>
                      <w:rFonts w:hint="default" w:ascii="Times New Roman" w:hAnsi="Times New Roman" w:eastAsia="宋体" w:cs="Times New Roman"/>
                      <w:color w:val="auto"/>
                      <w:sz w:val="18"/>
                      <w:szCs w:val="18"/>
                      <w:lang w:val="en-US" w:eastAsia="zh-CN"/>
                    </w:rPr>
                  </w:pPr>
                </w:p>
              </w:tc>
              <w:tc>
                <w:tcPr>
                  <w:tcW w:w="464" w:type="pct"/>
                  <w:vAlign w:val="center"/>
                </w:tcPr>
                <w:p w14:paraId="3149F111">
                  <w:pPr>
                    <w:jc w:val="center"/>
                    <w:rPr>
                      <w:rFonts w:hint="default" w:ascii="Times New Roman" w:hAnsi="Times New Roman" w:eastAsia="宋体" w:cs="Times New Roman"/>
                      <w:color w:val="auto"/>
                      <w:sz w:val="18"/>
                      <w:szCs w:val="18"/>
                      <w:lang w:val="en-US" w:eastAsia="zh-CN"/>
                    </w:rPr>
                  </w:pPr>
                </w:p>
              </w:tc>
              <w:tc>
                <w:tcPr>
                  <w:tcW w:w="518" w:type="pct"/>
                  <w:vAlign w:val="center"/>
                </w:tcPr>
                <w:p w14:paraId="4B290BDB">
                  <w:pPr>
                    <w:jc w:val="center"/>
                    <w:rPr>
                      <w:rFonts w:hint="default" w:ascii="Times New Roman" w:hAnsi="Times New Roman" w:eastAsia="宋体" w:cs="Times New Roman"/>
                      <w:color w:val="auto"/>
                      <w:sz w:val="18"/>
                      <w:szCs w:val="18"/>
                      <w:lang w:val="en-US" w:eastAsia="zh-CN"/>
                    </w:rPr>
                  </w:pPr>
                </w:p>
              </w:tc>
              <w:tc>
                <w:tcPr>
                  <w:tcW w:w="533" w:type="pct"/>
                  <w:vAlign w:val="center"/>
                </w:tcPr>
                <w:p w14:paraId="23D4CFB4">
                  <w:pPr>
                    <w:jc w:val="center"/>
                    <w:rPr>
                      <w:rFonts w:hint="default" w:ascii="Times New Roman" w:hAnsi="Times New Roman" w:eastAsia="宋体" w:cs="Times New Roman"/>
                      <w:color w:val="auto"/>
                      <w:sz w:val="18"/>
                      <w:szCs w:val="18"/>
                      <w:lang w:val="en-US" w:eastAsia="zh-CN"/>
                    </w:rPr>
                  </w:pPr>
                </w:p>
              </w:tc>
              <w:tc>
                <w:tcPr>
                  <w:tcW w:w="541" w:type="pct"/>
                  <w:vAlign w:val="center"/>
                </w:tcPr>
                <w:p w14:paraId="4379E054">
                  <w:pPr>
                    <w:jc w:val="center"/>
                    <w:rPr>
                      <w:rFonts w:hint="default" w:ascii="Times New Roman" w:hAnsi="Times New Roman" w:eastAsia="宋体" w:cs="Times New Roman"/>
                      <w:color w:val="auto"/>
                      <w:sz w:val="18"/>
                      <w:szCs w:val="18"/>
                      <w:lang w:val="en-US" w:eastAsia="zh-CN"/>
                    </w:rPr>
                  </w:pPr>
                  <w:r>
                    <w:rPr>
                      <w:rFonts w:hint="default" w:ascii="Arial" w:hAnsi="Arial" w:eastAsia="宋体" w:cs="Arial"/>
                      <w:color w:val="auto"/>
                      <w:sz w:val="18"/>
                      <w:szCs w:val="18"/>
                      <w:lang w:val="en-US" w:eastAsia="zh-CN"/>
                    </w:rPr>
                    <w:t>≥</w:t>
                  </w:r>
                  <w:r>
                    <w:rPr>
                      <w:rFonts w:hint="eastAsia" w:ascii="Times New Roman" w:hAnsi="Times New Roman" w:eastAsia="宋体" w:cs="Times New Roman"/>
                      <w:color w:val="auto"/>
                      <w:sz w:val="18"/>
                      <w:szCs w:val="18"/>
                      <w:lang w:val="en-US" w:eastAsia="zh-CN"/>
                    </w:rPr>
                    <w:t>20</w:t>
                  </w:r>
                </w:p>
              </w:tc>
              <w:tc>
                <w:tcPr>
                  <w:tcW w:w="514" w:type="pct"/>
                  <w:tcBorders>
                    <w:right w:val="nil"/>
                  </w:tcBorders>
                  <w:vAlign w:val="center"/>
                </w:tcPr>
                <w:p w14:paraId="091F465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r>
          </w:tbl>
          <w:p w14:paraId="4DC74203">
            <w:pPr>
              <w:pStyle w:val="106"/>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项目区总平面布置图详见附图2。</w:t>
            </w:r>
          </w:p>
          <w:p w14:paraId="703C38D7">
            <w:pPr>
              <w:spacing w:before="120" w:beforeLines="50" w:line="360" w:lineRule="auto"/>
              <w:jc w:val="left"/>
              <w:rPr>
                <w:rFonts w:hint="default" w:ascii="Times New Roman" w:hAnsi="Times New Roman" w:eastAsia="黑体" w:cs="Times New Roman"/>
                <w:bCs/>
                <w:color w:val="auto"/>
                <w:sz w:val="24"/>
              </w:rPr>
            </w:pPr>
            <w:r>
              <w:rPr>
                <w:rFonts w:hint="eastAsia" w:eastAsia="黑体" w:cs="Times New Roman"/>
                <w:bCs/>
                <w:color w:val="auto"/>
                <w:sz w:val="24"/>
                <w:lang w:val="en-US" w:eastAsia="zh-CN"/>
              </w:rPr>
              <w:t>14</w:t>
            </w:r>
            <w:r>
              <w:rPr>
                <w:rFonts w:hint="default" w:ascii="Times New Roman" w:hAnsi="Times New Roman" w:eastAsia="黑体" w:cs="Times New Roman"/>
                <w:bCs/>
                <w:color w:val="auto"/>
                <w:sz w:val="24"/>
              </w:rPr>
              <w:t>、项目投资情况</w:t>
            </w:r>
          </w:p>
          <w:p w14:paraId="5458F775">
            <w:pPr>
              <w:pStyle w:val="106"/>
              <w:ind w:firstLine="480"/>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项目总投资</w:t>
            </w:r>
            <w:r>
              <w:rPr>
                <w:rFonts w:hint="eastAsia" w:ascii="Times New Roman" w:hAnsi="Times New Roman" w:cs="Times New Roman"/>
                <w:color w:val="auto"/>
                <w:sz w:val="24"/>
                <w:lang w:val="en-US" w:eastAsia="zh-CN"/>
              </w:rPr>
              <w:t>53</w:t>
            </w:r>
            <w:r>
              <w:rPr>
                <w:rFonts w:hint="default" w:ascii="Times New Roman" w:hAnsi="Times New Roman" w:cs="Times New Roman"/>
                <w:color w:val="auto"/>
                <w:sz w:val="24"/>
              </w:rPr>
              <w:t>0万元；环保投资</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万元，环保投资占总投资的</w:t>
            </w:r>
            <w:r>
              <w:rPr>
                <w:rFonts w:hint="eastAsia" w:ascii="Times New Roman" w:hAnsi="Times New Roman" w:cs="Times New Roman"/>
                <w:color w:val="auto"/>
                <w:sz w:val="24"/>
                <w:lang w:val="en-US" w:eastAsia="zh-CN"/>
              </w:rPr>
              <w:t>4.72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具体见下表：</w:t>
            </w:r>
          </w:p>
          <w:p w14:paraId="0B623073">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w:t>
            </w:r>
            <w:r>
              <w:rPr>
                <w:rFonts w:hint="eastAsia" w:ascii="Times New Roman" w:hAnsi="Times New Roman" w:eastAsia="黑体" w:cs="Times New Roman"/>
                <w:color w:val="auto"/>
                <w:sz w:val="21"/>
                <w:szCs w:val="21"/>
                <w:lang w:val="en-US" w:eastAsia="zh-CN"/>
              </w:rPr>
              <w:t>6</w:t>
            </w:r>
            <w:r>
              <w:rPr>
                <w:rFonts w:hint="default" w:ascii="Times New Roman" w:hAnsi="Times New Roman" w:eastAsia="黑体" w:cs="Times New Roman"/>
                <w:color w:val="auto"/>
                <w:sz w:val="21"/>
                <w:szCs w:val="21"/>
              </w:rPr>
              <w:t xml:space="preserve">   本项目环保投资估算一览表</w:t>
            </w:r>
          </w:p>
          <w:tbl>
            <w:tblPr>
              <w:tblStyle w:val="37"/>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772"/>
              <w:gridCol w:w="1121"/>
              <w:gridCol w:w="4206"/>
              <w:gridCol w:w="975"/>
            </w:tblGrid>
            <w:tr w14:paraId="200C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Align w:val="center"/>
                </w:tcPr>
                <w:p w14:paraId="24469B9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时段</w:t>
                  </w:r>
                </w:p>
              </w:tc>
              <w:tc>
                <w:tcPr>
                  <w:tcW w:w="1221" w:type="pct"/>
                  <w:gridSpan w:val="2"/>
                  <w:vAlign w:val="center"/>
                </w:tcPr>
                <w:p w14:paraId="58A1E22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污染源</w:t>
                  </w:r>
                </w:p>
              </w:tc>
              <w:tc>
                <w:tcPr>
                  <w:tcW w:w="2710" w:type="pct"/>
                  <w:vAlign w:val="center"/>
                </w:tcPr>
                <w:p w14:paraId="2B0676C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治理措施</w:t>
                  </w:r>
                </w:p>
              </w:tc>
              <w:tc>
                <w:tcPr>
                  <w:tcW w:w="629" w:type="pct"/>
                  <w:tcBorders>
                    <w:right w:val="nil"/>
                  </w:tcBorders>
                  <w:vAlign w:val="center"/>
                </w:tcPr>
                <w:p w14:paraId="074546D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投资金额（万元）</w:t>
                  </w:r>
                </w:p>
              </w:tc>
            </w:tr>
            <w:tr w14:paraId="3DB3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left w:val="nil"/>
                  </w:tcBorders>
                  <w:vAlign w:val="center"/>
                </w:tcPr>
                <w:p w14:paraId="4732EA7D">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施工期</w:t>
                  </w:r>
                </w:p>
              </w:tc>
              <w:tc>
                <w:tcPr>
                  <w:tcW w:w="498" w:type="pct"/>
                  <w:vAlign w:val="center"/>
                </w:tcPr>
                <w:p w14:paraId="487F200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废气</w:t>
                  </w:r>
                </w:p>
              </w:tc>
              <w:tc>
                <w:tcPr>
                  <w:tcW w:w="722" w:type="pct"/>
                  <w:vAlign w:val="center"/>
                </w:tcPr>
                <w:p w14:paraId="1387E6A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施工扬尘</w:t>
                  </w:r>
                </w:p>
              </w:tc>
              <w:tc>
                <w:tcPr>
                  <w:tcW w:w="2710" w:type="pct"/>
                  <w:vAlign w:val="center"/>
                </w:tcPr>
                <w:p w14:paraId="2C5026C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定期洒水</w:t>
                  </w:r>
                </w:p>
              </w:tc>
              <w:tc>
                <w:tcPr>
                  <w:tcW w:w="629" w:type="pct"/>
                  <w:tcBorders>
                    <w:right w:val="nil"/>
                  </w:tcBorders>
                  <w:vAlign w:val="center"/>
                </w:tcPr>
                <w:p w14:paraId="36A1763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r>
            <w:tr w14:paraId="25BC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693A2E18">
                  <w:pPr>
                    <w:jc w:val="center"/>
                    <w:rPr>
                      <w:rFonts w:hint="default" w:ascii="Times New Roman" w:hAnsi="Times New Roman" w:eastAsia="宋体" w:cs="Times New Roman"/>
                      <w:color w:val="auto"/>
                      <w:sz w:val="18"/>
                      <w:szCs w:val="18"/>
                      <w:lang w:val="en-US" w:eastAsia="zh-CN"/>
                    </w:rPr>
                  </w:pPr>
                </w:p>
              </w:tc>
              <w:tc>
                <w:tcPr>
                  <w:tcW w:w="498" w:type="pct"/>
                  <w:vMerge w:val="restart"/>
                  <w:vAlign w:val="center"/>
                </w:tcPr>
                <w:p w14:paraId="45D6B5D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废水</w:t>
                  </w:r>
                </w:p>
              </w:tc>
              <w:tc>
                <w:tcPr>
                  <w:tcW w:w="722" w:type="pct"/>
                  <w:vAlign w:val="center"/>
                </w:tcPr>
                <w:p w14:paraId="7610EE9B">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施工废水</w:t>
                  </w:r>
                </w:p>
              </w:tc>
              <w:tc>
                <w:tcPr>
                  <w:tcW w:w="2710" w:type="pct"/>
                  <w:vAlign w:val="center"/>
                </w:tcPr>
                <w:p w14:paraId="27342D19">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建设1座0.5m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的临时沉淀池，废水经沉淀处理后用于场地洒水降尘，不外排。</w:t>
                  </w:r>
                </w:p>
              </w:tc>
              <w:tc>
                <w:tcPr>
                  <w:tcW w:w="629" w:type="pct"/>
                  <w:tcBorders>
                    <w:right w:val="nil"/>
                  </w:tcBorders>
                  <w:vAlign w:val="center"/>
                </w:tcPr>
                <w:p w14:paraId="5CB2FAE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r>
            <w:tr w14:paraId="6507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3B620FCF">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6A4E183B">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762A0E0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施工人员生活污水</w:t>
                  </w:r>
                </w:p>
              </w:tc>
              <w:tc>
                <w:tcPr>
                  <w:tcW w:w="2710" w:type="pct"/>
                  <w:vAlign w:val="center"/>
                </w:tcPr>
                <w:p w14:paraId="724E194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依托西面185m处的矿山通风工程制备站</w:t>
                  </w:r>
                  <w:r>
                    <w:rPr>
                      <w:rFonts w:hint="eastAsia" w:cs="Times New Roman"/>
                      <w:color w:val="auto"/>
                      <w:sz w:val="18"/>
                      <w:szCs w:val="18"/>
                      <w:lang w:val="en-US" w:eastAsia="zh-CN"/>
                    </w:rPr>
                    <w:t>20m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的化粪池处理。</w:t>
                  </w:r>
                </w:p>
              </w:tc>
              <w:tc>
                <w:tcPr>
                  <w:tcW w:w="629" w:type="pct"/>
                  <w:tcBorders>
                    <w:right w:val="nil"/>
                  </w:tcBorders>
                  <w:vAlign w:val="center"/>
                </w:tcPr>
                <w:p w14:paraId="6CB0E295">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w:t>
                  </w:r>
                </w:p>
              </w:tc>
            </w:tr>
            <w:tr w14:paraId="558D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6C6848BD">
                  <w:pPr>
                    <w:jc w:val="center"/>
                    <w:rPr>
                      <w:rFonts w:hint="default" w:ascii="Times New Roman" w:hAnsi="Times New Roman" w:eastAsia="宋体" w:cs="Times New Roman"/>
                      <w:color w:val="auto"/>
                      <w:sz w:val="18"/>
                      <w:szCs w:val="18"/>
                      <w:lang w:val="en-US" w:eastAsia="zh-CN"/>
                    </w:rPr>
                  </w:pPr>
                </w:p>
              </w:tc>
              <w:tc>
                <w:tcPr>
                  <w:tcW w:w="498" w:type="pct"/>
                  <w:vMerge w:val="restart"/>
                  <w:vAlign w:val="center"/>
                </w:tcPr>
                <w:p w14:paraId="0475377A">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固废</w:t>
                  </w:r>
                </w:p>
              </w:tc>
              <w:tc>
                <w:tcPr>
                  <w:tcW w:w="722" w:type="pct"/>
                  <w:vAlign w:val="center"/>
                </w:tcPr>
                <w:p w14:paraId="0B03361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土石方</w:t>
                  </w:r>
                </w:p>
              </w:tc>
              <w:tc>
                <w:tcPr>
                  <w:tcW w:w="2710" w:type="pct"/>
                  <w:vAlign w:val="center"/>
                </w:tcPr>
                <w:p w14:paraId="069C327C">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按照当地城建部门要求办理相关手续，由施工承包单位与渣土清运公司清运至当地弃土场进行堆存，不得随意丢弃。</w:t>
                  </w:r>
                </w:p>
              </w:tc>
              <w:tc>
                <w:tcPr>
                  <w:tcW w:w="629" w:type="pct"/>
                  <w:tcBorders>
                    <w:right w:val="nil"/>
                  </w:tcBorders>
                  <w:vAlign w:val="center"/>
                </w:tcPr>
                <w:p w14:paraId="52B6421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r>
            <w:tr w14:paraId="3B50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3B80162C">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42D55F8C">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5EBC3BB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建筑垃圾</w:t>
                  </w:r>
                </w:p>
              </w:tc>
              <w:tc>
                <w:tcPr>
                  <w:tcW w:w="2710" w:type="pct"/>
                  <w:vAlign w:val="center"/>
                </w:tcPr>
                <w:p w14:paraId="55365971">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对建筑垃圾分类处理，建筑垃圾中可回收综合利用的进行回收利用，不可回收利用部分统一收集后按当地城建部门的要求进行妥善处置，不得随意倾倒。</w:t>
                  </w:r>
                </w:p>
              </w:tc>
              <w:tc>
                <w:tcPr>
                  <w:tcW w:w="629" w:type="pct"/>
                  <w:tcBorders>
                    <w:right w:val="nil"/>
                  </w:tcBorders>
                  <w:vAlign w:val="center"/>
                </w:tcPr>
                <w:p w14:paraId="3064E66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r>
            <w:tr w14:paraId="253E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675E2E33">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42517E48">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560EC41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生活垃圾</w:t>
                  </w:r>
                </w:p>
              </w:tc>
              <w:tc>
                <w:tcPr>
                  <w:tcW w:w="2710" w:type="pct"/>
                  <w:vAlign w:val="center"/>
                </w:tcPr>
                <w:p w14:paraId="7D82511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集中收集后按当地环卫部门的要求进行处置，严禁施工期间生活垃圾乱堆乱放。</w:t>
                  </w:r>
                </w:p>
              </w:tc>
              <w:tc>
                <w:tcPr>
                  <w:tcW w:w="629" w:type="pct"/>
                  <w:tcBorders>
                    <w:right w:val="nil"/>
                  </w:tcBorders>
                  <w:vAlign w:val="center"/>
                </w:tcPr>
                <w:p w14:paraId="6D218DA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r>
            <w:tr w14:paraId="1943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left w:val="nil"/>
                  </w:tcBorders>
                  <w:vAlign w:val="center"/>
                </w:tcPr>
                <w:p w14:paraId="3998A78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运营期</w:t>
                  </w:r>
                </w:p>
              </w:tc>
              <w:tc>
                <w:tcPr>
                  <w:tcW w:w="498" w:type="pct"/>
                  <w:vAlign w:val="center"/>
                </w:tcPr>
                <w:p w14:paraId="26CD397A">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废气</w:t>
                  </w:r>
                </w:p>
              </w:tc>
              <w:tc>
                <w:tcPr>
                  <w:tcW w:w="722" w:type="pct"/>
                  <w:vAlign w:val="center"/>
                </w:tcPr>
                <w:p w14:paraId="6F94ECC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车辆扬尘</w:t>
                  </w:r>
                </w:p>
              </w:tc>
              <w:tc>
                <w:tcPr>
                  <w:tcW w:w="2710" w:type="pct"/>
                  <w:vAlign w:val="center"/>
                </w:tcPr>
                <w:p w14:paraId="4DA3A86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定期对运输道路洒水降尘。</w:t>
                  </w:r>
                </w:p>
              </w:tc>
              <w:tc>
                <w:tcPr>
                  <w:tcW w:w="629" w:type="pct"/>
                  <w:tcBorders>
                    <w:right w:val="nil"/>
                  </w:tcBorders>
                  <w:vAlign w:val="center"/>
                </w:tcPr>
                <w:p w14:paraId="136482D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r>
            <w:tr w14:paraId="1736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11E42677">
                  <w:pPr>
                    <w:jc w:val="center"/>
                    <w:rPr>
                      <w:rFonts w:hint="default" w:ascii="Times New Roman" w:hAnsi="Times New Roman" w:eastAsia="宋体" w:cs="Times New Roman"/>
                      <w:color w:val="auto"/>
                      <w:sz w:val="18"/>
                      <w:szCs w:val="18"/>
                      <w:lang w:val="en-US" w:eastAsia="zh-CN"/>
                    </w:rPr>
                  </w:pPr>
                </w:p>
              </w:tc>
              <w:tc>
                <w:tcPr>
                  <w:tcW w:w="498" w:type="pct"/>
                  <w:vMerge w:val="restart"/>
                  <w:vAlign w:val="center"/>
                </w:tcPr>
                <w:p w14:paraId="70834AF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废水</w:t>
                  </w:r>
                </w:p>
              </w:tc>
              <w:tc>
                <w:tcPr>
                  <w:tcW w:w="722" w:type="pct"/>
                  <w:vAlign w:val="center"/>
                </w:tcPr>
                <w:p w14:paraId="6C4AF68E">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生活污水</w:t>
                  </w:r>
                </w:p>
              </w:tc>
              <w:tc>
                <w:tcPr>
                  <w:tcW w:w="2710" w:type="pct"/>
                  <w:vAlign w:val="center"/>
                </w:tcPr>
                <w:p w14:paraId="6BAFC3C3">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r>
                    <w:rPr>
                      <w:rFonts w:hint="default" w:ascii="Times New Roman" w:hAnsi="Times New Roman" w:cs="Times New Roman"/>
                      <w:color w:val="auto"/>
                      <w:sz w:val="18"/>
                      <w:szCs w:val="18"/>
                    </w:rPr>
                    <w:t>个容积为</w:t>
                  </w:r>
                  <w:r>
                    <w:rPr>
                      <w:rFonts w:hint="eastAsia" w:cs="Times New Roman"/>
                      <w:color w:val="auto"/>
                      <w:sz w:val="18"/>
                      <w:szCs w:val="18"/>
                      <w:lang w:val="en-US" w:eastAsia="zh-CN"/>
                    </w:rPr>
                    <w:t>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eastAsia" w:cs="Times New Roman"/>
                      <w:color w:val="auto"/>
                      <w:sz w:val="18"/>
                      <w:szCs w:val="18"/>
                      <w:lang w:val="en-US" w:eastAsia="zh-CN"/>
                    </w:rPr>
                    <w:t>的</w:t>
                  </w:r>
                  <w:r>
                    <w:rPr>
                      <w:rFonts w:hint="default" w:ascii="Times New Roman" w:hAnsi="Times New Roman" w:cs="Times New Roman"/>
                      <w:color w:val="auto"/>
                      <w:sz w:val="18"/>
                      <w:szCs w:val="18"/>
                    </w:rPr>
                    <w:t>化粪池</w:t>
                  </w:r>
                  <w:r>
                    <w:rPr>
                      <w:rFonts w:hint="eastAsia" w:ascii="Times New Roman" w:hAnsi="Times New Roman" w:cs="Times New Roman"/>
                      <w:color w:val="auto"/>
                      <w:sz w:val="18"/>
                      <w:szCs w:val="18"/>
                      <w:lang w:eastAsia="zh-CN"/>
                    </w:rPr>
                    <w:t>。</w:t>
                  </w:r>
                </w:p>
              </w:tc>
              <w:tc>
                <w:tcPr>
                  <w:tcW w:w="629" w:type="pct"/>
                  <w:tcBorders>
                    <w:right w:val="nil"/>
                  </w:tcBorders>
                  <w:vAlign w:val="center"/>
                </w:tcPr>
                <w:p w14:paraId="354447A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r>
            <w:tr w14:paraId="7F97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2FF6DD98">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77A8A2A0">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799004F3">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消防废水</w:t>
                  </w:r>
                </w:p>
              </w:tc>
              <w:tc>
                <w:tcPr>
                  <w:tcW w:w="2710" w:type="pct"/>
                  <w:vAlign w:val="center"/>
                </w:tcPr>
                <w:p w14:paraId="24BC25E4">
                  <w:pPr>
                    <w:jc w:val="center"/>
                    <w:rPr>
                      <w:rFonts w:hint="eastAsia" w:cs="Times New Roman"/>
                      <w:color w:val="auto"/>
                      <w:sz w:val="18"/>
                      <w:szCs w:val="18"/>
                      <w:lang w:val="en-US" w:eastAsia="zh-CN"/>
                    </w:rPr>
                  </w:pPr>
                  <w:r>
                    <w:rPr>
                      <w:rFonts w:hint="eastAsia" w:cs="Times New Roman"/>
                      <w:color w:val="auto"/>
                      <w:sz w:val="18"/>
                      <w:szCs w:val="18"/>
                      <w:lang w:val="en-US" w:eastAsia="zh-CN"/>
                    </w:rPr>
                    <w:t>1</w:t>
                  </w:r>
                  <w:r>
                    <w:rPr>
                      <w:rFonts w:hint="default" w:ascii="Times New Roman" w:hAnsi="Times New Roman" w:cs="Times New Roman"/>
                      <w:color w:val="auto"/>
                      <w:sz w:val="18"/>
                      <w:szCs w:val="18"/>
                    </w:rPr>
                    <w:t>个容积为</w:t>
                  </w:r>
                  <w:r>
                    <w:rPr>
                      <w:rFonts w:hint="eastAsia" w:cs="Times New Roman"/>
                      <w:color w:val="auto"/>
                      <w:sz w:val="18"/>
                      <w:szCs w:val="18"/>
                      <w:lang w:val="en-US" w:eastAsia="zh-CN"/>
                    </w:rPr>
                    <w:t>65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eastAsia" w:cs="Times New Roman"/>
                      <w:color w:val="auto"/>
                      <w:sz w:val="18"/>
                      <w:szCs w:val="18"/>
                      <w:lang w:val="en-US" w:eastAsia="zh-CN"/>
                    </w:rPr>
                    <w:t>的消防事故应急池</w:t>
                  </w:r>
                  <w:r>
                    <w:rPr>
                      <w:rFonts w:hint="eastAsia" w:ascii="Times New Roman" w:hAnsi="Times New Roman" w:cs="Times New Roman"/>
                      <w:color w:val="auto"/>
                      <w:sz w:val="18"/>
                      <w:szCs w:val="18"/>
                      <w:lang w:eastAsia="zh-CN"/>
                    </w:rPr>
                    <w:t>。</w:t>
                  </w:r>
                </w:p>
              </w:tc>
              <w:tc>
                <w:tcPr>
                  <w:tcW w:w="629" w:type="pct"/>
                  <w:tcBorders>
                    <w:right w:val="nil"/>
                  </w:tcBorders>
                  <w:vAlign w:val="center"/>
                </w:tcPr>
                <w:p w14:paraId="7A3C7742">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r>
            <w:tr w14:paraId="6714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1F4E5A25">
                  <w:pPr>
                    <w:jc w:val="center"/>
                    <w:rPr>
                      <w:rFonts w:hint="default" w:ascii="Times New Roman" w:hAnsi="Times New Roman" w:eastAsia="宋体" w:cs="Times New Roman"/>
                      <w:color w:val="auto"/>
                      <w:sz w:val="18"/>
                      <w:szCs w:val="18"/>
                      <w:lang w:val="en-US" w:eastAsia="zh-CN"/>
                    </w:rPr>
                  </w:pPr>
                </w:p>
              </w:tc>
              <w:tc>
                <w:tcPr>
                  <w:tcW w:w="1221" w:type="pct"/>
                  <w:gridSpan w:val="2"/>
                  <w:vAlign w:val="center"/>
                </w:tcPr>
                <w:p w14:paraId="72F437E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地面硬化</w:t>
                  </w:r>
                </w:p>
              </w:tc>
              <w:tc>
                <w:tcPr>
                  <w:tcW w:w="2710" w:type="pct"/>
                  <w:vAlign w:val="center"/>
                </w:tcPr>
                <w:p w14:paraId="5C87ECB6">
                  <w:pPr>
                    <w:jc w:val="center"/>
                    <w:rPr>
                      <w:rFonts w:hint="eastAsia"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库区内运输道路，炸药库、雷管库库区做地面硬化处理。</w:t>
                  </w:r>
                </w:p>
              </w:tc>
              <w:tc>
                <w:tcPr>
                  <w:tcW w:w="629" w:type="pct"/>
                  <w:tcBorders>
                    <w:right w:val="nil"/>
                  </w:tcBorders>
                  <w:vAlign w:val="center"/>
                </w:tcPr>
                <w:p w14:paraId="2B3D1484">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w:t>
                  </w:r>
                </w:p>
              </w:tc>
            </w:tr>
            <w:tr w14:paraId="3AA8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left w:val="nil"/>
                  </w:tcBorders>
                  <w:vAlign w:val="center"/>
                </w:tcPr>
                <w:p w14:paraId="0BAB78AE">
                  <w:pPr>
                    <w:jc w:val="center"/>
                    <w:rPr>
                      <w:rFonts w:hint="default" w:ascii="Times New Roman" w:hAnsi="Times New Roman" w:eastAsia="宋体" w:cs="Times New Roman"/>
                      <w:color w:val="auto"/>
                      <w:sz w:val="18"/>
                      <w:szCs w:val="18"/>
                      <w:lang w:val="en-US" w:eastAsia="zh-CN"/>
                    </w:rPr>
                  </w:pPr>
                </w:p>
              </w:tc>
              <w:tc>
                <w:tcPr>
                  <w:tcW w:w="498" w:type="pct"/>
                  <w:vMerge w:val="restart"/>
                  <w:vAlign w:val="center"/>
                </w:tcPr>
                <w:p w14:paraId="704703B9">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固体废物</w:t>
                  </w:r>
                </w:p>
              </w:tc>
              <w:tc>
                <w:tcPr>
                  <w:tcW w:w="722" w:type="pct"/>
                  <w:vAlign w:val="center"/>
                </w:tcPr>
                <w:p w14:paraId="51987ADC">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废包装材料</w:t>
                  </w:r>
                </w:p>
              </w:tc>
              <w:tc>
                <w:tcPr>
                  <w:tcW w:w="2710" w:type="pct"/>
                  <w:vAlign w:val="center"/>
                </w:tcPr>
                <w:p w14:paraId="252834A1">
                  <w:pPr>
                    <w:jc w:val="center"/>
                    <w:rPr>
                      <w:rFonts w:hint="eastAsia" w:cs="Times New Roman"/>
                      <w:color w:val="auto"/>
                      <w:sz w:val="18"/>
                      <w:szCs w:val="18"/>
                      <w:lang w:val="en-US" w:eastAsia="zh-CN"/>
                    </w:rPr>
                  </w:pPr>
                  <w:r>
                    <w:rPr>
                      <w:rFonts w:hint="default" w:cs="Times New Roman"/>
                      <w:color w:val="auto"/>
                      <w:sz w:val="18"/>
                      <w:szCs w:val="18"/>
                      <w:lang w:val="en-US" w:eastAsia="zh-CN"/>
                    </w:rPr>
                    <w:t>生产厂家回收</w:t>
                  </w:r>
                  <w:r>
                    <w:rPr>
                      <w:rFonts w:hint="eastAsia" w:cs="Times New Roman"/>
                      <w:color w:val="auto"/>
                      <w:sz w:val="18"/>
                      <w:szCs w:val="18"/>
                      <w:lang w:val="en-US" w:eastAsia="zh-CN"/>
                    </w:rPr>
                    <w:t>。</w:t>
                  </w:r>
                </w:p>
              </w:tc>
              <w:tc>
                <w:tcPr>
                  <w:tcW w:w="629" w:type="pct"/>
                  <w:tcBorders>
                    <w:right w:val="nil"/>
                  </w:tcBorders>
                  <w:vAlign w:val="center"/>
                </w:tcPr>
                <w:p w14:paraId="46D5E72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5</w:t>
                  </w:r>
                </w:p>
              </w:tc>
            </w:tr>
            <w:tr w14:paraId="6AF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37" w:type="pct"/>
                  <w:vMerge w:val="continue"/>
                  <w:tcBorders>
                    <w:left w:val="nil"/>
                  </w:tcBorders>
                  <w:vAlign w:val="center"/>
                </w:tcPr>
                <w:p w14:paraId="7F0356CF">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1327C457">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0C9FA7D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化粪池污泥</w:t>
                  </w:r>
                </w:p>
              </w:tc>
              <w:tc>
                <w:tcPr>
                  <w:tcW w:w="2710" w:type="pct"/>
                  <w:vAlign w:val="center"/>
                </w:tcPr>
                <w:p w14:paraId="79117246">
                  <w:pPr>
                    <w:jc w:val="center"/>
                    <w:rPr>
                      <w:rFonts w:hint="default" w:cs="Times New Roman"/>
                      <w:color w:val="auto"/>
                      <w:sz w:val="18"/>
                      <w:szCs w:val="18"/>
                      <w:lang w:val="en-US" w:eastAsia="zh-CN"/>
                    </w:rPr>
                  </w:pPr>
                  <w:r>
                    <w:rPr>
                      <w:rFonts w:hint="eastAsia" w:cs="Times New Roman"/>
                      <w:color w:val="auto"/>
                      <w:sz w:val="18"/>
                      <w:szCs w:val="18"/>
                      <w:lang w:val="en-US" w:eastAsia="zh-CN"/>
                    </w:rPr>
                    <w:t>定期清掏后委托周边村民清掏后作为农肥使用。</w:t>
                  </w:r>
                </w:p>
              </w:tc>
              <w:tc>
                <w:tcPr>
                  <w:tcW w:w="629" w:type="pct"/>
                  <w:tcBorders>
                    <w:right w:val="nil"/>
                  </w:tcBorders>
                  <w:vAlign w:val="center"/>
                </w:tcPr>
                <w:p w14:paraId="12EB872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r>
            <w:tr w14:paraId="393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7" w:type="pct"/>
                  <w:vMerge w:val="continue"/>
                  <w:tcBorders>
                    <w:left w:val="nil"/>
                  </w:tcBorders>
                  <w:vAlign w:val="center"/>
                </w:tcPr>
                <w:p w14:paraId="2D4B7273">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6E4E06E7">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08B37ACF">
                  <w:pPr>
                    <w:pStyle w:val="4"/>
                    <w:adjustRightInd/>
                    <w:spacing w:line="276" w:lineRule="auto"/>
                    <w:ind w:firstLine="0" w:firstLineChars="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变质、失效及过期的爆破器材</w:t>
                  </w:r>
                </w:p>
              </w:tc>
              <w:tc>
                <w:tcPr>
                  <w:tcW w:w="2710" w:type="pct"/>
                  <w:vAlign w:val="center"/>
                </w:tcPr>
                <w:p w14:paraId="2700305F">
                  <w:pPr>
                    <w:pStyle w:val="97"/>
                    <w:jc w:val="center"/>
                    <w:rPr>
                      <w:rFonts w:hint="default" w:cs="Times New Roman"/>
                      <w:color w:val="auto"/>
                      <w:sz w:val="18"/>
                      <w:szCs w:val="18"/>
                      <w:lang w:val="en-US" w:eastAsia="zh-CN"/>
                    </w:rPr>
                  </w:pPr>
                  <w:r>
                    <w:rPr>
                      <w:rFonts w:hint="default" w:ascii="Times New Roman" w:hAnsi="Times New Roman" w:eastAsia="宋体" w:cs="Times New Roman"/>
                      <w:color w:val="auto"/>
                      <w:sz w:val="18"/>
                      <w:szCs w:val="18"/>
                    </w:rPr>
                    <w:t>经收集后上报公安机关，并在公安机关监督下由专业销毁单位处置，严禁自行处理。</w:t>
                  </w:r>
                </w:p>
              </w:tc>
              <w:tc>
                <w:tcPr>
                  <w:tcW w:w="629" w:type="pct"/>
                  <w:tcBorders>
                    <w:right w:val="nil"/>
                  </w:tcBorders>
                  <w:vAlign w:val="center"/>
                </w:tcPr>
                <w:p w14:paraId="2235376C">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0.5</w:t>
                  </w:r>
                </w:p>
              </w:tc>
            </w:tr>
            <w:tr w14:paraId="7BD8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7" w:type="pct"/>
                  <w:vMerge w:val="continue"/>
                  <w:tcBorders>
                    <w:left w:val="nil"/>
                  </w:tcBorders>
                  <w:vAlign w:val="center"/>
                </w:tcPr>
                <w:p w14:paraId="0BE8490B">
                  <w:pPr>
                    <w:jc w:val="center"/>
                    <w:rPr>
                      <w:rFonts w:hint="default" w:ascii="Times New Roman" w:hAnsi="Times New Roman" w:eastAsia="宋体" w:cs="Times New Roman"/>
                      <w:color w:val="auto"/>
                      <w:sz w:val="18"/>
                      <w:szCs w:val="18"/>
                      <w:lang w:val="en-US" w:eastAsia="zh-CN"/>
                    </w:rPr>
                  </w:pPr>
                </w:p>
              </w:tc>
              <w:tc>
                <w:tcPr>
                  <w:tcW w:w="498" w:type="pct"/>
                  <w:vMerge w:val="continue"/>
                  <w:vAlign w:val="center"/>
                </w:tcPr>
                <w:p w14:paraId="4CB70E5E">
                  <w:pPr>
                    <w:jc w:val="center"/>
                    <w:rPr>
                      <w:rFonts w:hint="eastAsia" w:ascii="Times New Roman" w:hAnsi="Times New Roman" w:eastAsia="宋体" w:cs="Times New Roman"/>
                      <w:color w:val="auto"/>
                      <w:sz w:val="18"/>
                      <w:szCs w:val="18"/>
                      <w:lang w:val="en-US" w:eastAsia="zh-CN"/>
                    </w:rPr>
                  </w:pPr>
                </w:p>
              </w:tc>
              <w:tc>
                <w:tcPr>
                  <w:tcW w:w="722" w:type="pct"/>
                  <w:vAlign w:val="center"/>
                </w:tcPr>
                <w:p w14:paraId="0CD41E3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生活垃圾</w:t>
                  </w:r>
                </w:p>
              </w:tc>
              <w:tc>
                <w:tcPr>
                  <w:tcW w:w="2710" w:type="pct"/>
                  <w:vAlign w:val="center"/>
                </w:tcPr>
                <w:p w14:paraId="083A7AA6">
                  <w:pPr>
                    <w:jc w:val="center"/>
                    <w:rPr>
                      <w:rFonts w:hint="eastAsia" w:cs="Times New Roman"/>
                      <w:color w:val="auto"/>
                      <w:sz w:val="18"/>
                      <w:szCs w:val="18"/>
                      <w:lang w:val="en-US" w:eastAsia="zh-CN"/>
                    </w:rPr>
                  </w:pPr>
                  <w:r>
                    <w:rPr>
                      <w:rFonts w:hint="default" w:cs="Times New Roman"/>
                      <w:color w:val="auto"/>
                      <w:sz w:val="18"/>
                      <w:szCs w:val="18"/>
                      <w:lang w:val="en-US" w:eastAsia="zh-CN"/>
                    </w:rPr>
                    <w:t>设置可移动式垃圾桶，分类收集后统一运至</w:t>
                  </w:r>
                  <w:r>
                    <w:rPr>
                      <w:rFonts w:hint="eastAsia" w:cs="Times New Roman"/>
                      <w:color w:val="auto"/>
                      <w:sz w:val="18"/>
                      <w:szCs w:val="18"/>
                      <w:lang w:val="en-US" w:eastAsia="zh-CN"/>
                    </w:rPr>
                    <w:t>环卫</w:t>
                  </w:r>
                  <w:r>
                    <w:rPr>
                      <w:rFonts w:hint="default" w:cs="Times New Roman"/>
                      <w:color w:val="auto"/>
                      <w:sz w:val="18"/>
                      <w:szCs w:val="18"/>
                      <w:lang w:val="en-US" w:eastAsia="zh-CN"/>
                    </w:rPr>
                    <w:t>部门指定地点处理</w:t>
                  </w:r>
                  <w:r>
                    <w:rPr>
                      <w:rFonts w:hint="eastAsia" w:cs="Times New Roman"/>
                      <w:color w:val="auto"/>
                      <w:sz w:val="18"/>
                      <w:szCs w:val="18"/>
                      <w:lang w:val="en-US" w:eastAsia="zh-CN"/>
                    </w:rPr>
                    <w:t>。</w:t>
                  </w:r>
                </w:p>
              </w:tc>
              <w:tc>
                <w:tcPr>
                  <w:tcW w:w="629" w:type="pct"/>
                  <w:tcBorders>
                    <w:right w:val="nil"/>
                  </w:tcBorders>
                  <w:vAlign w:val="center"/>
                </w:tcPr>
                <w:p w14:paraId="5BAB796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r>
            <w:tr w14:paraId="4EA4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70" w:type="pct"/>
                  <w:gridSpan w:val="4"/>
                  <w:tcBorders>
                    <w:left w:val="nil"/>
                  </w:tcBorders>
                  <w:vAlign w:val="center"/>
                </w:tcPr>
                <w:p w14:paraId="2F887E5C">
                  <w:pPr>
                    <w:jc w:val="center"/>
                    <w:rPr>
                      <w:rFonts w:hint="default" w:cs="Times New Roman"/>
                      <w:color w:val="auto"/>
                      <w:sz w:val="18"/>
                      <w:szCs w:val="18"/>
                      <w:lang w:val="en-US" w:eastAsia="zh-CN"/>
                    </w:rPr>
                  </w:pPr>
                  <w:r>
                    <w:rPr>
                      <w:rFonts w:hint="eastAsia" w:cs="Times New Roman"/>
                      <w:color w:val="auto"/>
                      <w:sz w:val="18"/>
                      <w:szCs w:val="18"/>
                      <w:lang w:val="en-US" w:eastAsia="zh-CN"/>
                    </w:rPr>
                    <w:t>合计</w:t>
                  </w:r>
                </w:p>
              </w:tc>
              <w:tc>
                <w:tcPr>
                  <w:tcW w:w="629" w:type="pct"/>
                  <w:tcBorders>
                    <w:right w:val="nil"/>
                  </w:tcBorders>
                  <w:vAlign w:val="center"/>
                </w:tcPr>
                <w:p w14:paraId="7FA2CC1B">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w:t>
                  </w:r>
                </w:p>
              </w:tc>
            </w:tr>
          </w:tbl>
          <w:p w14:paraId="303E9ADF">
            <w:pPr>
              <w:pStyle w:val="106"/>
              <w:ind w:firstLine="0" w:firstLineChars="0"/>
              <w:rPr>
                <w:rFonts w:hint="default" w:ascii="Times New Roman" w:hAnsi="Times New Roman" w:cs="Times New Roman"/>
                <w:color w:val="auto"/>
                <w:sz w:val="24"/>
              </w:rPr>
            </w:pPr>
          </w:p>
        </w:tc>
      </w:tr>
      <w:tr w14:paraId="7F094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6" w:type="pct"/>
            <w:vAlign w:val="center"/>
          </w:tcPr>
          <w:p w14:paraId="7D4987AD">
            <w:pPr>
              <w:pStyle w:val="32"/>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szCs w:val="24"/>
              </w:rPr>
              <w:t>工艺流程和产排污环节</w:t>
            </w:r>
          </w:p>
        </w:tc>
        <w:tc>
          <w:tcPr>
            <w:tcW w:w="4493" w:type="pct"/>
          </w:tcPr>
          <w:p w14:paraId="08E6EA0B">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1、</w:t>
            </w:r>
            <w:r>
              <w:rPr>
                <w:rFonts w:hint="default" w:ascii="Times New Roman" w:hAnsi="Times New Roman" w:eastAsia="黑体" w:cs="Times New Roman"/>
                <w:bCs/>
                <w:color w:val="auto"/>
                <w:sz w:val="24"/>
              </w:rPr>
              <w:t>项目施工期工艺流程</w:t>
            </w:r>
          </w:p>
          <w:p w14:paraId="6AB355A0">
            <w:pPr>
              <w:pStyle w:val="16"/>
              <w:spacing w:after="0" w:line="360" w:lineRule="auto"/>
              <w:ind w:left="0" w:leftChars="0" w:firstLine="480" w:firstLineChars="200"/>
              <w:rPr>
                <w:rFonts w:hint="eastAsia"/>
                <w:color w:val="auto"/>
              </w:rPr>
            </w:pPr>
            <w:r>
              <w:rPr>
                <w:rFonts w:hint="eastAsia"/>
                <w:color w:val="auto"/>
              </w:rPr>
              <w:t>本项目施工期主要工作包括场地平整、基础施工、厂房建设、设备安装等工序，建设过程中将产生扬尘、噪声、固体废物、施工污水等污染物，其排放量随施工强度不同而变化。</w:t>
            </w:r>
          </w:p>
          <w:p w14:paraId="1ACDA541">
            <w:pPr>
              <w:pStyle w:val="16"/>
              <w:spacing w:after="0" w:line="360" w:lineRule="auto"/>
              <w:ind w:left="0" w:leftChars="0" w:firstLine="480" w:firstLineChars="200"/>
              <w:rPr>
                <w:rFonts w:hint="eastAsia"/>
                <w:b/>
                <w:bCs/>
                <w:color w:val="auto"/>
                <w:szCs w:val="24"/>
              </w:rPr>
            </w:pPr>
            <w:r>
              <w:rPr>
                <w:rFonts w:hint="eastAsia"/>
                <w:color w:val="auto"/>
              </w:rPr>
              <w:t>施工期工艺流程及排污节点图如下图所示。</w:t>
            </w:r>
          </w:p>
          <w:p w14:paraId="72C874A0">
            <w:pPr>
              <w:spacing w:line="360" w:lineRule="auto"/>
              <w:jc w:val="center"/>
              <w:rPr>
                <w:rFonts w:hint="eastAsia" w:eastAsia="宋体"/>
                <w:b/>
                <w:bCs/>
                <w:color w:val="auto"/>
                <w:sz w:val="24"/>
                <w:lang w:eastAsia="zh-CN"/>
              </w:rPr>
            </w:pPr>
            <w:r>
              <w:rPr>
                <w:rFonts w:hint="eastAsia" w:eastAsia="宋体"/>
                <w:b/>
                <w:bCs/>
                <w:color w:val="auto"/>
                <w:sz w:val="24"/>
                <w:lang w:eastAsia="zh-CN"/>
              </w:rPr>
              <w:drawing>
                <wp:inline distT="0" distB="0" distL="114300" distR="114300">
                  <wp:extent cx="4946015" cy="2108200"/>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1"/>
                          <a:stretch>
                            <a:fillRect/>
                          </a:stretch>
                        </pic:blipFill>
                        <pic:spPr>
                          <a:xfrm>
                            <a:off x="0" y="0"/>
                            <a:ext cx="4946015" cy="2108200"/>
                          </a:xfrm>
                          <a:prstGeom prst="rect">
                            <a:avLst/>
                          </a:prstGeom>
                        </pic:spPr>
                      </pic:pic>
                    </a:graphicData>
                  </a:graphic>
                </wp:inline>
              </w:drawing>
            </w:r>
          </w:p>
          <w:p w14:paraId="227B38DB">
            <w:pPr>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图2-</w:t>
            </w:r>
            <w:r>
              <w:rPr>
                <w:rFonts w:hint="eastAsia" w:eastAsia="黑体" w:cs="Times New Roman"/>
                <w:color w:val="auto"/>
                <w:sz w:val="21"/>
                <w:szCs w:val="21"/>
                <w:lang w:val="en-US" w:eastAsia="zh-CN"/>
              </w:rPr>
              <w:t>2</w:t>
            </w:r>
            <w:r>
              <w:rPr>
                <w:rFonts w:hint="default" w:ascii="Times New Roman" w:hAnsi="Times New Roman" w:eastAsia="黑体" w:cs="Times New Roman"/>
                <w:color w:val="auto"/>
                <w:sz w:val="21"/>
                <w:szCs w:val="21"/>
              </w:rPr>
              <w:t xml:space="preserve">    施工期工艺流程及产污节点图</w:t>
            </w:r>
          </w:p>
          <w:p w14:paraId="3467B6DC">
            <w:pPr>
              <w:pStyle w:val="7"/>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default" w:ascii="Times New Roman" w:hAnsi="Times New Roman" w:eastAsia="黑体" w:cs="Times New Roman"/>
                <w:b/>
                <w:bCs w:val="0"/>
                <w:snapToGrid/>
                <w:color w:val="auto"/>
                <w:kern w:val="2"/>
                <w:sz w:val="24"/>
                <w:szCs w:val="28"/>
                <w:highlight w:val="none"/>
                <w:lang w:val="en-US" w:eastAsia="zh-CN"/>
              </w:rPr>
            </w:pPr>
            <w:r>
              <w:rPr>
                <w:rFonts w:hint="eastAsia" w:ascii="Times New Roman" w:hAnsi="Times New Roman" w:cs="Times New Roman"/>
                <w:b/>
                <w:bCs w:val="0"/>
                <w:snapToGrid/>
                <w:color w:val="auto"/>
                <w:kern w:val="2"/>
                <w:sz w:val="24"/>
                <w:szCs w:val="28"/>
                <w:highlight w:val="none"/>
                <w:lang w:val="en-US" w:eastAsia="zh-CN"/>
              </w:rPr>
              <w:t>（1）</w:t>
            </w:r>
            <w:r>
              <w:rPr>
                <w:rFonts w:hint="default" w:ascii="Times New Roman" w:hAnsi="Times New Roman" w:eastAsia="黑体" w:cs="Times New Roman"/>
                <w:b/>
                <w:bCs w:val="0"/>
                <w:snapToGrid/>
                <w:color w:val="auto"/>
                <w:kern w:val="2"/>
                <w:sz w:val="24"/>
                <w:szCs w:val="28"/>
                <w:highlight w:val="none"/>
                <w:lang w:val="en-US" w:eastAsia="zh-CN"/>
              </w:rPr>
              <w:t>施工组织及施工工艺</w:t>
            </w:r>
          </w:p>
          <w:p w14:paraId="12D137D9">
            <w:pPr>
              <w:pStyle w:val="4"/>
              <w:adjustRightInd w:val="0"/>
              <w:snapToGrid w:val="0"/>
              <w:spacing w:line="360" w:lineRule="auto"/>
              <w:ind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施工条件</w:t>
            </w:r>
          </w:p>
          <w:p w14:paraId="66760295">
            <w:pPr>
              <w:adjustRightInd w:val="0"/>
              <w:snapToGrid w:val="0"/>
              <w:spacing w:line="360" w:lineRule="auto"/>
              <w:ind w:firstLine="436" w:firstLineChars="182"/>
              <w:textAlignment w:val="baseline"/>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供水、供电、交通以及通讯</w:t>
            </w:r>
          </w:p>
          <w:p w14:paraId="131C46AE">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库区</w:t>
            </w:r>
            <w:r>
              <w:rPr>
                <w:rFonts w:hint="default" w:ascii="Times New Roman" w:hAnsi="Times New Roman" w:eastAsia="宋体" w:cs="Times New Roman"/>
                <w:color w:val="auto"/>
                <w:sz w:val="24"/>
                <w:lang w:val="en-US" w:eastAsia="zh-CN"/>
              </w:rPr>
              <w:t>附近</w:t>
            </w:r>
            <w:r>
              <w:rPr>
                <w:rFonts w:hint="default" w:ascii="Times New Roman" w:hAnsi="Times New Roman" w:eastAsia="宋体" w:cs="Times New Roman"/>
                <w:color w:val="auto"/>
                <w:sz w:val="24"/>
              </w:rPr>
              <w:t>修建有</w:t>
            </w:r>
            <w:r>
              <w:rPr>
                <w:rFonts w:hint="eastAsia" w:ascii="Times New Roman" w:hAnsi="Times New Roman" w:eastAsia="宋体" w:cs="Times New Roman"/>
                <w:color w:val="auto"/>
                <w:sz w:val="24"/>
                <w:lang w:val="en-US" w:eastAsia="zh-CN"/>
              </w:rPr>
              <w:t>矿山</w:t>
            </w:r>
            <w:r>
              <w:rPr>
                <w:rFonts w:hint="default" w:ascii="Times New Roman" w:hAnsi="Times New Roman" w:eastAsia="宋体" w:cs="Times New Roman"/>
                <w:color w:val="auto"/>
                <w:sz w:val="24"/>
              </w:rPr>
              <w:t>道路连通乡村公路，</w:t>
            </w:r>
            <w:r>
              <w:rPr>
                <w:rFonts w:hint="default" w:ascii="Times New Roman" w:hAnsi="Times New Roman" w:eastAsia="宋体" w:cs="Times New Roman"/>
                <w:color w:val="auto"/>
                <w:sz w:val="24"/>
                <w:lang w:val="en-US" w:eastAsia="zh-CN"/>
              </w:rPr>
              <w:t>该部分</w:t>
            </w:r>
            <w:r>
              <w:rPr>
                <w:rFonts w:hint="default" w:ascii="Times New Roman" w:hAnsi="Times New Roman" w:eastAsia="宋体" w:cs="Times New Roman"/>
                <w:color w:val="auto"/>
                <w:sz w:val="24"/>
              </w:rPr>
              <w:t>道路能够满足施工的要求。</w:t>
            </w:r>
          </w:p>
          <w:p w14:paraId="3480DD3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rPr>
              <w:t>主要材料及其来源</w:t>
            </w:r>
          </w:p>
          <w:p w14:paraId="7D6EA3E7">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工程建设不设置专门的料场，工程建设所需的砂、石全部购于当地具有合法开采权的采石场，当地砂石料储量丰富，质量较高，能满足本工程建设需要，水泥及其他辅助材料根据就近原则可从当地物资部门购买。</w:t>
            </w:r>
            <w:r>
              <w:rPr>
                <w:rFonts w:hint="eastAsia" w:ascii="Times New Roman" w:hAnsi="Times New Roman" w:eastAsia="宋体" w:cs="Times New Roman"/>
                <w:color w:val="auto"/>
                <w:sz w:val="24"/>
                <w:lang w:val="en-US" w:eastAsia="zh-CN"/>
              </w:rPr>
              <w:t>库区</w:t>
            </w:r>
            <w:r>
              <w:rPr>
                <w:rFonts w:hint="default" w:ascii="Times New Roman" w:hAnsi="Times New Roman" w:eastAsia="宋体" w:cs="Times New Roman"/>
                <w:color w:val="auto"/>
                <w:sz w:val="24"/>
              </w:rPr>
              <w:t>防渗粘土料当地合法取土场购买，本项目不设置取土场。</w:t>
            </w:r>
          </w:p>
          <w:p w14:paraId="6067DA0C">
            <w:pPr>
              <w:pStyle w:val="4"/>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w:t>
            </w:r>
            <w:r>
              <w:rPr>
                <w:rFonts w:hint="eastAsia" w:ascii="Times New Roman" w:hAnsi="Times New Roman" w:eastAsia="宋体" w:cs="Times New Roman"/>
                <w:b/>
                <w:color w:val="auto"/>
                <w:sz w:val="24"/>
                <w:lang w:eastAsia="zh-CN"/>
              </w:rPr>
              <w:t>）</w:t>
            </w:r>
            <w:r>
              <w:rPr>
                <w:rFonts w:hint="default" w:ascii="Times New Roman" w:hAnsi="Times New Roman" w:eastAsia="宋体" w:cs="Times New Roman"/>
                <w:b/>
                <w:color w:val="auto"/>
                <w:sz w:val="24"/>
              </w:rPr>
              <w:t>“三场”</w:t>
            </w:r>
          </w:p>
          <w:p w14:paraId="7FEA35A3">
            <w:pPr>
              <w:tabs>
                <w:tab w:val="left" w:pos="2395"/>
              </w:tabs>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①</w:t>
            </w:r>
            <w:r>
              <w:rPr>
                <w:rFonts w:hint="default" w:ascii="Times New Roman" w:hAnsi="Times New Roman" w:eastAsia="宋体" w:cs="Times New Roman"/>
                <w:bCs/>
                <w:color w:val="auto"/>
                <w:sz w:val="24"/>
              </w:rPr>
              <w:t>临时施工场地</w:t>
            </w:r>
          </w:p>
          <w:p w14:paraId="5D39525E">
            <w:pPr>
              <w:tabs>
                <w:tab w:val="left" w:pos="2395"/>
              </w:tabs>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项目设置一个施工场地用于供施工人员办公及临时休息，但均不在项目区食宿。</w:t>
            </w:r>
          </w:p>
          <w:p w14:paraId="1BF40EE6">
            <w:pPr>
              <w:pStyle w:val="145"/>
              <w:adjustRightInd w:val="0"/>
              <w:snapToGrid w:val="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②</w:t>
            </w:r>
            <w:r>
              <w:rPr>
                <w:rFonts w:hint="default" w:ascii="Times New Roman" w:hAnsi="Times New Roman" w:eastAsia="宋体" w:cs="Times New Roman"/>
                <w:color w:val="auto"/>
              </w:rPr>
              <w:t>表土临时堆场</w:t>
            </w:r>
          </w:p>
          <w:p w14:paraId="3DAD053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库区</w:t>
            </w:r>
            <w:r>
              <w:rPr>
                <w:rFonts w:hint="default" w:ascii="Times New Roman" w:hAnsi="Times New Roman" w:eastAsia="宋体" w:cs="Times New Roman"/>
                <w:color w:val="auto"/>
                <w:sz w:val="24"/>
              </w:rPr>
              <w:t>清基开挖等施工过程</w:t>
            </w:r>
            <w:r>
              <w:rPr>
                <w:rFonts w:hint="default" w:ascii="Times New Roman" w:hAnsi="Times New Roman" w:eastAsia="宋体" w:cs="Times New Roman"/>
                <w:color w:val="auto"/>
                <w:sz w:val="24"/>
                <w:lang w:val="en-US" w:eastAsia="zh-CN"/>
              </w:rPr>
              <w:t>产生的表土与废土石一同运至矿山南部废石场进行堆存，本项目不设表土堆场</w:t>
            </w:r>
            <w:r>
              <w:rPr>
                <w:rFonts w:hint="default" w:ascii="Times New Roman" w:hAnsi="Times New Roman" w:eastAsia="宋体" w:cs="Times New Roman"/>
                <w:color w:val="auto"/>
                <w:sz w:val="24"/>
              </w:rPr>
              <w:t>。</w:t>
            </w:r>
          </w:p>
          <w:p w14:paraId="2E7BAC38">
            <w:pPr>
              <w:pStyle w:val="145"/>
              <w:adjustRightInd w:val="0"/>
              <w:snapToGrid w:val="0"/>
              <w:rPr>
                <w:rFonts w:hint="default" w:ascii="Times New Roman" w:hAnsi="Times New Roman" w:cs="Times New Roman"/>
                <w:color w:val="auto"/>
              </w:rPr>
            </w:pPr>
            <w:r>
              <w:rPr>
                <w:rFonts w:hint="eastAsia" w:ascii="Times New Roman" w:hAnsi="Times New Roman" w:cs="Times New Roman"/>
                <w:color w:val="auto"/>
                <w:lang w:val="en-US" w:eastAsia="zh-CN"/>
              </w:rPr>
              <w:t>③</w:t>
            </w:r>
            <w:r>
              <w:rPr>
                <w:rFonts w:hint="default" w:ascii="Times New Roman" w:hAnsi="Times New Roman" w:cs="Times New Roman"/>
                <w:color w:val="auto"/>
              </w:rPr>
              <w:t>砂石料堆场</w:t>
            </w:r>
          </w:p>
          <w:p w14:paraId="329F175B">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需少量砌筑砂浆的拌合，其主要用于排水沟及坝体表面的块石护面建设。其人工拌合场设于坝体下游，周边无居民且在项目主导方向的下风向。各建筑材料购买方便，即用即买，仅少量材料暂时堆存位于施工场地一侧。</w:t>
            </w:r>
          </w:p>
          <w:p w14:paraId="0DF7E719">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项目施工期产污环节详见下表：</w:t>
            </w:r>
          </w:p>
          <w:p w14:paraId="46FD1499">
            <w:pPr>
              <w:pStyle w:val="11"/>
              <w:spacing w:before="0" w:line="360" w:lineRule="auto"/>
              <w:ind w:firstLine="420" w:firstLineChars="200"/>
              <w:jc w:val="center"/>
              <w:rPr>
                <w:rFonts w:hint="eastAsia"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表2-7   施工期主要排污节点一览表</w:t>
            </w:r>
          </w:p>
          <w:tbl>
            <w:tblPr>
              <w:tblStyle w:val="3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539"/>
              <w:gridCol w:w="1218"/>
              <w:gridCol w:w="726"/>
              <w:gridCol w:w="979"/>
              <w:gridCol w:w="1065"/>
              <w:gridCol w:w="743"/>
              <w:gridCol w:w="2096"/>
            </w:tblGrid>
            <w:tr w14:paraId="11F99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l2br w:val="nil"/>
                    <w:tr2bl w:val="nil"/>
                  </w:tcBorders>
                  <w:vAlign w:val="center"/>
                </w:tcPr>
                <w:p w14:paraId="43F9C60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类别</w:t>
                  </w:r>
                </w:p>
              </w:tc>
              <w:tc>
                <w:tcPr>
                  <w:tcW w:w="345" w:type="pct"/>
                  <w:tcBorders>
                    <w:tl2br w:val="nil"/>
                    <w:tr2bl w:val="nil"/>
                  </w:tcBorders>
                  <w:vAlign w:val="center"/>
                </w:tcPr>
                <w:p w14:paraId="24B68D2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序号</w:t>
                  </w:r>
                </w:p>
              </w:tc>
              <w:tc>
                <w:tcPr>
                  <w:tcW w:w="780" w:type="pct"/>
                  <w:tcBorders>
                    <w:tl2br w:val="nil"/>
                    <w:tr2bl w:val="nil"/>
                  </w:tcBorders>
                  <w:vAlign w:val="center"/>
                </w:tcPr>
                <w:p w14:paraId="4D4A1E6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排污节点</w:t>
                  </w:r>
                </w:p>
              </w:tc>
              <w:tc>
                <w:tcPr>
                  <w:tcW w:w="465" w:type="pct"/>
                  <w:tcBorders>
                    <w:tl2br w:val="nil"/>
                    <w:tr2bl w:val="nil"/>
                  </w:tcBorders>
                  <w:vAlign w:val="center"/>
                </w:tcPr>
                <w:p w14:paraId="3054B17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污染物</w:t>
                  </w:r>
                </w:p>
              </w:tc>
              <w:tc>
                <w:tcPr>
                  <w:tcW w:w="627" w:type="pct"/>
                  <w:tcBorders>
                    <w:tl2br w:val="nil"/>
                    <w:tr2bl w:val="nil"/>
                  </w:tcBorders>
                  <w:vAlign w:val="center"/>
                </w:tcPr>
                <w:p w14:paraId="10B7072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污染因子</w:t>
                  </w:r>
                </w:p>
              </w:tc>
              <w:tc>
                <w:tcPr>
                  <w:tcW w:w="682" w:type="pct"/>
                  <w:tcBorders>
                    <w:tl2br w:val="nil"/>
                    <w:tr2bl w:val="nil"/>
                  </w:tcBorders>
                  <w:vAlign w:val="center"/>
                </w:tcPr>
                <w:p w14:paraId="7BFAA79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所在生产单元</w:t>
                  </w:r>
                </w:p>
              </w:tc>
              <w:tc>
                <w:tcPr>
                  <w:tcW w:w="476" w:type="pct"/>
                  <w:tcBorders>
                    <w:tl2br w:val="nil"/>
                    <w:tr2bl w:val="nil"/>
                  </w:tcBorders>
                  <w:vAlign w:val="center"/>
                </w:tcPr>
                <w:p w14:paraId="6C243E2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产生特征</w:t>
                  </w:r>
                </w:p>
              </w:tc>
              <w:tc>
                <w:tcPr>
                  <w:tcW w:w="1342" w:type="pct"/>
                  <w:tcBorders>
                    <w:tl2br w:val="nil"/>
                    <w:tr2bl w:val="nil"/>
                  </w:tcBorders>
                  <w:vAlign w:val="center"/>
                </w:tcPr>
                <w:p w14:paraId="7B1D1C5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拟采取措施及去向</w:t>
                  </w:r>
                </w:p>
              </w:tc>
            </w:tr>
            <w:tr w14:paraId="265773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restart"/>
                  <w:tcBorders>
                    <w:tl2br w:val="nil"/>
                    <w:tr2bl w:val="nil"/>
                  </w:tcBorders>
                  <w:vAlign w:val="center"/>
                </w:tcPr>
                <w:p w14:paraId="4F1CC5F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废气</w:t>
                  </w:r>
                </w:p>
              </w:tc>
              <w:tc>
                <w:tcPr>
                  <w:tcW w:w="345" w:type="pct"/>
                  <w:vMerge w:val="restart"/>
                  <w:tcBorders>
                    <w:tl2br w:val="nil"/>
                    <w:tr2bl w:val="nil"/>
                  </w:tcBorders>
                  <w:vAlign w:val="center"/>
                </w:tcPr>
                <w:p w14:paraId="7506B5C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G1</w:t>
                  </w:r>
                </w:p>
              </w:tc>
              <w:tc>
                <w:tcPr>
                  <w:tcW w:w="780" w:type="pct"/>
                  <w:vMerge w:val="restart"/>
                  <w:tcBorders>
                    <w:tl2br w:val="nil"/>
                    <w:tr2bl w:val="nil"/>
                  </w:tcBorders>
                  <w:vAlign w:val="center"/>
                </w:tcPr>
                <w:p w14:paraId="35163A6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运输车辆</w:t>
                  </w:r>
                </w:p>
              </w:tc>
              <w:tc>
                <w:tcPr>
                  <w:tcW w:w="465" w:type="pct"/>
                  <w:tcBorders>
                    <w:tl2br w:val="nil"/>
                    <w:tr2bl w:val="nil"/>
                  </w:tcBorders>
                  <w:vAlign w:val="center"/>
                </w:tcPr>
                <w:p w14:paraId="47958BE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运输扬尘</w:t>
                  </w:r>
                </w:p>
              </w:tc>
              <w:tc>
                <w:tcPr>
                  <w:tcW w:w="627" w:type="pct"/>
                  <w:tcBorders>
                    <w:tl2br w:val="nil"/>
                    <w:tr2bl w:val="nil"/>
                  </w:tcBorders>
                  <w:vAlign w:val="center"/>
                </w:tcPr>
                <w:p w14:paraId="20FCBC0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颗粒物</w:t>
                  </w:r>
                </w:p>
              </w:tc>
              <w:tc>
                <w:tcPr>
                  <w:tcW w:w="682" w:type="pct"/>
                  <w:tcBorders>
                    <w:tl2br w:val="nil"/>
                    <w:tr2bl w:val="nil"/>
                  </w:tcBorders>
                  <w:vAlign w:val="center"/>
                </w:tcPr>
                <w:p w14:paraId="51115F7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运输车辆</w:t>
                  </w:r>
                </w:p>
              </w:tc>
              <w:tc>
                <w:tcPr>
                  <w:tcW w:w="476" w:type="pct"/>
                  <w:tcBorders>
                    <w:tl2br w:val="nil"/>
                    <w:tr2bl w:val="nil"/>
                  </w:tcBorders>
                  <w:vAlign w:val="center"/>
                </w:tcPr>
                <w:p w14:paraId="7277930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4B4E515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车辆减速慢行，道路硬化，洒水抑尘</w:t>
                  </w:r>
                </w:p>
              </w:tc>
            </w:tr>
            <w:tr w14:paraId="478B4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vAlign w:val="center"/>
                </w:tcPr>
                <w:p w14:paraId="060D5BF1">
                  <w:pPr>
                    <w:jc w:val="center"/>
                    <w:rPr>
                      <w:rFonts w:hint="default" w:ascii="Times New Roman" w:hAnsi="Times New Roman" w:eastAsia="宋体" w:cs="Times New Roman"/>
                      <w:color w:val="auto"/>
                      <w:sz w:val="18"/>
                      <w:szCs w:val="18"/>
                      <w:lang w:val="en-US" w:eastAsia="zh-CN"/>
                    </w:rPr>
                  </w:pPr>
                </w:p>
              </w:tc>
              <w:tc>
                <w:tcPr>
                  <w:tcW w:w="345" w:type="pct"/>
                  <w:vMerge w:val="continue"/>
                  <w:tcBorders>
                    <w:tl2br w:val="nil"/>
                    <w:tr2bl w:val="nil"/>
                  </w:tcBorders>
                  <w:vAlign w:val="center"/>
                </w:tcPr>
                <w:p w14:paraId="5B8458DC">
                  <w:pPr>
                    <w:jc w:val="center"/>
                    <w:rPr>
                      <w:rFonts w:hint="default" w:ascii="Times New Roman" w:hAnsi="Times New Roman" w:eastAsia="宋体" w:cs="Times New Roman"/>
                      <w:color w:val="auto"/>
                      <w:sz w:val="18"/>
                      <w:szCs w:val="18"/>
                      <w:lang w:val="en-US" w:eastAsia="zh-CN"/>
                    </w:rPr>
                  </w:pPr>
                </w:p>
              </w:tc>
              <w:tc>
                <w:tcPr>
                  <w:tcW w:w="780" w:type="pct"/>
                  <w:vMerge w:val="continue"/>
                  <w:tcBorders>
                    <w:tl2br w:val="nil"/>
                    <w:tr2bl w:val="nil"/>
                  </w:tcBorders>
                  <w:vAlign w:val="center"/>
                </w:tcPr>
                <w:p w14:paraId="3C0A7E88">
                  <w:pPr>
                    <w:jc w:val="center"/>
                    <w:rPr>
                      <w:rFonts w:hint="default" w:ascii="Times New Roman" w:hAnsi="Times New Roman" w:eastAsia="宋体" w:cs="Times New Roman"/>
                      <w:color w:val="auto"/>
                      <w:sz w:val="18"/>
                      <w:szCs w:val="18"/>
                      <w:lang w:val="en-US" w:eastAsia="zh-CN"/>
                    </w:rPr>
                  </w:pPr>
                </w:p>
              </w:tc>
              <w:tc>
                <w:tcPr>
                  <w:tcW w:w="465" w:type="pct"/>
                  <w:tcBorders>
                    <w:tl2br w:val="nil"/>
                    <w:tr2bl w:val="nil"/>
                  </w:tcBorders>
                  <w:vAlign w:val="center"/>
                </w:tcPr>
                <w:p w14:paraId="41EF74B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汽车尾气</w:t>
                  </w:r>
                </w:p>
              </w:tc>
              <w:tc>
                <w:tcPr>
                  <w:tcW w:w="627" w:type="pct"/>
                  <w:tcBorders>
                    <w:tl2br w:val="nil"/>
                    <w:tr2bl w:val="nil"/>
                  </w:tcBorders>
                  <w:vAlign w:val="center"/>
                </w:tcPr>
                <w:p w14:paraId="6CADDFA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CO、NOx、HXC</w:t>
                  </w:r>
                </w:p>
              </w:tc>
              <w:tc>
                <w:tcPr>
                  <w:tcW w:w="682" w:type="pct"/>
                  <w:tcBorders>
                    <w:tl2br w:val="nil"/>
                    <w:tr2bl w:val="nil"/>
                  </w:tcBorders>
                  <w:vAlign w:val="center"/>
                </w:tcPr>
                <w:p w14:paraId="532CBF5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运输车辆</w:t>
                  </w:r>
                </w:p>
              </w:tc>
              <w:tc>
                <w:tcPr>
                  <w:tcW w:w="476" w:type="pct"/>
                  <w:tcBorders>
                    <w:tl2br w:val="nil"/>
                    <w:tr2bl w:val="nil"/>
                  </w:tcBorders>
                  <w:vAlign w:val="center"/>
                </w:tcPr>
                <w:p w14:paraId="1822E38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074353D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加强对进出车辆的管理，减少进出车辆怠速和频繁启动</w:t>
                  </w:r>
                </w:p>
              </w:tc>
            </w:tr>
            <w:tr w14:paraId="19DC7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vAlign w:val="center"/>
                </w:tcPr>
                <w:p w14:paraId="377BE501">
                  <w:pPr>
                    <w:jc w:val="center"/>
                    <w:rPr>
                      <w:rFonts w:hint="default" w:ascii="Times New Roman" w:hAnsi="Times New Roman" w:eastAsia="宋体" w:cs="Times New Roman"/>
                      <w:color w:val="auto"/>
                      <w:sz w:val="18"/>
                      <w:szCs w:val="18"/>
                      <w:lang w:val="en-US" w:eastAsia="zh-CN"/>
                    </w:rPr>
                  </w:pPr>
                </w:p>
              </w:tc>
              <w:tc>
                <w:tcPr>
                  <w:tcW w:w="345" w:type="pct"/>
                  <w:tcBorders>
                    <w:tl2br w:val="nil"/>
                    <w:tr2bl w:val="nil"/>
                  </w:tcBorders>
                  <w:vAlign w:val="center"/>
                </w:tcPr>
                <w:p w14:paraId="01281E8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G2</w:t>
                  </w:r>
                </w:p>
              </w:tc>
              <w:tc>
                <w:tcPr>
                  <w:tcW w:w="780" w:type="pct"/>
                  <w:tcBorders>
                    <w:tl2br w:val="nil"/>
                    <w:tr2bl w:val="nil"/>
                  </w:tcBorders>
                  <w:vAlign w:val="center"/>
                </w:tcPr>
                <w:p w14:paraId="008FE4DE">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场地平整、基础施工、库房建设</w:t>
                  </w:r>
                </w:p>
              </w:tc>
              <w:tc>
                <w:tcPr>
                  <w:tcW w:w="465" w:type="pct"/>
                  <w:tcBorders>
                    <w:tl2br w:val="nil"/>
                    <w:tr2bl w:val="nil"/>
                  </w:tcBorders>
                  <w:vAlign w:val="center"/>
                </w:tcPr>
                <w:p w14:paraId="32CAC94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施工扬尘</w:t>
                  </w:r>
                </w:p>
              </w:tc>
              <w:tc>
                <w:tcPr>
                  <w:tcW w:w="627" w:type="pct"/>
                  <w:tcBorders>
                    <w:tl2br w:val="nil"/>
                    <w:tr2bl w:val="nil"/>
                  </w:tcBorders>
                  <w:vAlign w:val="center"/>
                </w:tcPr>
                <w:p w14:paraId="2ADF780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颗粒物</w:t>
                  </w:r>
                </w:p>
              </w:tc>
              <w:tc>
                <w:tcPr>
                  <w:tcW w:w="682" w:type="pct"/>
                  <w:tcBorders>
                    <w:tl2br w:val="nil"/>
                    <w:tr2bl w:val="nil"/>
                  </w:tcBorders>
                  <w:vAlign w:val="center"/>
                </w:tcPr>
                <w:p w14:paraId="2627572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场地平整、基础施工、库房建设</w:t>
                  </w:r>
                </w:p>
              </w:tc>
              <w:tc>
                <w:tcPr>
                  <w:tcW w:w="476" w:type="pct"/>
                  <w:tcBorders>
                    <w:tl2br w:val="nil"/>
                    <w:tr2bl w:val="nil"/>
                  </w:tcBorders>
                  <w:vAlign w:val="center"/>
                </w:tcPr>
                <w:p w14:paraId="4A9392C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6F4B0B4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施工期工程四周设施围挡，定期洒水抑尘</w:t>
                  </w:r>
                </w:p>
              </w:tc>
            </w:tr>
            <w:tr w14:paraId="203E1C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restart"/>
                  <w:tcBorders>
                    <w:tl2br w:val="nil"/>
                    <w:tr2bl w:val="nil"/>
                  </w:tcBorders>
                  <w:vAlign w:val="center"/>
                </w:tcPr>
                <w:p w14:paraId="6DCE46E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废水</w:t>
                  </w:r>
                </w:p>
              </w:tc>
              <w:tc>
                <w:tcPr>
                  <w:tcW w:w="345" w:type="pct"/>
                  <w:tcBorders>
                    <w:tl2br w:val="nil"/>
                    <w:tr2bl w:val="nil"/>
                  </w:tcBorders>
                  <w:vAlign w:val="center"/>
                </w:tcPr>
                <w:p w14:paraId="219E5AB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W1</w:t>
                  </w:r>
                </w:p>
              </w:tc>
              <w:tc>
                <w:tcPr>
                  <w:tcW w:w="780" w:type="pct"/>
                  <w:tcBorders>
                    <w:tl2br w:val="nil"/>
                    <w:tr2bl w:val="nil"/>
                  </w:tcBorders>
                  <w:vAlign w:val="center"/>
                </w:tcPr>
                <w:p w14:paraId="1A10041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施工人员</w:t>
                  </w:r>
                  <w:r>
                    <w:rPr>
                      <w:rFonts w:hint="default" w:ascii="Times New Roman" w:hAnsi="Times New Roman" w:eastAsia="宋体" w:cs="Times New Roman"/>
                      <w:color w:val="auto"/>
                      <w:sz w:val="18"/>
                      <w:szCs w:val="18"/>
                      <w:lang w:val="en-US" w:eastAsia="zh-CN"/>
                    </w:rPr>
                    <w:t>生活</w:t>
                  </w:r>
                </w:p>
              </w:tc>
              <w:tc>
                <w:tcPr>
                  <w:tcW w:w="465" w:type="pct"/>
                  <w:tcBorders>
                    <w:tl2br w:val="nil"/>
                    <w:tr2bl w:val="nil"/>
                  </w:tcBorders>
                  <w:vAlign w:val="center"/>
                </w:tcPr>
                <w:p w14:paraId="6328056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生活污水</w:t>
                  </w:r>
                </w:p>
              </w:tc>
              <w:tc>
                <w:tcPr>
                  <w:tcW w:w="627" w:type="pct"/>
                  <w:tcBorders>
                    <w:tl2br w:val="nil"/>
                    <w:tr2bl w:val="nil"/>
                  </w:tcBorders>
                  <w:vAlign w:val="center"/>
                </w:tcPr>
                <w:p w14:paraId="5A1BCD2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COD、BOD</w:t>
                  </w:r>
                  <w:r>
                    <w:rPr>
                      <w:rFonts w:hint="eastAsia" w:ascii="Times New Roman" w:hAnsi="Times New Roman" w:eastAsia="宋体" w:cs="Times New Roman"/>
                      <w:color w:val="auto"/>
                      <w:sz w:val="18"/>
                      <w:szCs w:val="18"/>
                      <w:vertAlign w:val="subscript"/>
                      <w:lang w:val="en-US" w:eastAsia="zh-CN"/>
                    </w:rPr>
                    <w:t>5</w:t>
                  </w:r>
                  <w:r>
                    <w:rPr>
                      <w:rFonts w:hint="eastAsia" w:ascii="Times New Roman" w:hAnsi="Times New Roman" w:eastAsia="宋体" w:cs="Times New Roman"/>
                      <w:color w:val="auto"/>
                      <w:sz w:val="18"/>
                      <w:szCs w:val="18"/>
                      <w:lang w:val="en-US" w:eastAsia="zh-CN"/>
                    </w:rPr>
                    <w:t>、氨氮、SS</w:t>
                  </w:r>
                </w:p>
              </w:tc>
              <w:tc>
                <w:tcPr>
                  <w:tcW w:w="682" w:type="pct"/>
                  <w:tcBorders>
                    <w:tl2br w:val="nil"/>
                    <w:tr2bl w:val="nil"/>
                  </w:tcBorders>
                  <w:vAlign w:val="center"/>
                </w:tcPr>
                <w:p w14:paraId="72840DC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库区</w:t>
                  </w:r>
                </w:p>
              </w:tc>
              <w:tc>
                <w:tcPr>
                  <w:tcW w:w="476" w:type="pct"/>
                  <w:tcBorders>
                    <w:tl2br w:val="nil"/>
                    <w:tr2bl w:val="nil"/>
                  </w:tcBorders>
                  <w:vAlign w:val="center"/>
                </w:tcPr>
                <w:p w14:paraId="7B36AA9C">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75F84D7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依托西面185m处的矿山通风工程制备站</w:t>
                  </w:r>
                  <w:r>
                    <w:rPr>
                      <w:rFonts w:hint="eastAsia" w:cs="Times New Roman"/>
                      <w:color w:val="auto"/>
                      <w:sz w:val="18"/>
                      <w:szCs w:val="18"/>
                      <w:lang w:val="en-US" w:eastAsia="zh-CN"/>
                    </w:rPr>
                    <w:t>20m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的化粪池处理。</w:t>
                  </w:r>
                </w:p>
              </w:tc>
            </w:tr>
            <w:tr w14:paraId="101BCB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vAlign w:val="center"/>
                </w:tcPr>
                <w:p w14:paraId="07C9B22F">
                  <w:pPr>
                    <w:jc w:val="center"/>
                    <w:rPr>
                      <w:rFonts w:hint="default" w:ascii="Times New Roman" w:hAnsi="Times New Roman" w:eastAsia="宋体" w:cs="Times New Roman"/>
                      <w:color w:val="auto"/>
                      <w:sz w:val="18"/>
                      <w:szCs w:val="18"/>
                      <w:lang w:val="en-US" w:eastAsia="zh-CN"/>
                    </w:rPr>
                  </w:pPr>
                </w:p>
              </w:tc>
              <w:tc>
                <w:tcPr>
                  <w:tcW w:w="345" w:type="pct"/>
                  <w:tcBorders>
                    <w:tl2br w:val="nil"/>
                    <w:tr2bl w:val="nil"/>
                  </w:tcBorders>
                  <w:vAlign w:val="center"/>
                </w:tcPr>
                <w:p w14:paraId="77C4EEC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W2</w:t>
                  </w:r>
                </w:p>
              </w:tc>
              <w:tc>
                <w:tcPr>
                  <w:tcW w:w="780" w:type="pct"/>
                  <w:tcBorders>
                    <w:tl2br w:val="nil"/>
                    <w:tr2bl w:val="nil"/>
                  </w:tcBorders>
                  <w:vAlign w:val="center"/>
                </w:tcPr>
                <w:p w14:paraId="3ACBE66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基础施工、库房建设</w:t>
                  </w:r>
                </w:p>
              </w:tc>
              <w:tc>
                <w:tcPr>
                  <w:tcW w:w="465" w:type="pct"/>
                  <w:tcBorders>
                    <w:tl2br w:val="nil"/>
                    <w:tr2bl w:val="nil"/>
                  </w:tcBorders>
                  <w:vAlign w:val="center"/>
                </w:tcPr>
                <w:p w14:paraId="194689C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施工废水</w:t>
                  </w:r>
                </w:p>
              </w:tc>
              <w:tc>
                <w:tcPr>
                  <w:tcW w:w="627" w:type="pct"/>
                  <w:tcBorders>
                    <w:tl2br w:val="nil"/>
                    <w:tr2bl w:val="nil"/>
                  </w:tcBorders>
                  <w:vAlign w:val="center"/>
                </w:tcPr>
                <w:p w14:paraId="4D9981B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SS</w:t>
                  </w:r>
                </w:p>
              </w:tc>
              <w:tc>
                <w:tcPr>
                  <w:tcW w:w="682" w:type="pct"/>
                  <w:tcBorders>
                    <w:tl2br w:val="nil"/>
                    <w:tr2bl w:val="nil"/>
                  </w:tcBorders>
                  <w:vAlign w:val="center"/>
                </w:tcPr>
                <w:p w14:paraId="5F57B63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基础施工、库房建设</w:t>
                  </w:r>
                </w:p>
              </w:tc>
              <w:tc>
                <w:tcPr>
                  <w:tcW w:w="476" w:type="pct"/>
                  <w:tcBorders>
                    <w:tl2br w:val="nil"/>
                    <w:tr2bl w:val="nil"/>
                  </w:tcBorders>
                  <w:vAlign w:val="center"/>
                </w:tcPr>
                <w:p w14:paraId="13B0CF8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511245F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设置施工废水临时沉淀池，经沉淀处理的废水用于施工场地洒水抑尘，不外排</w:t>
                  </w:r>
                </w:p>
              </w:tc>
            </w:tr>
            <w:tr w14:paraId="48A65F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l2br w:val="nil"/>
                    <w:tr2bl w:val="nil"/>
                  </w:tcBorders>
                  <w:vAlign w:val="center"/>
                </w:tcPr>
                <w:p w14:paraId="1AC7CFA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噪声</w:t>
                  </w:r>
                </w:p>
              </w:tc>
              <w:tc>
                <w:tcPr>
                  <w:tcW w:w="345" w:type="pct"/>
                  <w:tcBorders>
                    <w:tl2br w:val="nil"/>
                    <w:tr2bl w:val="nil"/>
                  </w:tcBorders>
                  <w:vAlign w:val="center"/>
                </w:tcPr>
                <w:p w14:paraId="1239F0B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N</w:t>
                  </w:r>
                </w:p>
              </w:tc>
              <w:tc>
                <w:tcPr>
                  <w:tcW w:w="780" w:type="pct"/>
                  <w:tcBorders>
                    <w:tl2br w:val="nil"/>
                    <w:tr2bl w:val="nil"/>
                  </w:tcBorders>
                  <w:vAlign w:val="center"/>
                </w:tcPr>
                <w:p w14:paraId="324E10D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运输车辆</w:t>
                  </w:r>
                </w:p>
              </w:tc>
              <w:tc>
                <w:tcPr>
                  <w:tcW w:w="465" w:type="pct"/>
                  <w:tcBorders>
                    <w:tl2br w:val="nil"/>
                    <w:tr2bl w:val="nil"/>
                  </w:tcBorders>
                  <w:vAlign w:val="center"/>
                </w:tcPr>
                <w:p w14:paraId="5E54AB5D">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噪声</w:t>
                  </w:r>
                </w:p>
              </w:tc>
              <w:tc>
                <w:tcPr>
                  <w:tcW w:w="627" w:type="pct"/>
                  <w:tcBorders>
                    <w:tl2br w:val="nil"/>
                    <w:tr2bl w:val="nil"/>
                  </w:tcBorders>
                  <w:vAlign w:val="center"/>
                </w:tcPr>
                <w:p w14:paraId="6E5E4CB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噪声</w:t>
                  </w:r>
                </w:p>
              </w:tc>
              <w:tc>
                <w:tcPr>
                  <w:tcW w:w="682" w:type="pct"/>
                  <w:tcBorders>
                    <w:tl2br w:val="nil"/>
                    <w:tr2bl w:val="nil"/>
                  </w:tcBorders>
                  <w:vAlign w:val="center"/>
                </w:tcPr>
                <w:p w14:paraId="503D68A4">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运输车辆</w:t>
                  </w:r>
                </w:p>
              </w:tc>
              <w:tc>
                <w:tcPr>
                  <w:tcW w:w="476" w:type="pct"/>
                  <w:tcBorders>
                    <w:tl2br w:val="nil"/>
                    <w:tr2bl w:val="nil"/>
                  </w:tcBorders>
                  <w:vAlign w:val="center"/>
                </w:tcPr>
                <w:p w14:paraId="155BDFA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5C48F2F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加强管理，车辆减速、禁止鸣笛</w:t>
                  </w:r>
                </w:p>
              </w:tc>
            </w:tr>
            <w:tr w14:paraId="59C8B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restart"/>
                  <w:tcBorders>
                    <w:tl2br w:val="nil"/>
                    <w:tr2bl w:val="nil"/>
                  </w:tcBorders>
                  <w:vAlign w:val="center"/>
                </w:tcPr>
                <w:p w14:paraId="3101CD38">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固废</w:t>
                  </w:r>
                </w:p>
              </w:tc>
              <w:tc>
                <w:tcPr>
                  <w:tcW w:w="345" w:type="pct"/>
                  <w:tcBorders>
                    <w:tl2br w:val="nil"/>
                    <w:tr2bl w:val="nil"/>
                  </w:tcBorders>
                  <w:vAlign w:val="center"/>
                </w:tcPr>
                <w:p w14:paraId="10224083">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S1</w:t>
                  </w:r>
                </w:p>
              </w:tc>
              <w:tc>
                <w:tcPr>
                  <w:tcW w:w="780" w:type="pct"/>
                  <w:tcBorders>
                    <w:tl2br w:val="nil"/>
                    <w:tr2bl w:val="nil"/>
                  </w:tcBorders>
                  <w:vAlign w:val="center"/>
                </w:tcPr>
                <w:p w14:paraId="148A89F9">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场地平整</w:t>
                  </w:r>
                </w:p>
              </w:tc>
              <w:tc>
                <w:tcPr>
                  <w:tcW w:w="465" w:type="pct"/>
                  <w:tcBorders>
                    <w:tl2br w:val="nil"/>
                    <w:tr2bl w:val="nil"/>
                  </w:tcBorders>
                  <w:vAlign w:val="center"/>
                </w:tcPr>
                <w:p w14:paraId="2EB423CC">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土石方</w:t>
                  </w:r>
                </w:p>
              </w:tc>
              <w:tc>
                <w:tcPr>
                  <w:tcW w:w="627" w:type="pct"/>
                  <w:tcBorders>
                    <w:tl2br w:val="nil"/>
                    <w:tr2bl w:val="nil"/>
                  </w:tcBorders>
                  <w:vAlign w:val="center"/>
                </w:tcPr>
                <w:p w14:paraId="3BD256C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废土石</w:t>
                  </w:r>
                </w:p>
              </w:tc>
              <w:tc>
                <w:tcPr>
                  <w:tcW w:w="682" w:type="pct"/>
                  <w:tcBorders>
                    <w:tl2br w:val="nil"/>
                    <w:tr2bl w:val="nil"/>
                  </w:tcBorders>
                  <w:vAlign w:val="center"/>
                </w:tcPr>
                <w:p w14:paraId="747919F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场地平整、基础施工</w:t>
                  </w:r>
                </w:p>
              </w:tc>
              <w:tc>
                <w:tcPr>
                  <w:tcW w:w="476" w:type="pct"/>
                  <w:tcBorders>
                    <w:tl2br w:val="nil"/>
                    <w:tr2bl w:val="nil"/>
                  </w:tcBorders>
                  <w:vAlign w:val="center"/>
                </w:tcPr>
                <w:p w14:paraId="60D4EC17">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vAlign w:val="center"/>
                </w:tcPr>
                <w:p w14:paraId="536D30EC">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全部回填，无弃方产生。</w:t>
                  </w:r>
                </w:p>
              </w:tc>
            </w:tr>
            <w:tr w14:paraId="4C3C9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vAlign w:val="center"/>
                </w:tcPr>
                <w:p w14:paraId="16A8C625">
                  <w:pPr>
                    <w:jc w:val="center"/>
                    <w:rPr>
                      <w:rFonts w:hint="eastAsia" w:ascii="Times New Roman" w:hAnsi="Times New Roman" w:eastAsia="宋体" w:cs="Times New Roman"/>
                      <w:color w:val="auto"/>
                      <w:sz w:val="18"/>
                      <w:szCs w:val="18"/>
                      <w:lang w:val="en-US" w:eastAsia="zh-CN"/>
                    </w:rPr>
                  </w:pPr>
                </w:p>
              </w:tc>
              <w:tc>
                <w:tcPr>
                  <w:tcW w:w="345" w:type="pct"/>
                  <w:tcBorders>
                    <w:tl2br w:val="nil"/>
                    <w:tr2bl w:val="nil"/>
                  </w:tcBorders>
                  <w:vAlign w:val="center"/>
                </w:tcPr>
                <w:p w14:paraId="6EBC93E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S2</w:t>
                  </w:r>
                </w:p>
              </w:tc>
              <w:tc>
                <w:tcPr>
                  <w:tcW w:w="780" w:type="pct"/>
                  <w:tcBorders>
                    <w:tl2br w:val="nil"/>
                    <w:tr2bl w:val="nil"/>
                  </w:tcBorders>
                  <w:shd w:val="clear" w:color="auto" w:fill="auto"/>
                  <w:vAlign w:val="center"/>
                </w:tcPr>
                <w:p w14:paraId="3389679C">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基础施工、库房建设</w:t>
                  </w:r>
                </w:p>
              </w:tc>
              <w:tc>
                <w:tcPr>
                  <w:tcW w:w="465" w:type="pct"/>
                  <w:tcBorders>
                    <w:tl2br w:val="nil"/>
                    <w:tr2bl w:val="nil"/>
                  </w:tcBorders>
                  <w:shd w:val="clear" w:color="auto" w:fill="auto"/>
                  <w:vAlign w:val="center"/>
                </w:tcPr>
                <w:p w14:paraId="4EE3693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建筑垃圾</w:t>
                  </w:r>
                </w:p>
              </w:tc>
              <w:tc>
                <w:tcPr>
                  <w:tcW w:w="627" w:type="pct"/>
                  <w:tcBorders>
                    <w:tl2br w:val="nil"/>
                    <w:tr2bl w:val="nil"/>
                  </w:tcBorders>
                  <w:shd w:val="clear" w:color="auto" w:fill="auto"/>
                  <w:vAlign w:val="center"/>
                </w:tcPr>
                <w:p w14:paraId="0C0136B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废混凝土、砂石、废金属、废弃包装材料等</w:t>
                  </w:r>
                </w:p>
              </w:tc>
              <w:tc>
                <w:tcPr>
                  <w:tcW w:w="682" w:type="pct"/>
                  <w:tcBorders>
                    <w:tl2br w:val="nil"/>
                    <w:tr2bl w:val="nil"/>
                  </w:tcBorders>
                  <w:shd w:val="clear" w:color="auto" w:fill="auto"/>
                  <w:vAlign w:val="center"/>
                </w:tcPr>
                <w:p w14:paraId="63178978">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基础施工、库房建设</w:t>
                  </w:r>
                </w:p>
              </w:tc>
              <w:tc>
                <w:tcPr>
                  <w:tcW w:w="476" w:type="pct"/>
                  <w:tcBorders>
                    <w:tl2br w:val="nil"/>
                    <w:tr2bl w:val="nil"/>
                  </w:tcBorders>
                  <w:shd w:val="clear" w:color="auto" w:fill="auto"/>
                  <w:vAlign w:val="center"/>
                </w:tcPr>
                <w:p w14:paraId="748C4A3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shd w:val="clear" w:color="auto" w:fill="auto"/>
                  <w:vAlign w:val="center"/>
                </w:tcPr>
                <w:p w14:paraId="1CDCE6C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分类处理，建筑垃圾中可回收综合利用的进行回收利用，不可回收利用部分统一收集后按当地城建部门的要求进行妥善处置</w:t>
                  </w:r>
                </w:p>
              </w:tc>
            </w:tr>
            <w:tr w14:paraId="2B599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vAlign w:val="center"/>
                </w:tcPr>
                <w:p w14:paraId="47CE152E">
                  <w:pPr>
                    <w:jc w:val="center"/>
                    <w:rPr>
                      <w:rFonts w:hint="eastAsia" w:ascii="Times New Roman" w:hAnsi="Times New Roman" w:eastAsia="宋体" w:cs="Times New Roman"/>
                      <w:color w:val="auto"/>
                      <w:sz w:val="18"/>
                      <w:szCs w:val="18"/>
                      <w:lang w:val="en-US" w:eastAsia="zh-CN"/>
                    </w:rPr>
                  </w:pPr>
                </w:p>
              </w:tc>
              <w:tc>
                <w:tcPr>
                  <w:tcW w:w="345" w:type="pct"/>
                  <w:tcBorders>
                    <w:tl2br w:val="nil"/>
                    <w:tr2bl w:val="nil"/>
                  </w:tcBorders>
                  <w:vAlign w:val="center"/>
                </w:tcPr>
                <w:p w14:paraId="6061975A">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S3</w:t>
                  </w:r>
                </w:p>
              </w:tc>
              <w:tc>
                <w:tcPr>
                  <w:tcW w:w="780" w:type="pct"/>
                  <w:tcBorders>
                    <w:tl2br w:val="nil"/>
                    <w:tr2bl w:val="nil"/>
                  </w:tcBorders>
                  <w:shd w:val="clear" w:color="auto" w:fill="auto"/>
                  <w:vAlign w:val="center"/>
                </w:tcPr>
                <w:p w14:paraId="3E9929D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施工人员生活</w:t>
                  </w:r>
                </w:p>
              </w:tc>
              <w:tc>
                <w:tcPr>
                  <w:tcW w:w="465" w:type="pct"/>
                  <w:tcBorders>
                    <w:tl2br w:val="nil"/>
                    <w:tr2bl w:val="nil"/>
                  </w:tcBorders>
                  <w:shd w:val="clear" w:color="auto" w:fill="auto"/>
                  <w:vAlign w:val="center"/>
                </w:tcPr>
                <w:p w14:paraId="4675E41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生活垃圾</w:t>
                  </w:r>
                </w:p>
              </w:tc>
              <w:tc>
                <w:tcPr>
                  <w:tcW w:w="627" w:type="pct"/>
                  <w:tcBorders>
                    <w:tl2br w:val="nil"/>
                    <w:tr2bl w:val="nil"/>
                  </w:tcBorders>
                  <w:shd w:val="clear" w:color="auto" w:fill="auto"/>
                  <w:vAlign w:val="center"/>
                </w:tcPr>
                <w:p w14:paraId="0FCD449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生活垃圾</w:t>
                  </w:r>
                </w:p>
              </w:tc>
              <w:tc>
                <w:tcPr>
                  <w:tcW w:w="682" w:type="pct"/>
                  <w:tcBorders>
                    <w:tl2br w:val="nil"/>
                    <w:tr2bl w:val="nil"/>
                  </w:tcBorders>
                  <w:shd w:val="clear" w:color="auto" w:fill="auto"/>
                  <w:vAlign w:val="center"/>
                </w:tcPr>
                <w:p w14:paraId="5DF1467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库区</w:t>
                  </w:r>
                </w:p>
              </w:tc>
              <w:tc>
                <w:tcPr>
                  <w:tcW w:w="476" w:type="pct"/>
                  <w:tcBorders>
                    <w:tl2br w:val="nil"/>
                    <w:tr2bl w:val="nil"/>
                  </w:tcBorders>
                  <w:shd w:val="clear" w:color="auto" w:fill="auto"/>
                  <w:vAlign w:val="center"/>
                </w:tcPr>
                <w:p w14:paraId="6639194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间断</w:t>
                  </w:r>
                </w:p>
              </w:tc>
              <w:tc>
                <w:tcPr>
                  <w:tcW w:w="1342" w:type="pct"/>
                  <w:tcBorders>
                    <w:tl2br w:val="nil"/>
                    <w:tr2bl w:val="nil"/>
                  </w:tcBorders>
                  <w:shd w:val="clear" w:color="auto" w:fill="auto"/>
                  <w:vAlign w:val="center"/>
                </w:tcPr>
                <w:p w14:paraId="7C4588E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集中收集后由当地环卫部门定期清运</w:t>
                  </w:r>
                </w:p>
              </w:tc>
            </w:tr>
          </w:tbl>
          <w:p w14:paraId="6C40E067">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2、</w:t>
            </w:r>
            <w:r>
              <w:rPr>
                <w:rFonts w:hint="default" w:ascii="Times New Roman" w:hAnsi="Times New Roman" w:eastAsia="黑体" w:cs="Times New Roman"/>
                <w:bCs/>
                <w:color w:val="auto"/>
                <w:sz w:val="24"/>
              </w:rPr>
              <w:t>项目运营期主要工艺流程</w:t>
            </w:r>
          </w:p>
          <w:p w14:paraId="754A0CEF">
            <w:pPr>
              <w:autoSpaceDE w:val="0"/>
              <w:spacing w:line="360" w:lineRule="auto"/>
              <w:ind w:firstLine="480" w:firstLineChars="200"/>
              <w:rPr>
                <w:rFonts w:hint="eastAsia" w:eastAsia="宋体"/>
                <w:color w:val="auto"/>
                <w:sz w:val="24"/>
                <w:szCs w:val="24"/>
                <w:lang w:eastAsia="zh-CN"/>
              </w:rPr>
            </w:pPr>
            <w:r>
              <w:rPr>
                <w:color w:val="auto"/>
                <w:sz w:val="24"/>
                <w:szCs w:val="24"/>
              </w:rPr>
              <w:t>该项目仓库储存产品是以最终包装形式的成品入库贮存，不涉及生产过程。</w:t>
            </w:r>
            <w:r>
              <w:rPr>
                <w:rFonts w:hint="eastAsia"/>
                <w:color w:val="auto"/>
                <w:sz w:val="24"/>
                <w:szCs w:val="24"/>
              </w:rPr>
              <w:t>储存的工业炸药专用于玉溪大红山矿业有限公司施工爆破，其存储过程为</w:t>
            </w:r>
            <w:r>
              <w:rPr>
                <w:rFonts w:hint="eastAsia"/>
                <w:color w:val="auto"/>
                <w:sz w:val="24"/>
                <w:szCs w:val="24"/>
                <w:lang w:eastAsia="zh-CN"/>
              </w:rPr>
              <w:t>：</w:t>
            </w:r>
          </w:p>
          <w:p w14:paraId="419D9B8D">
            <w:pPr>
              <w:autoSpaceDE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在当地公安部门开准运证明</w:t>
            </w:r>
            <w:r>
              <w:rPr>
                <w:rFonts w:hint="eastAsia" w:cs="Times New Roman"/>
                <w:color w:val="auto"/>
                <w:sz w:val="24"/>
                <w:szCs w:val="24"/>
                <w:lang w:eastAsia="zh-CN"/>
              </w:rPr>
              <w:t>；</w:t>
            </w:r>
          </w:p>
          <w:p w14:paraId="654FA830">
            <w:pPr>
              <w:autoSpaceDE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到生产区提货、车运到仓库经验收入库</w:t>
            </w:r>
            <w:r>
              <w:rPr>
                <w:rFonts w:hint="eastAsia" w:cs="Times New Roman"/>
                <w:color w:val="auto"/>
                <w:sz w:val="24"/>
                <w:szCs w:val="24"/>
                <w:lang w:eastAsia="zh-CN"/>
              </w:rPr>
              <w:t>；</w:t>
            </w:r>
          </w:p>
          <w:p w14:paraId="3F269A32">
            <w:pPr>
              <w:autoSpaceDE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用户根据公安部门的准运证明到公司开提货单交配送服务中心</w:t>
            </w:r>
            <w:r>
              <w:rPr>
                <w:rFonts w:hint="eastAsia" w:cs="Times New Roman"/>
                <w:color w:val="auto"/>
                <w:sz w:val="24"/>
                <w:szCs w:val="24"/>
                <w:lang w:eastAsia="zh-CN"/>
              </w:rPr>
              <w:t>；</w:t>
            </w:r>
          </w:p>
          <w:p w14:paraId="6417A94F">
            <w:pPr>
              <w:autoSpaceDE w:val="0"/>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配送服务中心到仓库提取货物由具有专业资质的运输单位送达玉溪大红山矿业有限公司爆破指定地点。</w:t>
            </w:r>
          </w:p>
          <w:p w14:paraId="004C2BC4">
            <w:pPr>
              <w:autoSpaceDE w:val="0"/>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作业流程可归纳为8项作业：①进货作业；②搬运作业；③储存作业；④盘点作业；⑤订单处理作业；⑥整理作业；⑦补货作业；⑧发货作业。炸药、雷管分类分别储存。物料进货时并非一次购入其最大设计储存量，而是根据要求调整，因此仓库内物料的储存量不会超过设计最大储存量。</w:t>
            </w:r>
          </w:p>
          <w:p w14:paraId="4BF2C1F6">
            <w:pPr>
              <w:pStyle w:val="18"/>
              <w:spacing w:line="360" w:lineRule="auto"/>
              <w:ind w:firstLine="0" w:firstLineChars="0"/>
              <w:jc w:val="center"/>
              <w:rPr>
                <w:color w:val="auto"/>
              </w:rPr>
            </w:pPr>
            <w:r>
              <w:rPr>
                <w:rFonts w:hint="eastAsia"/>
                <w:color w:val="auto"/>
              </w:rPr>
              <w:drawing>
                <wp:inline distT="0" distB="0" distL="114300" distR="114300">
                  <wp:extent cx="4711700" cy="2754630"/>
                  <wp:effectExtent l="0" t="0" r="0" b="0"/>
                  <wp:docPr id="16" name="图片 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wps"/>
                          <pic:cNvPicPr>
                            <a:picLocks noChangeAspect="1"/>
                          </pic:cNvPicPr>
                        </pic:nvPicPr>
                        <pic:blipFill>
                          <a:blip r:embed="rId12"/>
                          <a:stretch>
                            <a:fillRect/>
                          </a:stretch>
                        </pic:blipFill>
                        <pic:spPr>
                          <a:xfrm>
                            <a:off x="0" y="0"/>
                            <a:ext cx="4711700" cy="2754630"/>
                          </a:xfrm>
                          <a:prstGeom prst="rect">
                            <a:avLst/>
                          </a:prstGeom>
                          <a:noFill/>
                          <a:ln>
                            <a:noFill/>
                          </a:ln>
                        </pic:spPr>
                      </pic:pic>
                    </a:graphicData>
                  </a:graphic>
                </wp:inline>
              </w:drawing>
            </w:r>
          </w:p>
          <w:p w14:paraId="6DD49032">
            <w:pPr>
              <w:spacing w:line="360" w:lineRule="auto"/>
              <w:ind w:firstLine="0" w:firstLineChars="0"/>
              <w:jc w:val="center"/>
              <w:rPr>
                <w:rFonts w:hint="eastAsia"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rPr>
              <w:t>图2-</w:t>
            </w:r>
            <w:r>
              <w:rPr>
                <w:rFonts w:hint="eastAsia" w:eastAsia="黑体" w:cs="Times New Roman"/>
                <w:color w:val="auto"/>
                <w:sz w:val="21"/>
                <w:szCs w:val="21"/>
                <w:lang w:val="en-US" w:eastAsia="zh-CN"/>
              </w:rPr>
              <w:t>3</w:t>
            </w:r>
            <w:r>
              <w:rPr>
                <w:rFonts w:hint="eastAsia" w:ascii="Times New Roman" w:hAnsi="Times New Roman" w:eastAsia="黑体" w:cs="Times New Roman"/>
                <w:color w:val="auto"/>
                <w:sz w:val="21"/>
                <w:szCs w:val="21"/>
              </w:rPr>
              <w:t xml:space="preserve">   运营期流程图</w:t>
            </w:r>
          </w:p>
          <w:p w14:paraId="6B726862">
            <w:pPr>
              <w:pStyle w:val="11"/>
              <w:spacing w:before="0" w:line="360" w:lineRule="auto"/>
              <w:ind w:firstLine="420" w:firstLineChars="200"/>
              <w:jc w:val="center"/>
              <w:rPr>
                <w:rFonts w:hint="eastAsia"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表2-8   运营期主要排污节点一览表</w:t>
            </w:r>
          </w:p>
          <w:tbl>
            <w:tblPr>
              <w:tblStyle w:val="37"/>
              <w:tblW w:w="76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67"/>
              <w:gridCol w:w="733"/>
              <w:gridCol w:w="1017"/>
              <w:gridCol w:w="1200"/>
              <w:gridCol w:w="950"/>
              <w:gridCol w:w="733"/>
              <w:gridCol w:w="2167"/>
            </w:tblGrid>
            <w:tr w14:paraId="1A7E5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420F902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类别</w:t>
                  </w:r>
                </w:p>
              </w:tc>
              <w:tc>
                <w:tcPr>
                  <w:tcW w:w="467" w:type="dxa"/>
                  <w:tcBorders>
                    <w:tl2br w:val="nil"/>
                    <w:tr2bl w:val="nil"/>
                  </w:tcBorders>
                  <w:vAlign w:val="center"/>
                </w:tcPr>
                <w:p w14:paraId="5D91FAC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序号</w:t>
                  </w:r>
                </w:p>
              </w:tc>
              <w:tc>
                <w:tcPr>
                  <w:tcW w:w="733" w:type="dxa"/>
                  <w:tcBorders>
                    <w:tl2br w:val="nil"/>
                    <w:tr2bl w:val="nil"/>
                  </w:tcBorders>
                  <w:vAlign w:val="center"/>
                </w:tcPr>
                <w:p w14:paraId="64A6F71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排污节点</w:t>
                  </w:r>
                </w:p>
              </w:tc>
              <w:tc>
                <w:tcPr>
                  <w:tcW w:w="1017" w:type="dxa"/>
                  <w:tcBorders>
                    <w:tl2br w:val="nil"/>
                    <w:tr2bl w:val="nil"/>
                  </w:tcBorders>
                  <w:vAlign w:val="center"/>
                </w:tcPr>
                <w:p w14:paraId="0D3680C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污染物</w:t>
                  </w:r>
                </w:p>
              </w:tc>
              <w:tc>
                <w:tcPr>
                  <w:tcW w:w="1200" w:type="dxa"/>
                  <w:tcBorders>
                    <w:tl2br w:val="nil"/>
                    <w:tr2bl w:val="nil"/>
                  </w:tcBorders>
                  <w:vAlign w:val="center"/>
                </w:tcPr>
                <w:p w14:paraId="532E268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污染因子</w:t>
                  </w:r>
                </w:p>
              </w:tc>
              <w:tc>
                <w:tcPr>
                  <w:tcW w:w="950" w:type="dxa"/>
                  <w:tcBorders>
                    <w:tl2br w:val="nil"/>
                    <w:tr2bl w:val="nil"/>
                  </w:tcBorders>
                  <w:vAlign w:val="center"/>
                </w:tcPr>
                <w:p w14:paraId="33C0EC6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所在生产单元</w:t>
                  </w:r>
                </w:p>
              </w:tc>
              <w:tc>
                <w:tcPr>
                  <w:tcW w:w="733" w:type="dxa"/>
                  <w:tcBorders>
                    <w:tl2br w:val="nil"/>
                    <w:tr2bl w:val="nil"/>
                  </w:tcBorders>
                  <w:vAlign w:val="center"/>
                </w:tcPr>
                <w:p w14:paraId="176CA63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产生特征</w:t>
                  </w:r>
                </w:p>
              </w:tc>
              <w:tc>
                <w:tcPr>
                  <w:tcW w:w="2167" w:type="dxa"/>
                  <w:tcBorders>
                    <w:tl2br w:val="nil"/>
                    <w:tr2bl w:val="nil"/>
                  </w:tcBorders>
                  <w:vAlign w:val="center"/>
                </w:tcPr>
                <w:p w14:paraId="179BC2C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拟采取措施及去向</w:t>
                  </w:r>
                </w:p>
              </w:tc>
            </w:tr>
            <w:tr w14:paraId="17B7B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tcBorders>
                    <w:tl2br w:val="nil"/>
                    <w:tr2bl w:val="nil"/>
                  </w:tcBorders>
                  <w:vAlign w:val="center"/>
                </w:tcPr>
                <w:p w14:paraId="1532604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废气</w:t>
                  </w:r>
                </w:p>
              </w:tc>
              <w:tc>
                <w:tcPr>
                  <w:tcW w:w="467" w:type="dxa"/>
                  <w:vMerge w:val="restart"/>
                  <w:tcBorders>
                    <w:tl2br w:val="nil"/>
                    <w:tr2bl w:val="nil"/>
                  </w:tcBorders>
                  <w:vAlign w:val="center"/>
                </w:tcPr>
                <w:p w14:paraId="6353153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G</w:t>
                  </w:r>
                </w:p>
              </w:tc>
              <w:tc>
                <w:tcPr>
                  <w:tcW w:w="733" w:type="dxa"/>
                  <w:vMerge w:val="restart"/>
                  <w:tcBorders>
                    <w:tl2br w:val="nil"/>
                    <w:tr2bl w:val="nil"/>
                  </w:tcBorders>
                  <w:vAlign w:val="center"/>
                </w:tcPr>
                <w:p w14:paraId="0EE7F93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运输车辆</w:t>
                  </w:r>
                </w:p>
              </w:tc>
              <w:tc>
                <w:tcPr>
                  <w:tcW w:w="1017" w:type="dxa"/>
                  <w:tcBorders>
                    <w:tl2br w:val="nil"/>
                    <w:tr2bl w:val="nil"/>
                  </w:tcBorders>
                  <w:vAlign w:val="center"/>
                </w:tcPr>
                <w:p w14:paraId="3C479DB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运输扬尘</w:t>
                  </w:r>
                </w:p>
              </w:tc>
              <w:tc>
                <w:tcPr>
                  <w:tcW w:w="1200" w:type="dxa"/>
                  <w:tcBorders>
                    <w:tl2br w:val="nil"/>
                    <w:tr2bl w:val="nil"/>
                  </w:tcBorders>
                  <w:vAlign w:val="center"/>
                </w:tcPr>
                <w:p w14:paraId="3EA1995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950" w:type="dxa"/>
                  <w:tcBorders>
                    <w:tl2br w:val="nil"/>
                    <w:tr2bl w:val="nil"/>
                  </w:tcBorders>
                  <w:vAlign w:val="center"/>
                </w:tcPr>
                <w:p w14:paraId="3E95F23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运输车辆</w:t>
                  </w:r>
                </w:p>
              </w:tc>
              <w:tc>
                <w:tcPr>
                  <w:tcW w:w="733" w:type="dxa"/>
                  <w:tcBorders>
                    <w:tl2br w:val="nil"/>
                    <w:tr2bl w:val="nil"/>
                  </w:tcBorders>
                  <w:vAlign w:val="center"/>
                </w:tcPr>
                <w:p w14:paraId="309E555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2375DEC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加强对运输车辆管理，限制车速和载重</w:t>
                  </w:r>
                </w:p>
              </w:tc>
            </w:tr>
            <w:tr w14:paraId="1DF76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0EF1FFDA">
                  <w:pPr>
                    <w:jc w:val="center"/>
                    <w:rPr>
                      <w:rFonts w:hint="default" w:ascii="Times New Roman" w:hAnsi="Times New Roman" w:eastAsia="宋体" w:cs="Times New Roman"/>
                      <w:color w:val="auto"/>
                      <w:kern w:val="2"/>
                      <w:sz w:val="18"/>
                      <w:szCs w:val="18"/>
                      <w:lang w:val="en-US" w:eastAsia="zh-CN" w:bidi="ar-SA"/>
                    </w:rPr>
                  </w:pPr>
                </w:p>
              </w:tc>
              <w:tc>
                <w:tcPr>
                  <w:tcW w:w="467" w:type="dxa"/>
                  <w:vMerge w:val="continue"/>
                  <w:tcBorders>
                    <w:tl2br w:val="nil"/>
                    <w:tr2bl w:val="nil"/>
                  </w:tcBorders>
                  <w:vAlign w:val="center"/>
                </w:tcPr>
                <w:p w14:paraId="482B1A6F">
                  <w:pPr>
                    <w:jc w:val="center"/>
                    <w:rPr>
                      <w:rFonts w:hint="default" w:ascii="Times New Roman" w:hAnsi="Times New Roman" w:eastAsia="宋体" w:cs="Times New Roman"/>
                      <w:color w:val="auto"/>
                      <w:kern w:val="2"/>
                      <w:sz w:val="18"/>
                      <w:szCs w:val="18"/>
                      <w:lang w:val="en-US" w:eastAsia="zh-CN" w:bidi="ar-SA"/>
                    </w:rPr>
                  </w:pPr>
                </w:p>
              </w:tc>
              <w:tc>
                <w:tcPr>
                  <w:tcW w:w="733" w:type="dxa"/>
                  <w:vMerge w:val="continue"/>
                  <w:tcBorders>
                    <w:tl2br w:val="nil"/>
                    <w:tr2bl w:val="nil"/>
                  </w:tcBorders>
                  <w:vAlign w:val="center"/>
                </w:tcPr>
                <w:p w14:paraId="7DE97E1F">
                  <w:pPr>
                    <w:jc w:val="center"/>
                    <w:rPr>
                      <w:rFonts w:hint="default" w:ascii="Times New Roman" w:hAnsi="Times New Roman" w:eastAsia="宋体" w:cs="Times New Roman"/>
                      <w:color w:val="auto"/>
                      <w:kern w:val="2"/>
                      <w:sz w:val="18"/>
                      <w:szCs w:val="18"/>
                      <w:lang w:val="en-US" w:eastAsia="zh-CN" w:bidi="ar-SA"/>
                    </w:rPr>
                  </w:pPr>
                </w:p>
              </w:tc>
              <w:tc>
                <w:tcPr>
                  <w:tcW w:w="1017" w:type="dxa"/>
                  <w:tcBorders>
                    <w:tl2br w:val="nil"/>
                    <w:tr2bl w:val="nil"/>
                  </w:tcBorders>
                  <w:vAlign w:val="center"/>
                </w:tcPr>
                <w:p w14:paraId="633A8D8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汽车尾气</w:t>
                  </w:r>
                </w:p>
              </w:tc>
              <w:tc>
                <w:tcPr>
                  <w:tcW w:w="1200" w:type="dxa"/>
                  <w:tcBorders>
                    <w:tl2br w:val="nil"/>
                    <w:tr2bl w:val="nil"/>
                  </w:tcBorders>
                  <w:vAlign w:val="center"/>
                </w:tcPr>
                <w:p w14:paraId="7ADD92A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CO、NOx、HXC</w:t>
                  </w:r>
                </w:p>
              </w:tc>
              <w:tc>
                <w:tcPr>
                  <w:tcW w:w="950" w:type="dxa"/>
                  <w:tcBorders>
                    <w:tl2br w:val="nil"/>
                    <w:tr2bl w:val="nil"/>
                  </w:tcBorders>
                  <w:vAlign w:val="center"/>
                </w:tcPr>
                <w:p w14:paraId="69B86FD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运输车辆</w:t>
                  </w:r>
                </w:p>
              </w:tc>
              <w:tc>
                <w:tcPr>
                  <w:tcW w:w="733" w:type="dxa"/>
                  <w:tcBorders>
                    <w:tl2br w:val="nil"/>
                    <w:tr2bl w:val="nil"/>
                  </w:tcBorders>
                  <w:vAlign w:val="center"/>
                </w:tcPr>
                <w:p w14:paraId="2697EB7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3495137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使用符合标准的运输车辆和燃料</w:t>
                  </w:r>
                </w:p>
              </w:tc>
            </w:tr>
            <w:tr w14:paraId="062A7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0C6D624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废水</w:t>
                  </w:r>
                </w:p>
              </w:tc>
              <w:tc>
                <w:tcPr>
                  <w:tcW w:w="467" w:type="dxa"/>
                  <w:tcBorders>
                    <w:tl2br w:val="nil"/>
                    <w:tr2bl w:val="nil"/>
                  </w:tcBorders>
                  <w:vAlign w:val="center"/>
                </w:tcPr>
                <w:p w14:paraId="17BBE19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w:t>
                  </w:r>
                </w:p>
              </w:tc>
              <w:tc>
                <w:tcPr>
                  <w:tcW w:w="733" w:type="dxa"/>
                  <w:tcBorders>
                    <w:tl2br w:val="nil"/>
                    <w:tr2bl w:val="nil"/>
                  </w:tcBorders>
                  <w:vAlign w:val="center"/>
                </w:tcPr>
                <w:p w14:paraId="48DC75D6">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职工生活</w:t>
                  </w:r>
                </w:p>
              </w:tc>
              <w:tc>
                <w:tcPr>
                  <w:tcW w:w="1017" w:type="dxa"/>
                  <w:tcBorders>
                    <w:tl2br w:val="nil"/>
                    <w:tr2bl w:val="nil"/>
                  </w:tcBorders>
                  <w:vAlign w:val="center"/>
                </w:tcPr>
                <w:p w14:paraId="52BAFED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生活污水</w:t>
                  </w:r>
                </w:p>
              </w:tc>
              <w:tc>
                <w:tcPr>
                  <w:tcW w:w="1200" w:type="dxa"/>
                  <w:tcBorders>
                    <w:tl2br w:val="nil"/>
                    <w:tr2bl w:val="nil"/>
                  </w:tcBorders>
                  <w:vAlign w:val="center"/>
                </w:tcPr>
                <w:p w14:paraId="10EB866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COD、BOD</w:t>
                  </w:r>
                  <w:r>
                    <w:rPr>
                      <w:rFonts w:hint="eastAsia" w:ascii="Times New Roman" w:hAnsi="Times New Roman" w:eastAsia="宋体" w:cs="Times New Roman"/>
                      <w:color w:val="auto"/>
                      <w:kern w:val="2"/>
                      <w:sz w:val="18"/>
                      <w:szCs w:val="18"/>
                      <w:vertAlign w:val="subscript"/>
                      <w:lang w:val="en-US" w:eastAsia="zh-CN" w:bidi="ar-SA"/>
                    </w:rPr>
                    <w:t>5</w:t>
                  </w:r>
                  <w:r>
                    <w:rPr>
                      <w:rFonts w:hint="eastAsia" w:ascii="Times New Roman" w:hAnsi="Times New Roman" w:eastAsia="宋体" w:cs="Times New Roman"/>
                      <w:color w:val="auto"/>
                      <w:kern w:val="2"/>
                      <w:sz w:val="18"/>
                      <w:szCs w:val="18"/>
                      <w:lang w:val="en-US" w:eastAsia="zh-CN" w:bidi="ar-SA"/>
                    </w:rPr>
                    <w:t>、氨氮、SS</w:t>
                  </w:r>
                </w:p>
              </w:tc>
              <w:tc>
                <w:tcPr>
                  <w:tcW w:w="950" w:type="dxa"/>
                  <w:tcBorders>
                    <w:tl2br w:val="nil"/>
                    <w:tr2bl w:val="nil"/>
                  </w:tcBorders>
                  <w:vAlign w:val="center"/>
                </w:tcPr>
                <w:p w14:paraId="675D06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职工生活</w:t>
                  </w:r>
                </w:p>
              </w:tc>
              <w:tc>
                <w:tcPr>
                  <w:tcW w:w="733" w:type="dxa"/>
                  <w:tcBorders>
                    <w:tl2br w:val="nil"/>
                    <w:tr2bl w:val="nil"/>
                  </w:tcBorders>
                  <w:vAlign w:val="center"/>
                </w:tcPr>
                <w:p w14:paraId="615ECFD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7FEE598A">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经化粪池</w:t>
                  </w:r>
                  <w:r>
                    <w:rPr>
                      <w:rFonts w:hint="eastAsia" w:ascii="Times New Roman" w:hAnsi="Times New Roman" w:eastAsia="宋体" w:cs="Times New Roman"/>
                      <w:color w:val="auto"/>
                      <w:kern w:val="2"/>
                      <w:sz w:val="18"/>
                      <w:szCs w:val="18"/>
                      <w:lang w:val="en-US" w:eastAsia="zh-CN" w:bidi="ar-SA"/>
                    </w:rPr>
                    <w:t>（5.0m</w:t>
                  </w:r>
                  <w:r>
                    <w:rPr>
                      <w:rFonts w:hint="eastAsia" w:ascii="Times New Roman" w:hAnsi="Times New Roman" w:eastAsia="宋体" w:cs="Times New Roman"/>
                      <w:color w:val="auto"/>
                      <w:kern w:val="2"/>
                      <w:sz w:val="18"/>
                      <w:szCs w:val="18"/>
                      <w:vertAlign w:val="superscript"/>
                      <w:lang w:val="en-US" w:eastAsia="zh-CN" w:bidi="ar-SA"/>
                    </w:rPr>
                    <w:t>3</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收集处理后，由附近村民定期清掏用作周边农肥。</w:t>
                  </w:r>
                </w:p>
              </w:tc>
            </w:tr>
            <w:tr w14:paraId="39131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tcBorders>
                    <w:tl2br w:val="nil"/>
                    <w:tr2bl w:val="nil"/>
                  </w:tcBorders>
                  <w:vAlign w:val="center"/>
                </w:tcPr>
                <w:p w14:paraId="2BCB6E5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噪声</w:t>
                  </w:r>
                </w:p>
              </w:tc>
              <w:tc>
                <w:tcPr>
                  <w:tcW w:w="467" w:type="dxa"/>
                  <w:vMerge w:val="restart"/>
                  <w:tcBorders>
                    <w:tl2br w:val="nil"/>
                    <w:tr2bl w:val="nil"/>
                  </w:tcBorders>
                  <w:vAlign w:val="center"/>
                </w:tcPr>
                <w:p w14:paraId="4E24D63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N</w:t>
                  </w:r>
                </w:p>
              </w:tc>
              <w:tc>
                <w:tcPr>
                  <w:tcW w:w="733" w:type="dxa"/>
                  <w:tcBorders>
                    <w:tl2br w:val="nil"/>
                    <w:tr2bl w:val="nil"/>
                  </w:tcBorders>
                  <w:vAlign w:val="center"/>
                </w:tcPr>
                <w:p w14:paraId="0693E90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水泵</w:t>
                  </w:r>
                </w:p>
              </w:tc>
              <w:tc>
                <w:tcPr>
                  <w:tcW w:w="1017" w:type="dxa"/>
                  <w:tcBorders>
                    <w:tl2br w:val="nil"/>
                    <w:tr2bl w:val="nil"/>
                  </w:tcBorders>
                  <w:vAlign w:val="center"/>
                </w:tcPr>
                <w:p w14:paraId="1AEF7B2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噪声</w:t>
                  </w:r>
                </w:p>
              </w:tc>
              <w:tc>
                <w:tcPr>
                  <w:tcW w:w="1200" w:type="dxa"/>
                  <w:tcBorders>
                    <w:tl2br w:val="nil"/>
                    <w:tr2bl w:val="nil"/>
                  </w:tcBorders>
                  <w:vAlign w:val="center"/>
                </w:tcPr>
                <w:p w14:paraId="026C273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噪声</w:t>
                  </w:r>
                </w:p>
              </w:tc>
              <w:tc>
                <w:tcPr>
                  <w:tcW w:w="950" w:type="dxa"/>
                  <w:tcBorders>
                    <w:tl2br w:val="nil"/>
                    <w:tr2bl w:val="nil"/>
                  </w:tcBorders>
                  <w:vAlign w:val="center"/>
                </w:tcPr>
                <w:p w14:paraId="1DA78FD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水泵</w:t>
                  </w:r>
                </w:p>
              </w:tc>
              <w:tc>
                <w:tcPr>
                  <w:tcW w:w="733" w:type="dxa"/>
                  <w:tcBorders>
                    <w:tl2br w:val="nil"/>
                    <w:tr2bl w:val="nil"/>
                  </w:tcBorders>
                  <w:vAlign w:val="center"/>
                </w:tcPr>
                <w:p w14:paraId="2AC388A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42568DE3">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厂房隔声。</w:t>
                  </w:r>
                </w:p>
              </w:tc>
            </w:tr>
            <w:tr w14:paraId="1E761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4DDADF2B">
                  <w:pPr>
                    <w:jc w:val="center"/>
                    <w:rPr>
                      <w:rFonts w:hint="default" w:ascii="Times New Roman" w:hAnsi="Times New Roman" w:eastAsia="宋体" w:cs="Times New Roman"/>
                      <w:color w:val="auto"/>
                      <w:kern w:val="2"/>
                      <w:sz w:val="18"/>
                      <w:szCs w:val="18"/>
                      <w:lang w:val="en-US" w:eastAsia="zh-CN" w:bidi="ar-SA"/>
                    </w:rPr>
                  </w:pPr>
                </w:p>
              </w:tc>
              <w:tc>
                <w:tcPr>
                  <w:tcW w:w="467" w:type="dxa"/>
                  <w:vMerge w:val="continue"/>
                  <w:tcBorders>
                    <w:tl2br w:val="nil"/>
                    <w:tr2bl w:val="nil"/>
                  </w:tcBorders>
                  <w:vAlign w:val="center"/>
                </w:tcPr>
                <w:p w14:paraId="4AD68B93">
                  <w:pPr>
                    <w:jc w:val="center"/>
                    <w:rPr>
                      <w:rFonts w:hint="default" w:ascii="Times New Roman" w:hAnsi="Times New Roman" w:eastAsia="宋体" w:cs="Times New Roman"/>
                      <w:color w:val="auto"/>
                      <w:kern w:val="2"/>
                      <w:sz w:val="18"/>
                      <w:szCs w:val="18"/>
                      <w:lang w:val="en-US" w:eastAsia="zh-CN" w:bidi="ar-SA"/>
                    </w:rPr>
                  </w:pPr>
                </w:p>
              </w:tc>
              <w:tc>
                <w:tcPr>
                  <w:tcW w:w="733" w:type="dxa"/>
                  <w:tcBorders>
                    <w:tl2br w:val="nil"/>
                    <w:tr2bl w:val="nil"/>
                  </w:tcBorders>
                  <w:vAlign w:val="center"/>
                </w:tcPr>
                <w:p w14:paraId="1546777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运输车辆</w:t>
                  </w:r>
                </w:p>
              </w:tc>
              <w:tc>
                <w:tcPr>
                  <w:tcW w:w="1017" w:type="dxa"/>
                  <w:tcBorders>
                    <w:tl2br w:val="nil"/>
                    <w:tr2bl w:val="nil"/>
                  </w:tcBorders>
                  <w:vAlign w:val="center"/>
                </w:tcPr>
                <w:p w14:paraId="28933E1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噪声</w:t>
                  </w:r>
                </w:p>
              </w:tc>
              <w:tc>
                <w:tcPr>
                  <w:tcW w:w="1200" w:type="dxa"/>
                  <w:tcBorders>
                    <w:tl2br w:val="nil"/>
                    <w:tr2bl w:val="nil"/>
                  </w:tcBorders>
                  <w:vAlign w:val="center"/>
                </w:tcPr>
                <w:p w14:paraId="3171A4E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噪声</w:t>
                  </w:r>
                </w:p>
              </w:tc>
              <w:tc>
                <w:tcPr>
                  <w:tcW w:w="950" w:type="dxa"/>
                  <w:tcBorders>
                    <w:tl2br w:val="nil"/>
                    <w:tr2bl w:val="nil"/>
                  </w:tcBorders>
                  <w:vAlign w:val="center"/>
                </w:tcPr>
                <w:p w14:paraId="7A9EE51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运输车辆</w:t>
                  </w:r>
                </w:p>
              </w:tc>
              <w:tc>
                <w:tcPr>
                  <w:tcW w:w="733" w:type="dxa"/>
                  <w:tcBorders>
                    <w:tl2br w:val="nil"/>
                    <w:tr2bl w:val="nil"/>
                  </w:tcBorders>
                  <w:vAlign w:val="center"/>
                </w:tcPr>
                <w:p w14:paraId="335D1D3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22BFF96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加强管理，车辆减速、禁止鸣笛</w:t>
                  </w:r>
                </w:p>
              </w:tc>
            </w:tr>
            <w:tr w14:paraId="15B45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tcBorders>
                    <w:tl2br w:val="nil"/>
                    <w:tr2bl w:val="nil"/>
                  </w:tcBorders>
                  <w:vAlign w:val="center"/>
                </w:tcPr>
                <w:p w14:paraId="275B487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固废</w:t>
                  </w:r>
                </w:p>
              </w:tc>
              <w:tc>
                <w:tcPr>
                  <w:tcW w:w="467" w:type="dxa"/>
                  <w:vMerge w:val="restart"/>
                  <w:tcBorders>
                    <w:tl2br w:val="nil"/>
                    <w:tr2bl w:val="nil"/>
                  </w:tcBorders>
                  <w:vAlign w:val="center"/>
                </w:tcPr>
                <w:p w14:paraId="0811C33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S</w:t>
                  </w:r>
                </w:p>
              </w:tc>
              <w:tc>
                <w:tcPr>
                  <w:tcW w:w="733" w:type="dxa"/>
                  <w:tcBorders>
                    <w:tl2br w:val="nil"/>
                    <w:tr2bl w:val="nil"/>
                  </w:tcBorders>
                  <w:vAlign w:val="center"/>
                </w:tcPr>
                <w:p w14:paraId="34D22D7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库区储存</w:t>
                  </w:r>
                </w:p>
              </w:tc>
              <w:tc>
                <w:tcPr>
                  <w:tcW w:w="1017" w:type="dxa"/>
                  <w:tcBorders>
                    <w:tl2br w:val="nil"/>
                    <w:tr2bl w:val="nil"/>
                  </w:tcBorders>
                  <w:vAlign w:val="center"/>
                </w:tcPr>
                <w:p w14:paraId="525A0CAE">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废包装材料</w:t>
                  </w:r>
                </w:p>
              </w:tc>
              <w:tc>
                <w:tcPr>
                  <w:tcW w:w="1200" w:type="dxa"/>
                  <w:tcBorders>
                    <w:tl2br w:val="nil"/>
                    <w:tr2bl w:val="nil"/>
                  </w:tcBorders>
                  <w:vAlign w:val="center"/>
                </w:tcPr>
                <w:p w14:paraId="067800C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纸箱、编织袋</w:t>
                  </w:r>
                </w:p>
              </w:tc>
              <w:tc>
                <w:tcPr>
                  <w:tcW w:w="950" w:type="dxa"/>
                  <w:tcBorders>
                    <w:tl2br w:val="nil"/>
                    <w:tr2bl w:val="nil"/>
                  </w:tcBorders>
                  <w:vAlign w:val="center"/>
                </w:tcPr>
                <w:p w14:paraId="4A33D0D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库区</w:t>
                  </w:r>
                </w:p>
              </w:tc>
              <w:tc>
                <w:tcPr>
                  <w:tcW w:w="733" w:type="dxa"/>
                  <w:tcBorders>
                    <w:tl2br w:val="nil"/>
                    <w:tr2bl w:val="nil"/>
                  </w:tcBorders>
                  <w:vAlign w:val="center"/>
                </w:tcPr>
                <w:p w14:paraId="409916C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236DDFF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可回收的外售给废品收购站，不可回收的由环卫部门处置。</w:t>
                  </w:r>
                </w:p>
              </w:tc>
            </w:tr>
            <w:tr w14:paraId="70939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4407968D">
                  <w:pPr>
                    <w:jc w:val="center"/>
                    <w:rPr>
                      <w:rFonts w:hint="default" w:ascii="Times New Roman" w:hAnsi="Times New Roman" w:eastAsia="宋体" w:cs="Times New Roman"/>
                      <w:color w:val="auto"/>
                      <w:kern w:val="2"/>
                      <w:sz w:val="18"/>
                      <w:szCs w:val="18"/>
                      <w:lang w:val="en-US" w:eastAsia="zh-CN" w:bidi="ar-SA"/>
                    </w:rPr>
                  </w:pPr>
                </w:p>
              </w:tc>
              <w:tc>
                <w:tcPr>
                  <w:tcW w:w="467" w:type="dxa"/>
                  <w:vMerge w:val="continue"/>
                  <w:tcBorders>
                    <w:tl2br w:val="nil"/>
                    <w:tr2bl w:val="nil"/>
                  </w:tcBorders>
                  <w:vAlign w:val="center"/>
                </w:tcPr>
                <w:p w14:paraId="35BE52CE">
                  <w:pPr>
                    <w:jc w:val="center"/>
                    <w:rPr>
                      <w:rFonts w:hint="default" w:ascii="Times New Roman" w:hAnsi="Times New Roman" w:eastAsia="宋体" w:cs="Times New Roman"/>
                      <w:color w:val="auto"/>
                      <w:kern w:val="2"/>
                      <w:sz w:val="18"/>
                      <w:szCs w:val="18"/>
                      <w:lang w:val="en-US" w:eastAsia="zh-CN" w:bidi="ar-SA"/>
                    </w:rPr>
                  </w:pPr>
                </w:p>
              </w:tc>
              <w:tc>
                <w:tcPr>
                  <w:tcW w:w="733" w:type="dxa"/>
                  <w:vMerge w:val="restart"/>
                  <w:tcBorders>
                    <w:tl2br w:val="nil"/>
                    <w:tr2bl w:val="nil"/>
                  </w:tcBorders>
                  <w:vAlign w:val="center"/>
                </w:tcPr>
                <w:p w14:paraId="2170591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职工生活</w:t>
                  </w:r>
                </w:p>
              </w:tc>
              <w:tc>
                <w:tcPr>
                  <w:tcW w:w="1017" w:type="dxa"/>
                  <w:tcBorders>
                    <w:tl2br w:val="nil"/>
                    <w:tr2bl w:val="nil"/>
                  </w:tcBorders>
                  <w:vAlign w:val="center"/>
                </w:tcPr>
                <w:p w14:paraId="563B01F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生活垃圾</w:t>
                  </w:r>
                </w:p>
              </w:tc>
              <w:tc>
                <w:tcPr>
                  <w:tcW w:w="1200" w:type="dxa"/>
                  <w:tcBorders>
                    <w:tl2br w:val="nil"/>
                    <w:tr2bl w:val="nil"/>
                  </w:tcBorders>
                  <w:vAlign w:val="center"/>
                </w:tcPr>
                <w:p w14:paraId="77ABC81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生活垃圾</w:t>
                  </w:r>
                </w:p>
              </w:tc>
              <w:tc>
                <w:tcPr>
                  <w:tcW w:w="950" w:type="dxa"/>
                  <w:tcBorders>
                    <w:tl2br w:val="nil"/>
                    <w:tr2bl w:val="nil"/>
                  </w:tcBorders>
                  <w:vAlign w:val="center"/>
                </w:tcPr>
                <w:p w14:paraId="49CFAF6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值班室</w:t>
                  </w:r>
                </w:p>
              </w:tc>
              <w:tc>
                <w:tcPr>
                  <w:tcW w:w="733" w:type="dxa"/>
                  <w:tcBorders>
                    <w:tl2br w:val="nil"/>
                    <w:tr2bl w:val="nil"/>
                  </w:tcBorders>
                  <w:vAlign w:val="center"/>
                </w:tcPr>
                <w:p w14:paraId="4805B3E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6410C5BA">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统一收集后</w:t>
                  </w:r>
                  <w:r>
                    <w:rPr>
                      <w:rFonts w:hint="eastAsia" w:ascii="Times New Roman" w:hAnsi="Times New Roman" w:eastAsia="宋体" w:cs="Times New Roman"/>
                      <w:color w:val="auto"/>
                      <w:kern w:val="2"/>
                      <w:sz w:val="18"/>
                      <w:szCs w:val="18"/>
                      <w:lang w:val="en-US" w:eastAsia="zh-CN" w:bidi="ar-SA"/>
                    </w:rPr>
                    <w:t>按当地</w:t>
                  </w:r>
                  <w:r>
                    <w:rPr>
                      <w:rFonts w:hint="default" w:ascii="Times New Roman" w:hAnsi="Times New Roman" w:eastAsia="宋体" w:cs="Times New Roman"/>
                      <w:color w:val="auto"/>
                      <w:kern w:val="2"/>
                      <w:sz w:val="18"/>
                      <w:szCs w:val="18"/>
                      <w:lang w:val="en-US" w:eastAsia="zh-CN" w:bidi="ar-SA"/>
                    </w:rPr>
                    <w:t>环卫部门</w:t>
                  </w:r>
                  <w:r>
                    <w:rPr>
                      <w:rFonts w:hint="eastAsia" w:ascii="Times New Roman" w:hAnsi="Times New Roman" w:eastAsia="宋体" w:cs="Times New Roman"/>
                      <w:color w:val="auto"/>
                      <w:kern w:val="2"/>
                      <w:sz w:val="18"/>
                      <w:szCs w:val="18"/>
                      <w:lang w:val="en-US" w:eastAsia="zh-CN" w:bidi="ar-SA"/>
                    </w:rPr>
                    <w:t>的要求进行</w:t>
                  </w:r>
                  <w:r>
                    <w:rPr>
                      <w:rFonts w:hint="default" w:ascii="Times New Roman" w:hAnsi="Times New Roman" w:eastAsia="宋体" w:cs="Times New Roman"/>
                      <w:color w:val="auto"/>
                      <w:kern w:val="2"/>
                      <w:sz w:val="18"/>
                      <w:szCs w:val="18"/>
                      <w:lang w:val="en-US" w:eastAsia="zh-CN" w:bidi="ar-SA"/>
                    </w:rPr>
                    <w:t>处置。</w:t>
                  </w:r>
                </w:p>
              </w:tc>
            </w:tr>
            <w:tr w14:paraId="3D7E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58900C87">
                  <w:pPr>
                    <w:jc w:val="center"/>
                    <w:rPr>
                      <w:rFonts w:hint="default" w:ascii="Times New Roman" w:hAnsi="Times New Roman" w:eastAsia="宋体" w:cs="Times New Roman"/>
                      <w:color w:val="auto"/>
                      <w:kern w:val="2"/>
                      <w:sz w:val="18"/>
                      <w:szCs w:val="18"/>
                      <w:lang w:val="en-US" w:eastAsia="zh-CN" w:bidi="ar-SA"/>
                    </w:rPr>
                  </w:pPr>
                </w:p>
              </w:tc>
              <w:tc>
                <w:tcPr>
                  <w:tcW w:w="467" w:type="dxa"/>
                  <w:vMerge w:val="continue"/>
                  <w:tcBorders>
                    <w:tl2br w:val="nil"/>
                    <w:tr2bl w:val="nil"/>
                  </w:tcBorders>
                  <w:vAlign w:val="center"/>
                </w:tcPr>
                <w:p w14:paraId="1A965B1A">
                  <w:pPr>
                    <w:jc w:val="center"/>
                    <w:rPr>
                      <w:rFonts w:hint="default" w:ascii="Times New Roman" w:hAnsi="Times New Roman" w:eastAsia="宋体" w:cs="Times New Roman"/>
                      <w:color w:val="auto"/>
                      <w:kern w:val="2"/>
                      <w:sz w:val="18"/>
                      <w:szCs w:val="18"/>
                      <w:lang w:val="en-US" w:eastAsia="zh-CN" w:bidi="ar-SA"/>
                    </w:rPr>
                  </w:pPr>
                </w:p>
              </w:tc>
              <w:tc>
                <w:tcPr>
                  <w:tcW w:w="733" w:type="dxa"/>
                  <w:vMerge w:val="continue"/>
                  <w:tcBorders>
                    <w:tl2br w:val="nil"/>
                    <w:tr2bl w:val="nil"/>
                  </w:tcBorders>
                  <w:vAlign w:val="center"/>
                </w:tcPr>
                <w:p w14:paraId="5A4727A6">
                  <w:pPr>
                    <w:jc w:val="center"/>
                    <w:rPr>
                      <w:rFonts w:hint="eastAsia" w:ascii="Times New Roman" w:hAnsi="Times New Roman" w:eastAsia="宋体" w:cs="Times New Roman"/>
                      <w:color w:val="auto"/>
                      <w:kern w:val="2"/>
                      <w:sz w:val="18"/>
                      <w:szCs w:val="18"/>
                      <w:lang w:val="en-US" w:eastAsia="zh-CN" w:bidi="ar-SA"/>
                    </w:rPr>
                  </w:pPr>
                </w:p>
              </w:tc>
              <w:tc>
                <w:tcPr>
                  <w:tcW w:w="1017" w:type="dxa"/>
                  <w:tcBorders>
                    <w:tl2br w:val="nil"/>
                    <w:tr2bl w:val="nil"/>
                  </w:tcBorders>
                  <w:vAlign w:val="center"/>
                </w:tcPr>
                <w:p w14:paraId="010756F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化粪池污泥</w:t>
                  </w:r>
                </w:p>
              </w:tc>
              <w:tc>
                <w:tcPr>
                  <w:tcW w:w="1200" w:type="dxa"/>
                  <w:tcBorders>
                    <w:tl2br w:val="nil"/>
                    <w:tr2bl w:val="nil"/>
                  </w:tcBorders>
                  <w:vAlign w:val="center"/>
                </w:tcPr>
                <w:p w14:paraId="5FBA518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化粪池污泥</w:t>
                  </w:r>
                </w:p>
              </w:tc>
              <w:tc>
                <w:tcPr>
                  <w:tcW w:w="950" w:type="dxa"/>
                  <w:tcBorders>
                    <w:tl2br w:val="nil"/>
                    <w:tr2bl w:val="nil"/>
                  </w:tcBorders>
                  <w:vAlign w:val="center"/>
                </w:tcPr>
                <w:p w14:paraId="7258703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值班室</w:t>
                  </w:r>
                </w:p>
              </w:tc>
              <w:tc>
                <w:tcPr>
                  <w:tcW w:w="733" w:type="dxa"/>
                  <w:tcBorders>
                    <w:tl2br w:val="nil"/>
                    <w:tr2bl w:val="nil"/>
                  </w:tcBorders>
                  <w:vAlign w:val="center"/>
                </w:tcPr>
                <w:p w14:paraId="13FB86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间断</w:t>
                  </w:r>
                </w:p>
              </w:tc>
              <w:tc>
                <w:tcPr>
                  <w:tcW w:w="2167" w:type="dxa"/>
                  <w:tcBorders>
                    <w:tl2br w:val="nil"/>
                    <w:tr2bl w:val="nil"/>
                  </w:tcBorders>
                  <w:vAlign w:val="center"/>
                </w:tcPr>
                <w:p w14:paraId="7F6869E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委托周边村民定期清掏后作为农肥使用。</w:t>
                  </w:r>
                </w:p>
              </w:tc>
            </w:tr>
          </w:tbl>
          <w:p w14:paraId="39365C1D">
            <w:pPr>
              <w:autoSpaceDE w:val="0"/>
              <w:spacing w:line="360" w:lineRule="auto"/>
              <w:ind w:firstLine="420" w:firstLineChars="200"/>
              <w:rPr>
                <w:rFonts w:hint="default" w:ascii="Times New Roman" w:hAnsi="Times New Roman" w:cs="Times New Roman"/>
                <w:color w:val="auto"/>
              </w:rPr>
            </w:pPr>
          </w:p>
        </w:tc>
      </w:tr>
      <w:tr w14:paraId="0EBB3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3" w:hRule="atLeast"/>
          <w:jc w:val="center"/>
        </w:trPr>
        <w:tc>
          <w:tcPr>
            <w:tcW w:w="506" w:type="pct"/>
            <w:vAlign w:val="center"/>
          </w:tcPr>
          <w:p w14:paraId="2167B738">
            <w:pPr>
              <w:pStyle w:val="32"/>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szCs w:val="24"/>
              </w:rPr>
              <w:t>与项目有关的原有环境污染问题</w:t>
            </w:r>
          </w:p>
        </w:tc>
        <w:tc>
          <w:tcPr>
            <w:tcW w:w="4493" w:type="pct"/>
          </w:tcPr>
          <w:p w14:paraId="60FC5A47">
            <w:pPr>
              <w:rPr>
                <w:rFonts w:hint="default" w:ascii="Times New Roman" w:hAnsi="Times New Roman" w:cs="Times New Roman"/>
                <w:color w:val="auto"/>
              </w:rPr>
            </w:pPr>
          </w:p>
          <w:p w14:paraId="480349E2">
            <w:pPr>
              <w:pStyle w:val="35"/>
              <w:spacing w:line="360" w:lineRule="auto"/>
              <w:ind w:left="0" w:leftChars="0" w:firstLine="480"/>
              <w:rPr>
                <w:rFonts w:hint="eastAsia" w:cs="Times New Roman"/>
                <w:color w:val="auto"/>
                <w:lang w:val="en-US" w:eastAsia="zh-CN"/>
              </w:rPr>
            </w:pPr>
            <w:r>
              <w:rPr>
                <w:rFonts w:hint="eastAsia" w:cs="Times New Roman"/>
                <w:color w:val="auto"/>
                <w:lang w:val="en-US" w:eastAsia="zh-CN"/>
              </w:rPr>
              <w:t>本项目为新建项目，现状为空地及少量废弃的空置房屋，根据调查，废弃的空置房屋原为大红山铁矿施工队的住宿值班房屋，后施工活动结束，施工队离场，房屋空置至今。</w:t>
            </w:r>
          </w:p>
          <w:p w14:paraId="4C205073">
            <w:pPr>
              <w:pStyle w:val="35"/>
              <w:spacing w:line="360" w:lineRule="auto"/>
              <w:ind w:left="0" w:leftChars="0" w:firstLine="480"/>
              <w:rPr>
                <w:rFonts w:hint="default" w:ascii="Times New Roman" w:hAnsi="Times New Roman" w:eastAsia="宋体" w:cs="Times New Roman"/>
                <w:color w:val="auto"/>
                <w:lang w:val="en-US" w:eastAsia="zh-CN"/>
              </w:rPr>
            </w:pPr>
            <w:r>
              <w:rPr>
                <w:rFonts w:hint="eastAsia" w:cs="Times New Roman"/>
                <w:color w:val="auto"/>
                <w:lang w:val="en-US" w:eastAsia="zh-CN"/>
              </w:rPr>
              <w:t>因此不存在原有环境问题。</w:t>
            </w:r>
          </w:p>
        </w:tc>
      </w:tr>
    </w:tbl>
    <w:p w14:paraId="472E4693">
      <w:pPr>
        <w:pStyle w:val="32"/>
        <w:jc w:val="center"/>
        <w:rPr>
          <w:rFonts w:hint="default" w:ascii="Times New Roman" w:hAnsi="Times New Roman" w:eastAsia="黑体" w:cs="Times New Roman"/>
          <w:snapToGrid w:val="0"/>
          <w:color w:val="auto"/>
          <w:sz w:val="36"/>
          <w:szCs w:val="36"/>
        </w:rPr>
        <w:sectPr>
          <w:pgSz w:w="11906" w:h="16838"/>
          <w:pgMar w:top="1440" w:right="1803" w:bottom="1440" w:left="1803" w:header="850" w:footer="851" w:gutter="0"/>
          <w:pgBorders>
            <w:top w:val="none" w:sz="0" w:space="0"/>
            <w:left w:val="none" w:sz="0" w:space="0"/>
            <w:bottom w:val="none" w:sz="0" w:space="0"/>
            <w:right w:val="none" w:sz="0" w:space="0"/>
          </w:pgBorders>
          <w:cols w:space="720" w:num="1"/>
          <w:docGrid w:linePitch="312" w:charSpace="0"/>
        </w:sectPr>
      </w:pPr>
    </w:p>
    <w:p w14:paraId="771BF293">
      <w:pPr>
        <w:pStyle w:val="32"/>
        <w:spacing w:before="0" w:beforeAutospacing="0" w:after="0" w:afterAutospacing="0" w:line="360" w:lineRule="auto"/>
        <w:jc w:val="both"/>
        <w:outlineLvl w:val="0"/>
        <w:rPr>
          <w:rFonts w:hint="default" w:ascii="Times New Roman" w:hAnsi="Times New Roman" w:eastAsia="黑体" w:cs="Times New Roman"/>
          <w:color w:val="auto"/>
          <w:sz w:val="28"/>
          <w:szCs w:val="28"/>
        </w:rPr>
      </w:pPr>
      <w:bookmarkStart w:id="23" w:name="_Toc68870551"/>
      <w:bookmarkStart w:id="24" w:name="_Toc70692546"/>
      <w:bookmarkStart w:id="25" w:name="_Toc32177"/>
      <w:r>
        <w:rPr>
          <w:rFonts w:hint="default" w:ascii="Times New Roman" w:hAnsi="Times New Roman" w:eastAsia="黑体" w:cs="Times New Roman"/>
          <w:color w:val="auto"/>
          <w:sz w:val="28"/>
          <w:szCs w:val="28"/>
        </w:rPr>
        <w:t>三、区域环境质量现状、环境保护目标及评价标准</w:t>
      </w:r>
      <w:bookmarkEnd w:id="23"/>
      <w:bookmarkEnd w:id="24"/>
      <w:bookmarkEnd w:id="25"/>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8"/>
        <w:gridCol w:w="7909"/>
      </w:tblGrid>
      <w:tr w14:paraId="59DDB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08" w:type="dxa"/>
            <w:vAlign w:val="center"/>
          </w:tcPr>
          <w:p w14:paraId="0635DB94">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14:paraId="5B357F13">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14:paraId="2E58F297">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14:paraId="255F59E8">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现状</w:t>
            </w:r>
          </w:p>
        </w:tc>
        <w:tc>
          <w:tcPr>
            <w:tcW w:w="7909" w:type="dxa"/>
            <w:vAlign w:val="center"/>
          </w:tcPr>
          <w:p w14:paraId="5608E4F5">
            <w:pPr>
              <w:numPr>
                <w:ilvl w:val="0"/>
                <w:numId w:val="3"/>
              </w:num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环境空气质量现状</w:t>
            </w:r>
          </w:p>
          <w:p w14:paraId="50A47478">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环境空气</w:t>
            </w:r>
            <w:r>
              <w:rPr>
                <w:rFonts w:hint="eastAsia" w:ascii="Times New Roman" w:hAnsi="Times New Roman" w:eastAsia="宋体" w:cs="Times New Roman"/>
                <w:b/>
                <w:bCs/>
                <w:color w:val="auto"/>
                <w:sz w:val="24"/>
                <w:lang w:val="en-US" w:eastAsia="zh-CN"/>
              </w:rPr>
              <w:t>质量</w:t>
            </w:r>
            <w:r>
              <w:rPr>
                <w:rFonts w:hint="default" w:ascii="Times New Roman" w:hAnsi="Times New Roman" w:eastAsia="宋体" w:cs="Times New Roman"/>
                <w:b/>
                <w:bCs/>
                <w:color w:val="auto"/>
                <w:sz w:val="24"/>
                <w:lang w:val="en-US" w:eastAsia="zh-CN"/>
              </w:rPr>
              <w:t>标准</w:t>
            </w:r>
          </w:p>
          <w:p w14:paraId="7A72CD71">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本项目位于</w:t>
            </w:r>
            <w:r>
              <w:rPr>
                <w:rFonts w:hint="default" w:ascii="Times New Roman" w:hAnsi="Times New Roman" w:eastAsia="宋体" w:cs="Times New Roman"/>
                <w:color w:val="auto"/>
                <w:kern w:val="0"/>
                <w:sz w:val="24"/>
                <w:lang w:val="en-US" w:eastAsia="zh-CN"/>
              </w:rPr>
              <w:t>云南省玉溪市新平县戛洒镇米尺莫村委会哈母白租村民小组</w:t>
            </w:r>
            <w:r>
              <w:rPr>
                <w:rFonts w:hint="default" w:ascii="Times New Roman" w:hAnsi="Times New Roman" w:eastAsia="宋体" w:cs="Times New Roman"/>
                <w:color w:val="auto"/>
                <w:kern w:val="0"/>
                <w:sz w:val="24"/>
              </w:rPr>
              <w:t>，所在区域空气环境为二类功能区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执行《环境空气质量标准》（GB3095-2026）中的二级标准限值（2026年3月1日起至2030年12月31日，执行过渡阶段浓度限值；2031年1月1日起执行基本项目浓度限值）。</w:t>
            </w:r>
          </w:p>
          <w:p w14:paraId="3F637F91">
            <w:pPr>
              <w:adjustRightInd w:val="0"/>
              <w:snapToGrid w:val="0"/>
              <w:spacing w:line="360" w:lineRule="auto"/>
              <w:ind w:firstLine="420" w:firstLineChars="20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  环境空气污染物浓度限值</w:t>
            </w:r>
          </w:p>
          <w:tbl>
            <w:tblPr>
              <w:tblStyle w:val="36"/>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843"/>
              <w:gridCol w:w="827"/>
              <w:gridCol w:w="693"/>
              <w:gridCol w:w="684"/>
              <w:gridCol w:w="683"/>
              <w:gridCol w:w="977"/>
              <w:gridCol w:w="819"/>
              <w:gridCol w:w="1634"/>
            </w:tblGrid>
            <w:tr w14:paraId="07F0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31D80DC9">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序号</w:t>
                  </w:r>
                </w:p>
              </w:tc>
              <w:tc>
                <w:tcPr>
                  <w:tcW w:w="559" w:type="pct"/>
                  <w:vMerge w:val="restart"/>
                  <w:noWrap w:val="0"/>
                  <w:vAlign w:val="center"/>
                </w:tcPr>
                <w:p w14:paraId="39DACACE">
                  <w:pPr>
                    <w:pStyle w:val="107"/>
                    <w:widowControl w:val="0"/>
                    <w:wordWrap/>
                    <w:adjustRightInd/>
                    <w:snapToGrid/>
                    <w:spacing w:line="280" w:lineRule="exact"/>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污染物</w:t>
                  </w:r>
                  <w:r>
                    <w:rPr>
                      <w:rFonts w:hint="eastAsia" w:ascii="Times New Roman" w:hAnsi="Times New Roman" w:eastAsia="宋体" w:cs="Times New Roman"/>
                      <w:color w:val="auto"/>
                      <w:kern w:val="2"/>
                      <w:sz w:val="18"/>
                      <w:szCs w:val="18"/>
                      <w:highlight w:val="none"/>
                      <w:lang w:val="en-US" w:eastAsia="zh-CN" w:bidi="ar-SA"/>
                    </w:rPr>
                    <w:t>项目</w:t>
                  </w:r>
                </w:p>
              </w:tc>
              <w:tc>
                <w:tcPr>
                  <w:tcW w:w="548" w:type="pct"/>
                  <w:vMerge w:val="restart"/>
                  <w:noWrap w:val="0"/>
                  <w:vAlign w:val="center"/>
                </w:tcPr>
                <w:p w14:paraId="520BF629">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平均时间</w:t>
                  </w:r>
                </w:p>
              </w:tc>
              <w:tc>
                <w:tcPr>
                  <w:tcW w:w="913" w:type="pct"/>
                  <w:gridSpan w:val="2"/>
                  <w:noWrap w:val="0"/>
                  <w:vAlign w:val="center"/>
                </w:tcPr>
                <w:p w14:paraId="44BB2B7D">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过渡阶段</w:t>
                  </w:r>
                  <w:r>
                    <w:rPr>
                      <w:rFonts w:hint="default" w:ascii="Times New Roman" w:hAnsi="Times New Roman" w:eastAsia="宋体" w:cs="Times New Roman"/>
                      <w:color w:val="auto"/>
                      <w:kern w:val="2"/>
                      <w:sz w:val="18"/>
                      <w:szCs w:val="18"/>
                      <w:highlight w:val="none"/>
                      <w:lang w:val="en-US" w:eastAsia="zh-CN" w:bidi="ar-SA"/>
                    </w:rPr>
                    <w:t>浓度限值</w:t>
                  </w:r>
                </w:p>
              </w:tc>
              <w:tc>
                <w:tcPr>
                  <w:tcW w:w="1101" w:type="pct"/>
                  <w:gridSpan w:val="2"/>
                  <w:noWrap w:val="0"/>
                  <w:vAlign w:val="center"/>
                </w:tcPr>
                <w:p w14:paraId="49F0EE34">
                  <w:pPr>
                    <w:pStyle w:val="76"/>
                    <w:keepNext w:val="0"/>
                    <w:widowControl w:val="0"/>
                    <w:tabs>
                      <w:tab w:val="left" w:pos="420"/>
                    </w:tabs>
                    <w:wordWrap/>
                    <w:adjustRightInd w:val="0"/>
                    <w:snapToGrid w:val="0"/>
                    <w:spacing w:line="240" w:lineRule="auto"/>
                    <w:ind w:left="200" w:hanging="360" w:hangingChars="200"/>
                    <w:textAlignment w:val="center"/>
                    <w:rPr>
                      <w:rFonts w:hint="eastAsia"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bidi="ar-SA"/>
                    </w:rPr>
                    <w:t>浓度限值</w:t>
                  </w:r>
                </w:p>
              </w:tc>
              <w:tc>
                <w:tcPr>
                  <w:tcW w:w="543" w:type="pct"/>
                  <w:vMerge w:val="restart"/>
                  <w:noWrap w:val="0"/>
                  <w:vAlign w:val="center"/>
                </w:tcPr>
                <w:p w14:paraId="7EFC776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单位</w:t>
                  </w:r>
                </w:p>
              </w:tc>
              <w:tc>
                <w:tcPr>
                  <w:tcW w:w="1084" w:type="pct"/>
                  <w:vMerge w:val="restart"/>
                  <w:tcBorders>
                    <w:right w:val="nil"/>
                  </w:tcBorders>
                  <w:noWrap w:val="0"/>
                  <w:vAlign w:val="center"/>
                </w:tcPr>
                <w:p w14:paraId="0086807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标准</w:t>
                  </w:r>
                </w:p>
              </w:tc>
            </w:tr>
            <w:tr w14:paraId="7539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0AB31E2C">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p>
              </w:tc>
              <w:tc>
                <w:tcPr>
                  <w:tcW w:w="559" w:type="pct"/>
                  <w:vMerge w:val="continue"/>
                  <w:noWrap w:val="0"/>
                  <w:vAlign w:val="center"/>
                </w:tcPr>
                <w:p w14:paraId="0A685DF3">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p>
              </w:tc>
              <w:tc>
                <w:tcPr>
                  <w:tcW w:w="548" w:type="pct"/>
                  <w:vMerge w:val="continue"/>
                  <w:noWrap w:val="0"/>
                  <w:vAlign w:val="center"/>
                </w:tcPr>
                <w:p w14:paraId="3CB5D701">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p>
              </w:tc>
              <w:tc>
                <w:tcPr>
                  <w:tcW w:w="459" w:type="pct"/>
                  <w:noWrap w:val="0"/>
                  <w:vAlign w:val="center"/>
                </w:tcPr>
                <w:p w14:paraId="4350D0A7">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一级标准</w:t>
                  </w:r>
                </w:p>
              </w:tc>
              <w:tc>
                <w:tcPr>
                  <w:tcW w:w="453" w:type="pct"/>
                  <w:noWrap w:val="0"/>
                  <w:vAlign w:val="center"/>
                </w:tcPr>
                <w:p w14:paraId="664F88B0">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二级标准</w:t>
                  </w:r>
                </w:p>
              </w:tc>
              <w:tc>
                <w:tcPr>
                  <w:tcW w:w="453" w:type="pct"/>
                  <w:noWrap w:val="0"/>
                  <w:vAlign w:val="center"/>
                </w:tcPr>
                <w:p w14:paraId="1EA7141E">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一级标准</w:t>
                  </w:r>
                </w:p>
              </w:tc>
              <w:tc>
                <w:tcPr>
                  <w:tcW w:w="648" w:type="pct"/>
                  <w:noWrap w:val="0"/>
                  <w:vAlign w:val="center"/>
                </w:tcPr>
                <w:p w14:paraId="757B655C">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二级标准</w:t>
                  </w:r>
                </w:p>
              </w:tc>
              <w:tc>
                <w:tcPr>
                  <w:tcW w:w="543" w:type="pct"/>
                  <w:vMerge w:val="continue"/>
                  <w:noWrap w:val="0"/>
                  <w:vAlign w:val="center"/>
                </w:tcPr>
                <w:p w14:paraId="7152A70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47072C1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4C1F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5270FCC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w:t>
                  </w:r>
                </w:p>
              </w:tc>
              <w:tc>
                <w:tcPr>
                  <w:tcW w:w="559" w:type="pct"/>
                  <w:vMerge w:val="restart"/>
                  <w:noWrap w:val="0"/>
                  <w:vAlign w:val="center"/>
                </w:tcPr>
                <w:p w14:paraId="52FCDD3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SO</w:t>
                  </w:r>
                  <w:r>
                    <w:rPr>
                      <w:rFonts w:hint="default" w:ascii="Times New Roman" w:hAnsi="Times New Roman" w:eastAsia="宋体" w:cs="Times New Roman"/>
                      <w:b w:val="0"/>
                      <w:bCs w:val="0"/>
                      <w:color w:val="auto"/>
                      <w:kern w:val="2"/>
                      <w:sz w:val="18"/>
                      <w:szCs w:val="18"/>
                      <w:highlight w:val="none"/>
                      <w:vertAlign w:val="subscript"/>
                      <w:lang w:val="en-US" w:bidi="ar-SA"/>
                    </w:rPr>
                    <w:t>2</w:t>
                  </w:r>
                </w:p>
              </w:tc>
              <w:tc>
                <w:tcPr>
                  <w:tcW w:w="548" w:type="pct"/>
                  <w:noWrap w:val="0"/>
                  <w:vAlign w:val="center"/>
                </w:tcPr>
                <w:p w14:paraId="18826B75">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w:t>
                  </w:r>
                </w:p>
              </w:tc>
              <w:tc>
                <w:tcPr>
                  <w:tcW w:w="459" w:type="pct"/>
                  <w:noWrap w:val="0"/>
                  <w:vAlign w:val="center"/>
                </w:tcPr>
                <w:p w14:paraId="04628EC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20</w:t>
                  </w:r>
                </w:p>
              </w:tc>
              <w:tc>
                <w:tcPr>
                  <w:tcW w:w="453" w:type="pct"/>
                  <w:noWrap w:val="0"/>
                  <w:vAlign w:val="center"/>
                </w:tcPr>
                <w:p w14:paraId="555C087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60</w:t>
                  </w:r>
                </w:p>
              </w:tc>
              <w:tc>
                <w:tcPr>
                  <w:tcW w:w="453" w:type="pct"/>
                  <w:noWrap w:val="0"/>
                  <w:vAlign w:val="center"/>
                </w:tcPr>
                <w:p w14:paraId="1760220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w:t>
                  </w:r>
                </w:p>
              </w:tc>
              <w:tc>
                <w:tcPr>
                  <w:tcW w:w="648" w:type="pct"/>
                  <w:noWrap w:val="0"/>
                  <w:vAlign w:val="center"/>
                </w:tcPr>
                <w:p w14:paraId="45CACCFF">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w:t>
                  </w:r>
                </w:p>
              </w:tc>
              <w:tc>
                <w:tcPr>
                  <w:tcW w:w="543" w:type="pct"/>
                  <w:vMerge w:val="restart"/>
                  <w:noWrap w:val="0"/>
                  <w:vAlign w:val="center"/>
                </w:tcPr>
                <w:p w14:paraId="012114A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μg/m</w:t>
                  </w:r>
                  <w:r>
                    <w:rPr>
                      <w:rFonts w:hint="default" w:ascii="Times New Roman" w:hAnsi="Times New Roman" w:eastAsia="宋体" w:cs="Times New Roman"/>
                      <w:b w:val="0"/>
                      <w:bCs w:val="0"/>
                      <w:color w:val="auto"/>
                      <w:kern w:val="2"/>
                      <w:sz w:val="18"/>
                      <w:szCs w:val="18"/>
                      <w:highlight w:val="none"/>
                      <w:vertAlign w:val="superscript"/>
                      <w:lang w:val="en-US" w:bidi="ar-SA"/>
                    </w:rPr>
                    <w:t>3</w:t>
                  </w:r>
                </w:p>
              </w:tc>
              <w:tc>
                <w:tcPr>
                  <w:tcW w:w="1084" w:type="pct"/>
                  <w:vMerge w:val="restart"/>
                  <w:tcBorders>
                    <w:right w:val="nil"/>
                  </w:tcBorders>
                  <w:noWrap w:val="0"/>
                  <w:vAlign w:val="center"/>
                </w:tcPr>
                <w:p w14:paraId="080A21F6">
                  <w:pPr>
                    <w:jc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color w:val="auto"/>
                      <w:sz w:val="18"/>
                      <w:szCs w:val="18"/>
                      <w:lang w:val="en-US" w:eastAsia="zh-CN"/>
                    </w:rPr>
                    <w:t>《环境空气质量标准》（GB3095-20</w:t>
                  </w:r>
                  <w:r>
                    <w:rPr>
                      <w:rFonts w:hint="eastAsia" w:ascii="Times New Roman" w:hAnsi="Times New Roman" w:eastAsia="宋体" w:cs="Times New Roman"/>
                      <w:color w:val="auto"/>
                      <w:sz w:val="18"/>
                      <w:szCs w:val="18"/>
                      <w:lang w:val="en-US" w:eastAsia="zh-CN"/>
                    </w:rPr>
                    <w:t>26</w:t>
                  </w:r>
                  <w:r>
                    <w:rPr>
                      <w:rFonts w:hint="default" w:ascii="Times New Roman" w:hAnsi="Times New Roman" w:eastAsia="宋体" w:cs="Times New Roman"/>
                      <w:color w:val="auto"/>
                      <w:sz w:val="18"/>
                      <w:szCs w:val="18"/>
                      <w:lang w:val="en-US" w:eastAsia="zh-CN"/>
                    </w:rPr>
                    <w:t>）</w:t>
                  </w:r>
                </w:p>
              </w:tc>
            </w:tr>
            <w:tr w14:paraId="3A89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11E9B20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1BD2F32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483F70D3">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0EC0669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50</w:t>
                  </w:r>
                </w:p>
              </w:tc>
              <w:tc>
                <w:tcPr>
                  <w:tcW w:w="453" w:type="pct"/>
                  <w:noWrap w:val="0"/>
                  <w:vAlign w:val="center"/>
                </w:tcPr>
                <w:p w14:paraId="7BF8BC9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150</w:t>
                  </w:r>
                </w:p>
              </w:tc>
              <w:tc>
                <w:tcPr>
                  <w:tcW w:w="453" w:type="pct"/>
                  <w:noWrap w:val="0"/>
                  <w:vAlign w:val="center"/>
                </w:tcPr>
                <w:p w14:paraId="39F7431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648" w:type="pct"/>
                  <w:noWrap w:val="0"/>
                  <w:vAlign w:val="center"/>
                </w:tcPr>
                <w:p w14:paraId="5C67FB80">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543" w:type="pct"/>
                  <w:vMerge w:val="continue"/>
                  <w:noWrap w:val="0"/>
                  <w:vAlign w:val="center"/>
                </w:tcPr>
                <w:p w14:paraId="7957BE56">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317D7AA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7C33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3873DB6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2E348B7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212CA0A3">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1小时平均</w:t>
                  </w:r>
                </w:p>
              </w:tc>
              <w:tc>
                <w:tcPr>
                  <w:tcW w:w="459" w:type="pct"/>
                  <w:noWrap w:val="0"/>
                  <w:vAlign w:val="center"/>
                </w:tcPr>
                <w:p w14:paraId="6187242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150</w:t>
                  </w:r>
                </w:p>
              </w:tc>
              <w:tc>
                <w:tcPr>
                  <w:tcW w:w="453" w:type="pct"/>
                  <w:noWrap w:val="0"/>
                  <w:vAlign w:val="center"/>
                </w:tcPr>
                <w:p w14:paraId="2007D62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500</w:t>
                  </w:r>
                </w:p>
              </w:tc>
              <w:tc>
                <w:tcPr>
                  <w:tcW w:w="453" w:type="pct"/>
                  <w:noWrap w:val="0"/>
                  <w:vAlign w:val="center"/>
                </w:tcPr>
                <w:p w14:paraId="58A69096">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150</w:t>
                  </w:r>
                </w:p>
              </w:tc>
              <w:tc>
                <w:tcPr>
                  <w:tcW w:w="648" w:type="pct"/>
                  <w:noWrap w:val="0"/>
                  <w:vAlign w:val="center"/>
                </w:tcPr>
                <w:p w14:paraId="47C6261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150</w:t>
                  </w:r>
                </w:p>
              </w:tc>
              <w:tc>
                <w:tcPr>
                  <w:tcW w:w="543" w:type="pct"/>
                  <w:vMerge w:val="continue"/>
                  <w:noWrap w:val="0"/>
                  <w:vAlign w:val="center"/>
                </w:tcPr>
                <w:p w14:paraId="4DE5464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3A2100D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12E0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7E61D99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w:t>
                  </w:r>
                </w:p>
              </w:tc>
              <w:tc>
                <w:tcPr>
                  <w:tcW w:w="559" w:type="pct"/>
                  <w:vMerge w:val="restart"/>
                  <w:noWrap w:val="0"/>
                  <w:vAlign w:val="center"/>
                </w:tcPr>
                <w:p w14:paraId="3A40EC6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NO</w:t>
                  </w:r>
                  <w:r>
                    <w:rPr>
                      <w:rFonts w:hint="default" w:ascii="Times New Roman" w:hAnsi="Times New Roman" w:eastAsia="宋体" w:cs="Times New Roman"/>
                      <w:b w:val="0"/>
                      <w:bCs w:val="0"/>
                      <w:color w:val="auto"/>
                      <w:kern w:val="2"/>
                      <w:sz w:val="18"/>
                      <w:szCs w:val="18"/>
                      <w:highlight w:val="none"/>
                      <w:vertAlign w:val="subscript"/>
                      <w:lang w:val="en-US" w:bidi="ar-SA"/>
                    </w:rPr>
                    <w:t>2</w:t>
                  </w:r>
                </w:p>
              </w:tc>
              <w:tc>
                <w:tcPr>
                  <w:tcW w:w="548" w:type="pct"/>
                  <w:noWrap w:val="0"/>
                  <w:vAlign w:val="center"/>
                </w:tcPr>
                <w:p w14:paraId="537E4C03">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w:t>
                  </w:r>
                </w:p>
              </w:tc>
              <w:tc>
                <w:tcPr>
                  <w:tcW w:w="459" w:type="pct"/>
                  <w:noWrap w:val="0"/>
                  <w:vAlign w:val="center"/>
                </w:tcPr>
                <w:p w14:paraId="29D281F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40</w:t>
                  </w:r>
                </w:p>
              </w:tc>
              <w:tc>
                <w:tcPr>
                  <w:tcW w:w="453" w:type="pct"/>
                  <w:noWrap w:val="0"/>
                  <w:vAlign w:val="center"/>
                </w:tcPr>
                <w:p w14:paraId="34DA030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40</w:t>
                  </w:r>
                </w:p>
              </w:tc>
              <w:tc>
                <w:tcPr>
                  <w:tcW w:w="453" w:type="pct"/>
                  <w:noWrap w:val="0"/>
                  <w:vAlign w:val="center"/>
                </w:tcPr>
                <w:p w14:paraId="292EF91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30</w:t>
                  </w:r>
                </w:p>
              </w:tc>
              <w:tc>
                <w:tcPr>
                  <w:tcW w:w="648" w:type="pct"/>
                  <w:noWrap w:val="0"/>
                  <w:vAlign w:val="center"/>
                </w:tcPr>
                <w:p w14:paraId="73AD1B7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30</w:t>
                  </w:r>
                </w:p>
              </w:tc>
              <w:tc>
                <w:tcPr>
                  <w:tcW w:w="543" w:type="pct"/>
                  <w:vMerge w:val="continue"/>
                  <w:noWrap w:val="0"/>
                  <w:vAlign w:val="center"/>
                </w:tcPr>
                <w:p w14:paraId="10F92AF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3BD2918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4AB4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53E94DE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434713A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751A5C6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75B58C7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80</w:t>
                  </w:r>
                </w:p>
              </w:tc>
              <w:tc>
                <w:tcPr>
                  <w:tcW w:w="453" w:type="pct"/>
                  <w:noWrap w:val="0"/>
                  <w:vAlign w:val="center"/>
                </w:tcPr>
                <w:p w14:paraId="0D147E7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80</w:t>
                  </w:r>
                </w:p>
              </w:tc>
              <w:tc>
                <w:tcPr>
                  <w:tcW w:w="453" w:type="pct"/>
                  <w:noWrap w:val="0"/>
                  <w:vAlign w:val="center"/>
                </w:tcPr>
                <w:p w14:paraId="544B3AC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648" w:type="pct"/>
                  <w:noWrap w:val="0"/>
                  <w:vAlign w:val="center"/>
                </w:tcPr>
                <w:p w14:paraId="238D6D3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543" w:type="pct"/>
                  <w:vMerge w:val="continue"/>
                  <w:noWrap w:val="0"/>
                  <w:vAlign w:val="center"/>
                </w:tcPr>
                <w:p w14:paraId="2F3FCAB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56AB956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1B8B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323711B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12C77846">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786CE351">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1小时平均</w:t>
                  </w:r>
                </w:p>
              </w:tc>
              <w:tc>
                <w:tcPr>
                  <w:tcW w:w="459" w:type="pct"/>
                  <w:noWrap w:val="0"/>
                  <w:vAlign w:val="center"/>
                </w:tcPr>
                <w:p w14:paraId="1AAD26E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200</w:t>
                  </w:r>
                </w:p>
              </w:tc>
              <w:tc>
                <w:tcPr>
                  <w:tcW w:w="453" w:type="pct"/>
                  <w:noWrap w:val="0"/>
                  <w:vAlign w:val="center"/>
                </w:tcPr>
                <w:p w14:paraId="6087A9D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200</w:t>
                  </w:r>
                </w:p>
              </w:tc>
              <w:tc>
                <w:tcPr>
                  <w:tcW w:w="453" w:type="pct"/>
                  <w:noWrap w:val="0"/>
                  <w:vAlign w:val="center"/>
                </w:tcPr>
                <w:p w14:paraId="02F51E5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200</w:t>
                  </w:r>
                </w:p>
              </w:tc>
              <w:tc>
                <w:tcPr>
                  <w:tcW w:w="648" w:type="pct"/>
                  <w:noWrap w:val="0"/>
                  <w:vAlign w:val="center"/>
                </w:tcPr>
                <w:p w14:paraId="6DBBAC4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200</w:t>
                  </w:r>
                </w:p>
              </w:tc>
              <w:tc>
                <w:tcPr>
                  <w:tcW w:w="543" w:type="pct"/>
                  <w:vMerge w:val="continue"/>
                  <w:noWrap w:val="0"/>
                  <w:vAlign w:val="center"/>
                </w:tcPr>
                <w:p w14:paraId="1672689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2F1B277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20C2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0AE9546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3</w:t>
                  </w:r>
                </w:p>
              </w:tc>
              <w:tc>
                <w:tcPr>
                  <w:tcW w:w="559" w:type="pct"/>
                  <w:vMerge w:val="restart"/>
                  <w:noWrap w:val="0"/>
                  <w:vAlign w:val="center"/>
                </w:tcPr>
                <w:p w14:paraId="31818C0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NO</w:t>
                  </w:r>
                  <w:r>
                    <w:rPr>
                      <w:rFonts w:hint="default" w:ascii="Times New Roman" w:hAnsi="Times New Roman" w:eastAsia="宋体" w:cs="Times New Roman"/>
                      <w:b w:val="0"/>
                      <w:bCs w:val="0"/>
                      <w:color w:val="auto"/>
                      <w:kern w:val="2"/>
                      <w:sz w:val="18"/>
                      <w:szCs w:val="18"/>
                      <w:highlight w:val="none"/>
                      <w:vertAlign w:val="subscript"/>
                      <w:lang w:val="en-US" w:bidi="ar-SA"/>
                    </w:rPr>
                    <w:t>X</w:t>
                  </w:r>
                </w:p>
              </w:tc>
              <w:tc>
                <w:tcPr>
                  <w:tcW w:w="548" w:type="pct"/>
                  <w:noWrap w:val="0"/>
                  <w:vAlign w:val="center"/>
                </w:tcPr>
                <w:p w14:paraId="1F470E1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w:t>
                  </w:r>
                </w:p>
              </w:tc>
              <w:tc>
                <w:tcPr>
                  <w:tcW w:w="459" w:type="pct"/>
                  <w:noWrap w:val="0"/>
                  <w:vAlign w:val="center"/>
                </w:tcPr>
                <w:p w14:paraId="1F35A1A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50</w:t>
                  </w:r>
                </w:p>
              </w:tc>
              <w:tc>
                <w:tcPr>
                  <w:tcW w:w="453" w:type="pct"/>
                  <w:noWrap w:val="0"/>
                  <w:vAlign w:val="center"/>
                </w:tcPr>
                <w:p w14:paraId="7B4775F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50</w:t>
                  </w:r>
                </w:p>
              </w:tc>
              <w:tc>
                <w:tcPr>
                  <w:tcW w:w="453" w:type="pct"/>
                  <w:noWrap w:val="0"/>
                  <w:vAlign w:val="center"/>
                </w:tcPr>
                <w:p w14:paraId="1712A38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40</w:t>
                  </w:r>
                </w:p>
              </w:tc>
              <w:tc>
                <w:tcPr>
                  <w:tcW w:w="648" w:type="pct"/>
                  <w:noWrap w:val="0"/>
                  <w:vAlign w:val="center"/>
                </w:tcPr>
                <w:p w14:paraId="5CC594D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40</w:t>
                  </w:r>
                </w:p>
              </w:tc>
              <w:tc>
                <w:tcPr>
                  <w:tcW w:w="543" w:type="pct"/>
                  <w:vMerge w:val="continue"/>
                  <w:noWrap w:val="0"/>
                  <w:vAlign w:val="center"/>
                </w:tcPr>
                <w:p w14:paraId="1169C31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3EAFAD5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4081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24EE942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328C467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21B9377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65435D8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100</w:t>
                  </w:r>
                </w:p>
              </w:tc>
              <w:tc>
                <w:tcPr>
                  <w:tcW w:w="453" w:type="pct"/>
                  <w:noWrap w:val="0"/>
                  <w:vAlign w:val="center"/>
                </w:tcPr>
                <w:p w14:paraId="4E28981F">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100</w:t>
                  </w:r>
                </w:p>
              </w:tc>
              <w:tc>
                <w:tcPr>
                  <w:tcW w:w="453" w:type="pct"/>
                  <w:noWrap w:val="0"/>
                  <w:vAlign w:val="center"/>
                </w:tcPr>
                <w:p w14:paraId="6584B7A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70</w:t>
                  </w:r>
                </w:p>
              </w:tc>
              <w:tc>
                <w:tcPr>
                  <w:tcW w:w="648" w:type="pct"/>
                  <w:noWrap w:val="0"/>
                  <w:vAlign w:val="center"/>
                </w:tcPr>
                <w:p w14:paraId="1CB9A59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70</w:t>
                  </w:r>
                </w:p>
              </w:tc>
              <w:tc>
                <w:tcPr>
                  <w:tcW w:w="543" w:type="pct"/>
                  <w:vMerge w:val="continue"/>
                  <w:noWrap w:val="0"/>
                  <w:vAlign w:val="center"/>
                </w:tcPr>
                <w:p w14:paraId="6633D786">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4416E09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1961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3305C64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21A7F046">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510EDAB3">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1小时平均</w:t>
                  </w:r>
                </w:p>
              </w:tc>
              <w:tc>
                <w:tcPr>
                  <w:tcW w:w="459" w:type="pct"/>
                  <w:noWrap w:val="0"/>
                  <w:vAlign w:val="center"/>
                </w:tcPr>
                <w:p w14:paraId="2A953D7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250</w:t>
                  </w:r>
                </w:p>
              </w:tc>
              <w:tc>
                <w:tcPr>
                  <w:tcW w:w="453" w:type="pct"/>
                  <w:noWrap w:val="0"/>
                  <w:vAlign w:val="center"/>
                </w:tcPr>
                <w:p w14:paraId="0EE348F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250</w:t>
                  </w:r>
                </w:p>
              </w:tc>
              <w:tc>
                <w:tcPr>
                  <w:tcW w:w="453" w:type="pct"/>
                  <w:noWrap w:val="0"/>
                  <w:vAlign w:val="center"/>
                </w:tcPr>
                <w:p w14:paraId="26B50B0F">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250</w:t>
                  </w:r>
                </w:p>
              </w:tc>
              <w:tc>
                <w:tcPr>
                  <w:tcW w:w="648" w:type="pct"/>
                  <w:noWrap w:val="0"/>
                  <w:vAlign w:val="center"/>
                </w:tcPr>
                <w:p w14:paraId="15D5CA16">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250</w:t>
                  </w:r>
                </w:p>
              </w:tc>
              <w:tc>
                <w:tcPr>
                  <w:tcW w:w="543" w:type="pct"/>
                  <w:vMerge w:val="continue"/>
                  <w:noWrap w:val="0"/>
                  <w:vAlign w:val="center"/>
                </w:tcPr>
                <w:p w14:paraId="56D939D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2B13874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40E1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66FD5EE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4</w:t>
                  </w:r>
                </w:p>
              </w:tc>
              <w:tc>
                <w:tcPr>
                  <w:tcW w:w="559" w:type="pct"/>
                  <w:vMerge w:val="restart"/>
                  <w:noWrap w:val="0"/>
                  <w:vAlign w:val="center"/>
                </w:tcPr>
                <w:p w14:paraId="256E4CE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TSP</w:t>
                  </w:r>
                </w:p>
              </w:tc>
              <w:tc>
                <w:tcPr>
                  <w:tcW w:w="548" w:type="pct"/>
                  <w:noWrap w:val="0"/>
                  <w:vAlign w:val="center"/>
                </w:tcPr>
                <w:p w14:paraId="450846E9">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w:t>
                  </w:r>
                </w:p>
              </w:tc>
              <w:tc>
                <w:tcPr>
                  <w:tcW w:w="459" w:type="pct"/>
                  <w:noWrap w:val="0"/>
                  <w:vAlign w:val="center"/>
                </w:tcPr>
                <w:p w14:paraId="3952F4E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80</w:t>
                  </w:r>
                </w:p>
              </w:tc>
              <w:tc>
                <w:tcPr>
                  <w:tcW w:w="453" w:type="pct"/>
                  <w:noWrap w:val="0"/>
                  <w:vAlign w:val="center"/>
                </w:tcPr>
                <w:p w14:paraId="46838D5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200</w:t>
                  </w:r>
                </w:p>
              </w:tc>
              <w:tc>
                <w:tcPr>
                  <w:tcW w:w="453" w:type="pct"/>
                  <w:noWrap w:val="0"/>
                  <w:vAlign w:val="center"/>
                </w:tcPr>
                <w:p w14:paraId="6B559CB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80</w:t>
                  </w:r>
                </w:p>
              </w:tc>
              <w:tc>
                <w:tcPr>
                  <w:tcW w:w="648" w:type="pct"/>
                  <w:noWrap w:val="0"/>
                  <w:vAlign w:val="center"/>
                </w:tcPr>
                <w:p w14:paraId="0D25357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200</w:t>
                  </w:r>
                </w:p>
              </w:tc>
              <w:tc>
                <w:tcPr>
                  <w:tcW w:w="543" w:type="pct"/>
                  <w:vMerge w:val="continue"/>
                  <w:noWrap w:val="0"/>
                  <w:vAlign w:val="center"/>
                </w:tcPr>
                <w:p w14:paraId="054D11B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11823D8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2DB6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41A1C9A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66B3C8F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220E1D20">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57F211A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120</w:t>
                  </w:r>
                </w:p>
              </w:tc>
              <w:tc>
                <w:tcPr>
                  <w:tcW w:w="453" w:type="pct"/>
                  <w:noWrap w:val="0"/>
                  <w:vAlign w:val="center"/>
                </w:tcPr>
                <w:p w14:paraId="6BA3B07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300</w:t>
                  </w:r>
                </w:p>
              </w:tc>
              <w:tc>
                <w:tcPr>
                  <w:tcW w:w="453" w:type="pct"/>
                  <w:noWrap w:val="0"/>
                  <w:vAlign w:val="center"/>
                </w:tcPr>
                <w:p w14:paraId="0F77083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120</w:t>
                  </w:r>
                </w:p>
              </w:tc>
              <w:tc>
                <w:tcPr>
                  <w:tcW w:w="648" w:type="pct"/>
                  <w:noWrap w:val="0"/>
                  <w:vAlign w:val="center"/>
                </w:tcPr>
                <w:p w14:paraId="22B14B7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300</w:t>
                  </w:r>
                </w:p>
              </w:tc>
              <w:tc>
                <w:tcPr>
                  <w:tcW w:w="543" w:type="pct"/>
                  <w:vMerge w:val="continue"/>
                  <w:noWrap w:val="0"/>
                  <w:vAlign w:val="center"/>
                </w:tcPr>
                <w:p w14:paraId="710086B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0FDFCBB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335A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53324B8F">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5</w:t>
                  </w:r>
                </w:p>
              </w:tc>
              <w:tc>
                <w:tcPr>
                  <w:tcW w:w="559" w:type="pct"/>
                  <w:vMerge w:val="restart"/>
                  <w:noWrap w:val="0"/>
                  <w:vAlign w:val="center"/>
                </w:tcPr>
                <w:p w14:paraId="6E25829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PM</w:t>
                  </w:r>
                  <w:r>
                    <w:rPr>
                      <w:rFonts w:hint="default" w:ascii="Times New Roman" w:hAnsi="Times New Roman" w:eastAsia="宋体" w:cs="Times New Roman"/>
                      <w:b w:val="0"/>
                      <w:bCs w:val="0"/>
                      <w:color w:val="auto"/>
                      <w:kern w:val="2"/>
                      <w:sz w:val="18"/>
                      <w:szCs w:val="18"/>
                      <w:highlight w:val="none"/>
                      <w:vertAlign w:val="subscript"/>
                      <w:lang w:val="en-US" w:bidi="ar-SA"/>
                    </w:rPr>
                    <w:t>10</w:t>
                  </w:r>
                </w:p>
              </w:tc>
              <w:tc>
                <w:tcPr>
                  <w:tcW w:w="548" w:type="pct"/>
                  <w:noWrap w:val="0"/>
                  <w:vAlign w:val="center"/>
                </w:tcPr>
                <w:p w14:paraId="2B5F287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w:t>
                  </w:r>
                </w:p>
              </w:tc>
              <w:tc>
                <w:tcPr>
                  <w:tcW w:w="459" w:type="pct"/>
                  <w:noWrap w:val="0"/>
                  <w:vAlign w:val="center"/>
                </w:tcPr>
                <w:p w14:paraId="6A7393E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40</w:t>
                  </w:r>
                </w:p>
              </w:tc>
              <w:tc>
                <w:tcPr>
                  <w:tcW w:w="453" w:type="pct"/>
                  <w:noWrap w:val="0"/>
                  <w:vAlign w:val="center"/>
                </w:tcPr>
                <w:p w14:paraId="6375448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eastAsia" w:ascii="Times New Roman" w:hAnsi="Times New Roman" w:eastAsia="宋体" w:cs="Times New Roman"/>
                      <w:b w:val="0"/>
                      <w:bCs w:val="0"/>
                      <w:color w:val="auto"/>
                      <w:kern w:val="2"/>
                      <w:sz w:val="18"/>
                      <w:szCs w:val="18"/>
                      <w:highlight w:val="none"/>
                      <w:lang w:val="en-US" w:eastAsia="zh-CN" w:bidi="ar-SA"/>
                    </w:rPr>
                    <w:t>6</w:t>
                  </w:r>
                  <w:r>
                    <w:rPr>
                      <w:rFonts w:hint="default" w:ascii="Times New Roman" w:hAnsi="Times New Roman" w:eastAsia="宋体" w:cs="Times New Roman"/>
                      <w:b w:val="0"/>
                      <w:bCs w:val="0"/>
                      <w:color w:val="auto"/>
                      <w:kern w:val="2"/>
                      <w:sz w:val="18"/>
                      <w:szCs w:val="18"/>
                      <w:highlight w:val="none"/>
                      <w:lang w:val="en-US" w:bidi="ar-SA"/>
                    </w:rPr>
                    <w:t>0</w:t>
                  </w:r>
                </w:p>
              </w:tc>
              <w:tc>
                <w:tcPr>
                  <w:tcW w:w="453" w:type="pct"/>
                  <w:noWrap w:val="0"/>
                  <w:vAlign w:val="center"/>
                </w:tcPr>
                <w:p w14:paraId="747D855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w:t>
                  </w:r>
                </w:p>
              </w:tc>
              <w:tc>
                <w:tcPr>
                  <w:tcW w:w="648" w:type="pct"/>
                  <w:noWrap w:val="0"/>
                  <w:vAlign w:val="center"/>
                </w:tcPr>
                <w:p w14:paraId="1C66372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543" w:type="pct"/>
                  <w:vMerge w:val="continue"/>
                  <w:noWrap w:val="0"/>
                  <w:vAlign w:val="center"/>
                </w:tcPr>
                <w:p w14:paraId="4309C85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2A47B6A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4F15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60450B50">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6046E50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748594BB">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2A9AAF8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50</w:t>
                  </w:r>
                </w:p>
              </w:tc>
              <w:tc>
                <w:tcPr>
                  <w:tcW w:w="453" w:type="pct"/>
                  <w:noWrap w:val="0"/>
                  <w:vAlign w:val="center"/>
                </w:tcPr>
                <w:p w14:paraId="5E7292F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120</w:t>
                  </w:r>
                </w:p>
              </w:tc>
              <w:tc>
                <w:tcPr>
                  <w:tcW w:w="453" w:type="pct"/>
                  <w:noWrap w:val="0"/>
                  <w:vAlign w:val="center"/>
                </w:tcPr>
                <w:p w14:paraId="31E6986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648" w:type="pct"/>
                  <w:noWrap w:val="0"/>
                  <w:vAlign w:val="center"/>
                </w:tcPr>
                <w:p w14:paraId="2574647F">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100</w:t>
                  </w:r>
                </w:p>
              </w:tc>
              <w:tc>
                <w:tcPr>
                  <w:tcW w:w="543" w:type="pct"/>
                  <w:vMerge w:val="continue"/>
                  <w:noWrap w:val="0"/>
                  <w:vAlign w:val="center"/>
                </w:tcPr>
                <w:p w14:paraId="055D1D5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2EFC580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73E0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4427102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6</w:t>
                  </w:r>
                </w:p>
              </w:tc>
              <w:tc>
                <w:tcPr>
                  <w:tcW w:w="559" w:type="pct"/>
                  <w:vMerge w:val="restart"/>
                  <w:noWrap w:val="0"/>
                  <w:vAlign w:val="center"/>
                </w:tcPr>
                <w:p w14:paraId="110A2D9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PM</w:t>
                  </w:r>
                  <w:r>
                    <w:rPr>
                      <w:rFonts w:hint="default" w:ascii="Times New Roman" w:hAnsi="Times New Roman" w:eastAsia="宋体" w:cs="Times New Roman"/>
                      <w:b w:val="0"/>
                      <w:bCs w:val="0"/>
                      <w:color w:val="auto"/>
                      <w:kern w:val="2"/>
                      <w:sz w:val="18"/>
                      <w:szCs w:val="18"/>
                      <w:highlight w:val="none"/>
                      <w:vertAlign w:val="subscript"/>
                      <w:lang w:val="en-US" w:bidi="ar-SA"/>
                    </w:rPr>
                    <w:t>2.5</w:t>
                  </w:r>
                </w:p>
              </w:tc>
              <w:tc>
                <w:tcPr>
                  <w:tcW w:w="548" w:type="pct"/>
                  <w:noWrap w:val="0"/>
                  <w:vAlign w:val="center"/>
                </w:tcPr>
                <w:p w14:paraId="60500646">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w:t>
                  </w:r>
                </w:p>
              </w:tc>
              <w:tc>
                <w:tcPr>
                  <w:tcW w:w="459" w:type="pct"/>
                  <w:noWrap w:val="0"/>
                  <w:vAlign w:val="center"/>
                </w:tcPr>
                <w:p w14:paraId="4308298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15</w:t>
                  </w:r>
                </w:p>
              </w:tc>
              <w:tc>
                <w:tcPr>
                  <w:tcW w:w="453" w:type="pct"/>
                  <w:noWrap w:val="0"/>
                  <w:vAlign w:val="center"/>
                </w:tcPr>
                <w:p w14:paraId="5932C0E8">
                  <w:pPr>
                    <w:pStyle w:val="76"/>
                    <w:keepNext w:val="0"/>
                    <w:widowControl w:val="0"/>
                    <w:tabs>
                      <w:tab w:val="left" w:pos="420"/>
                    </w:tabs>
                    <w:wordWrap/>
                    <w:adjustRightInd w:val="0"/>
                    <w:snapToGrid w:val="0"/>
                    <w:spacing w:line="240" w:lineRule="auto"/>
                    <w:ind w:left="200" w:hanging="360" w:hangingChars="200"/>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bidi="ar-SA"/>
                    </w:rPr>
                    <w:t>3</w:t>
                  </w:r>
                  <w:r>
                    <w:rPr>
                      <w:rFonts w:hint="eastAsia" w:ascii="Times New Roman" w:hAnsi="Times New Roman" w:eastAsia="宋体" w:cs="Times New Roman"/>
                      <w:b w:val="0"/>
                      <w:bCs w:val="0"/>
                      <w:color w:val="auto"/>
                      <w:kern w:val="2"/>
                      <w:sz w:val="18"/>
                      <w:szCs w:val="18"/>
                      <w:highlight w:val="none"/>
                      <w:lang w:val="en-US" w:eastAsia="zh-CN" w:bidi="ar-SA"/>
                    </w:rPr>
                    <w:t>0</w:t>
                  </w:r>
                </w:p>
              </w:tc>
              <w:tc>
                <w:tcPr>
                  <w:tcW w:w="453" w:type="pct"/>
                  <w:noWrap w:val="0"/>
                  <w:vAlign w:val="center"/>
                </w:tcPr>
                <w:p w14:paraId="758B221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10</w:t>
                  </w:r>
                </w:p>
              </w:tc>
              <w:tc>
                <w:tcPr>
                  <w:tcW w:w="648" w:type="pct"/>
                  <w:noWrap w:val="0"/>
                  <w:vAlign w:val="center"/>
                </w:tcPr>
                <w:p w14:paraId="7CB8793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25</w:t>
                  </w:r>
                </w:p>
              </w:tc>
              <w:tc>
                <w:tcPr>
                  <w:tcW w:w="543" w:type="pct"/>
                  <w:vMerge w:val="continue"/>
                  <w:noWrap w:val="0"/>
                  <w:vAlign w:val="center"/>
                </w:tcPr>
                <w:p w14:paraId="56EE63B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2C99E340">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3CA2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6EDCFE9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386B987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52BF7D9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1EDBEEF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35</w:t>
                  </w:r>
                </w:p>
              </w:tc>
              <w:tc>
                <w:tcPr>
                  <w:tcW w:w="453" w:type="pct"/>
                  <w:noWrap w:val="0"/>
                  <w:vAlign w:val="center"/>
                </w:tcPr>
                <w:p w14:paraId="6228F98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60</w:t>
                  </w:r>
                </w:p>
              </w:tc>
              <w:tc>
                <w:tcPr>
                  <w:tcW w:w="453" w:type="pct"/>
                  <w:noWrap w:val="0"/>
                  <w:vAlign w:val="center"/>
                </w:tcPr>
                <w:p w14:paraId="3B7BFCE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25</w:t>
                  </w:r>
                </w:p>
              </w:tc>
              <w:tc>
                <w:tcPr>
                  <w:tcW w:w="648" w:type="pct"/>
                  <w:noWrap w:val="0"/>
                  <w:vAlign w:val="center"/>
                </w:tcPr>
                <w:p w14:paraId="36987F4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50</w:t>
                  </w:r>
                </w:p>
              </w:tc>
              <w:tc>
                <w:tcPr>
                  <w:tcW w:w="543" w:type="pct"/>
                  <w:vMerge w:val="continue"/>
                  <w:noWrap w:val="0"/>
                  <w:vAlign w:val="center"/>
                </w:tcPr>
                <w:p w14:paraId="1DCC73B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1A40862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7FC5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3571706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7</w:t>
                  </w:r>
                </w:p>
              </w:tc>
              <w:tc>
                <w:tcPr>
                  <w:tcW w:w="559" w:type="pct"/>
                  <w:vMerge w:val="restart"/>
                  <w:noWrap w:val="0"/>
                  <w:vAlign w:val="center"/>
                </w:tcPr>
                <w:p w14:paraId="66453641">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CO</w:t>
                  </w:r>
                </w:p>
              </w:tc>
              <w:tc>
                <w:tcPr>
                  <w:tcW w:w="548" w:type="pct"/>
                  <w:noWrap w:val="0"/>
                  <w:vAlign w:val="center"/>
                </w:tcPr>
                <w:p w14:paraId="5170B85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日</w:t>
                  </w:r>
                  <w:r>
                    <w:rPr>
                      <w:rFonts w:hint="default" w:ascii="Times New Roman" w:hAnsi="Times New Roman" w:eastAsia="宋体" w:cs="Times New Roman"/>
                      <w:color w:val="auto"/>
                      <w:kern w:val="2"/>
                      <w:sz w:val="18"/>
                      <w:szCs w:val="18"/>
                      <w:highlight w:val="none"/>
                      <w:lang w:val="en-US" w:eastAsia="zh-CN" w:bidi="ar-SA"/>
                    </w:rPr>
                    <w:t>平均</w:t>
                  </w:r>
                </w:p>
              </w:tc>
              <w:tc>
                <w:tcPr>
                  <w:tcW w:w="459" w:type="pct"/>
                  <w:noWrap w:val="0"/>
                  <w:vAlign w:val="center"/>
                </w:tcPr>
                <w:p w14:paraId="22E8149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4</w:t>
                  </w:r>
                </w:p>
              </w:tc>
              <w:tc>
                <w:tcPr>
                  <w:tcW w:w="453" w:type="pct"/>
                  <w:noWrap w:val="0"/>
                  <w:vAlign w:val="center"/>
                </w:tcPr>
                <w:p w14:paraId="6859F73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4</w:t>
                  </w:r>
                </w:p>
              </w:tc>
              <w:tc>
                <w:tcPr>
                  <w:tcW w:w="453" w:type="pct"/>
                  <w:noWrap w:val="0"/>
                  <w:vAlign w:val="center"/>
                </w:tcPr>
                <w:p w14:paraId="6620BEB5">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4</w:t>
                  </w:r>
                </w:p>
              </w:tc>
              <w:tc>
                <w:tcPr>
                  <w:tcW w:w="648" w:type="pct"/>
                  <w:noWrap w:val="0"/>
                  <w:vAlign w:val="center"/>
                </w:tcPr>
                <w:p w14:paraId="32CBE85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4</w:t>
                  </w:r>
                </w:p>
              </w:tc>
              <w:tc>
                <w:tcPr>
                  <w:tcW w:w="543" w:type="pct"/>
                  <w:vMerge w:val="restart"/>
                  <w:noWrap w:val="0"/>
                  <w:vAlign w:val="center"/>
                </w:tcPr>
                <w:p w14:paraId="7C1F896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mg/m</w:t>
                  </w:r>
                  <w:r>
                    <w:rPr>
                      <w:rFonts w:hint="default" w:ascii="Times New Roman" w:hAnsi="Times New Roman" w:eastAsia="宋体" w:cs="Times New Roman"/>
                      <w:b w:val="0"/>
                      <w:bCs w:val="0"/>
                      <w:color w:val="auto"/>
                      <w:kern w:val="2"/>
                      <w:sz w:val="18"/>
                      <w:szCs w:val="18"/>
                      <w:highlight w:val="none"/>
                      <w:vertAlign w:val="superscript"/>
                      <w:lang w:val="en-US" w:eastAsia="zh-CN" w:bidi="ar-SA"/>
                    </w:rPr>
                    <w:t>3</w:t>
                  </w:r>
                </w:p>
              </w:tc>
              <w:tc>
                <w:tcPr>
                  <w:tcW w:w="1084" w:type="pct"/>
                  <w:vMerge w:val="continue"/>
                  <w:tcBorders>
                    <w:right w:val="nil"/>
                  </w:tcBorders>
                  <w:noWrap w:val="0"/>
                  <w:vAlign w:val="center"/>
                </w:tcPr>
                <w:p w14:paraId="08F2990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3DC2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0F6A94F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5C37BAD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1816268A">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1小时平均</w:t>
                  </w:r>
                </w:p>
              </w:tc>
              <w:tc>
                <w:tcPr>
                  <w:tcW w:w="459" w:type="pct"/>
                  <w:noWrap w:val="0"/>
                  <w:vAlign w:val="center"/>
                </w:tcPr>
                <w:p w14:paraId="450C8E7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10</w:t>
                  </w:r>
                </w:p>
              </w:tc>
              <w:tc>
                <w:tcPr>
                  <w:tcW w:w="453" w:type="pct"/>
                  <w:noWrap w:val="0"/>
                  <w:vAlign w:val="center"/>
                </w:tcPr>
                <w:p w14:paraId="00DD740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10</w:t>
                  </w:r>
                </w:p>
              </w:tc>
              <w:tc>
                <w:tcPr>
                  <w:tcW w:w="453" w:type="pct"/>
                  <w:noWrap w:val="0"/>
                  <w:vAlign w:val="center"/>
                </w:tcPr>
                <w:p w14:paraId="5292313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10</w:t>
                  </w:r>
                </w:p>
              </w:tc>
              <w:tc>
                <w:tcPr>
                  <w:tcW w:w="648" w:type="pct"/>
                  <w:noWrap w:val="0"/>
                  <w:vAlign w:val="center"/>
                </w:tcPr>
                <w:p w14:paraId="59773E2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10</w:t>
                  </w:r>
                </w:p>
              </w:tc>
              <w:tc>
                <w:tcPr>
                  <w:tcW w:w="543" w:type="pct"/>
                  <w:vMerge w:val="continue"/>
                  <w:noWrap w:val="0"/>
                  <w:vAlign w:val="center"/>
                </w:tcPr>
                <w:p w14:paraId="110BAA4F">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7722B20C">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0F8C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tcBorders>
                    <w:left w:val="nil"/>
                  </w:tcBorders>
                  <w:noWrap w:val="0"/>
                  <w:vAlign w:val="center"/>
                </w:tcPr>
                <w:p w14:paraId="53C3E42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8</w:t>
                  </w:r>
                </w:p>
              </w:tc>
              <w:tc>
                <w:tcPr>
                  <w:tcW w:w="559" w:type="pct"/>
                  <w:vMerge w:val="restart"/>
                  <w:noWrap w:val="0"/>
                  <w:vAlign w:val="center"/>
                </w:tcPr>
                <w:p w14:paraId="12766884">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O</w:t>
                  </w:r>
                  <w:r>
                    <w:rPr>
                      <w:rFonts w:hint="default" w:ascii="Times New Roman" w:hAnsi="Times New Roman" w:eastAsia="宋体" w:cs="Times New Roman"/>
                      <w:b w:val="0"/>
                      <w:bCs w:val="0"/>
                      <w:color w:val="auto"/>
                      <w:kern w:val="2"/>
                      <w:sz w:val="18"/>
                      <w:szCs w:val="18"/>
                      <w:highlight w:val="none"/>
                      <w:vertAlign w:val="subscript"/>
                      <w:lang w:val="en-US" w:bidi="ar-SA"/>
                    </w:rPr>
                    <w:t>3</w:t>
                  </w:r>
                </w:p>
              </w:tc>
              <w:tc>
                <w:tcPr>
                  <w:tcW w:w="548" w:type="pct"/>
                  <w:noWrap w:val="0"/>
                  <w:vAlign w:val="center"/>
                </w:tcPr>
                <w:p w14:paraId="2D5BD6A1">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日最大8小时平均</w:t>
                  </w:r>
                </w:p>
              </w:tc>
              <w:tc>
                <w:tcPr>
                  <w:tcW w:w="459" w:type="pct"/>
                  <w:noWrap w:val="0"/>
                  <w:vAlign w:val="center"/>
                </w:tcPr>
                <w:p w14:paraId="1607454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100</w:t>
                  </w:r>
                </w:p>
              </w:tc>
              <w:tc>
                <w:tcPr>
                  <w:tcW w:w="453" w:type="pct"/>
                  <w:noWrap w:val="0"/>
                  <w:vAlign w:val="center"/>
                </w:tcPr>
                <w:p w14:paraId="474CB38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160</w:t>
                  </w:r>
                </w:p>
              </w:tc>
              <w:tc>
                <w:tcPr>
                  <w:tcW w:w="453" w:type="pct"/>
                  <w:noWrap w:val="0"/>
                  <w:vAlign w:val="center"/>
                </w:tcPr>
                <w:p w14:paraId="27E23463">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100</w:t>
                  </w:r>
                </w:p>
              </w:tc>
              <w:tc>
                <w:tcPr>
                  <w:tcW w:w="648" w:type="pct"/>
                  <w:noWrap w:val="0"/>
                  <w:vAlign w:val="center"/>
                </w:tcPr>
                <w:p w14:paraId="25D3C5A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160</w:t>
                  </w:r>
                </w:p>
              </w:tc>
              <w:tc>
                <w:tcPr>
                  <w:tcW w:w="543" w:type="pct"/>
                  <w:vMerge w:val="restart"/>
                  <w:noWrap w:val="0"/>
                  <w:vAlign w:val="center"/>
                </w:tcPr>
                <w:p w14:paraId="57EC49A8">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μg/m</w:t>
                  </w:r>
                  <w:r>
                    <w:rPr>
                      <w:rFonts w:hint="default" w:ascii="Times New Roman" w:hAnsi="Times New Roman" w:eastAsia="宋体" w:cs="Times New Roman"/>
                      <w:b w:val="0"/>
                      <w:bCs w:val="0"/>
                      <w:color w:val="auto"/>
                      <w:kern w:val="2"/>
                      <w:sz w:val="18"/>
                      <w:szCs w:val="18"/>
                      <w:highlight w:val="none"/>
                      <w:vertAlign w:val="superscript"/>
                      <w:lang w:val="en-US" w:bidi="ar-SA"/>
                    </w:rPr>
                    <w:t>3</w:t>
                  </w:r>
                </w:p>
              </w:tc>
              <w:tc>
                <w:tcPr>
                  <w:tcW w:w="1084" w:type="pct"/>
                  <w:vMerge w:val="continue"/>
                  <w:tcBorders>
                    <w:right w:val="nil"/>
                  </w:tcBorders>
                  <w:noWrap w:val="0"/>
                  <w:vAlign w:val="center"/>
                </w:tcPr>
                <w:p w14:paraId="453E800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r w14:paraId="6EF5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tcBorders>
                    <w:left w:val="nil"/>
                  </w:tcBorders>
                  <w:noWrap w:val="0"/>
                  <w:vAlign w:val="center"/>
                </w:tcPr>
                <w:p w14:paraId="2AE90D77">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59" w:type="pct"/>
                  <w:vMerge w:val="continue"/>
                  <w:noWrap w:val="0"/>
                  <w:vAlign w:val="center"/>
                </w:tcPr>
                <w:p w14:paraId="4C6D005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548" w:type="pct"/>
                  <w:noWrap w:val="0"/>
                  <w:vAlign w:val="center"/>
                </w:tcPr>
                <w:p w14:paraId="5D94C5A7">
                  <w:pPr>
                    <w:pStyle w:val="107"/>
                    <w:widowControl w:val="0"/>
                    <w:wordWrap/>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1小时平均</w:t>
                  </w:r>
                </w:p>
              </w:tc>
              <w:tc>
                <w:tcPr>
                  <w:tcW w:w="459" w:type="pct"/>
                  <w:noWrap w:val="0"/>
                  <w:vAlign w:val="center"/>
                </w:tcPr>
                <w:p w14:paraId="3347670D">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160</w:t>
                  </w:r>
                </w:p>
              </w:tc>
              <w:tc>
                <w:tcPr>
                  <w:tcW w:w="453" w:type="pct"/>
                  <w:noWrap w:val="0"/>
                  <w:vAlign w:val="center"/>
                </w:tcPr>
                <w:p w14:paraId="556A60CB">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r>
                    <w:rPr>
                      <w:rFonts w:hint="default" w:ascii="Times New Roman" w:hAnsi="Times New Roman" w:eastAsia="宋体" w:cs="Times New Roman"/>
                      <w:b w:val="0"/>
                      <w:bCs w:val="0"/>
                      <w:color w:val="auto"/>
                      <w:kern w:val="2"/>
                      <w:sz w:val="18"/>
                      <w:szCs w:val="18"/>
                      <w:highlight w:val="none"/>
                      <w:lang w:val="en-US" w:bidi="ar-SA"/>
                    </w:rPr>
                    <w:t>200</w:t>
                  </w:r>
                </w:p>
              </w:tc>
              <w:tc>
                <w:tcPr>
                  <w:tcW w:w="453" w:type="pct"/>
                  <w:noWrap w:val="0"/>
                  <w:vAlign w:val="center"/>
                </w:tcPr>
                <w:p w14:paraId="44E13A39">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160</w:t>
                  </w:r>
                </w:p>
              </w:tc>
              <w:tc>
                <w:tcPr>
                  <w:tcW w:w="648" w:type="pct"/>
                  <w:noWrap w:val="0"/>
                  <w:vAlign w:val="center"/>
                </w:tcPr>
                <w:p w14:paraId="7303F85E">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200</w:t>
                  </w:r>
                </w:p>
              </w:tc>
              <w:tc>
                <w:tcPr>
                  <w:tcW w:w="543" w:type="pct"/>
                  <w:vMerge w:val="continue"/>
                  <w:noWrap w:val="0"/>
                  <w:vAlign w:val="center"/>
                </w:tcPr>
                <w:p w14:paraId="04E77362">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c>
                <w:tcPr>
                  <w:tcW w:w="1084" w:type="pct"/>
                  <w:vMerge w:val="continue"/>
                  <w:tcBorders>
                    <w:right w:val="nil"/>
                  </w:tcBorders>
                  <w:noWrap w:val="0"/>
                  <w:vAlign w:val="center"/>
                </w:tcPr>
                <w:p w14:paraId="3524B89A">
                  <w:pPr>
                    <w:pStyle w:val="76"/>
                    <w:keepNext w:val="0"/>
                    <w:widowControl w:val="0"/>
                    <w:tabs>
                      <w:tab w:val="left" w:pos="420"/>
                    </w:tabs>
                    <w:wordWrap/>
                    <w:adjustRightInd w:val="0"/>
                    <w:snapToGrid w:val="0"/>
                    <w:spacing w:line="240" w:lineRule="auto"/>
                    <w:ind w:left="200" w:hanging="360" w:hangingChars="200"/>
                    <w:textAlignment w:val="center"/>
                    <w:rPr>
                      <w:rFonts w:hint="default" w:ascii="Times New Roman" w:hAnsi="Times New Roman" w:eastAsia="宋体" w:cs="Times New Roman"/>
                      <w:b w:val="0"/>
                      <w:bCs w:val="0"/>
                      <w:color w:val="auto"/>
                      <w:kern w:val="2"/>
                      <w:sz w:val="18"/>
                      <w:szCs w:val="18"/>
                      <w:highlight w:val="none"/>
                      <w:lang w:val="en-US" w:bidi="ar-SA"/>
                    </w:rPr>
                  </w:pPr>
                </w:p>
              </w:tc>
            </w:tr>
          </w:tbl>
          <w:p w14:paraId="4FB9D0B4">
            <w:pPr>
              <w:widowControl/>
              <w:autoSpaceDE w:val="0"/>
              <w:autoSpaceDN w:val="0"/>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达标区判定</w:t>
            </w:r>
          </w:p>
          <w:p w14:paraId="63864FB3">
            <w:pPr>
              <w:widowControl/>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根据《2024年玉溪市生态环境状况公报》，2024年，玉溪中心城区环境空气质量优良天数比率为99.5%，其余县</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市、区）空气质量优良天数比率均达99%以上。全市4个酸雨监测点监测显示，未出现酸雨。新平县环境空气质量满足《环境空气质量标准》</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GB3095-2012）二级标准的要求，为环境空气质量达标区。</w:t>
            </w:r>
          </w:p>
          <w:p w14:paraId="32509F5B">
            <w:pPr>
              <w:widowControl/>
              <w:autoSpaceDE w:val="0"/>
              <w:autoSpaceDN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本次评价采用新平县环境空气质量自动监测点的2024年全年环境空气监测数据进行达标区判定及基本污染物环境空气质量现状评价。环境空气质量达标情况评价指标为SO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、CO、O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，六项基本污染物按照HJ663中各评价项目的年评价指标进行评价，年评价指标中的</w:t>
            </w:r>
            <w:r>
              <w:rPr>
                <w:rFonts w:hint="eastAsia" w:ascii="Times New Roman" w:hAnsi="Times New Roman" w:eastAsia="宋体" w:cs="Times New Roman"/>
                <w:color w:val="auto"/>
                <w:kern w:val="0"/>
                <w:sz w:val="24"/>
                <w:lang w:val="en-US" w:eastAsia="zh-CN"/>
              </w:rPr>
              <w:t>年平</w:t>
            </w:r>
            <w:r>
              <w:rPr>
                <w:rFonts w:hint="default" w:ascii="Times New Roman" w:hAnsi="Times New Roman" w:eastAsia="宋体" w:cs="Times New Roman"/>
                <w:color w:val="auto"/>
                <w:kern w:val="0"/>
                <w:sz w:val="24"/>
                <w:lang w:val="en-US" w:eastAsia="zh-CN"/>
              </w:rPr>
              <w:t>均浓度和相应百分位数24h平均或8h平均质量浓度满足GB3095中浓度限值要求的即为达标区，基本污染物环境质量现状监测结果如下：</w:t>
            </w:r>
          </w:p>
          <w:p w14:paraId="41103F75">
            <w:pPr>
              <w:pStyle w:val="4"/>
              <w:tabs>
                <w:tab w:val="left" w:pos="7230"/>
              </w:tabs>
              <w:adjustRightInd/>
              <w:spacing w:line="360" w:lineRule="auto"/>
              <w:ind w:firstLine="0"/>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lang w:val="en-US" w:eastAsia="zh-CN"/>
              </w:rPr>
              <w:t>表3-</w:t>
            </w:r>
            <w:r>
              <w:rPr>
                <w:rFonts w:hint="eastAsia" w:ascii="Times New Roman" w:hAnsi="Times New Roman" w:eastAsia="黑体" w:cs="Times New Roman"/>
                <w:bCs/>
                <w:color w:val="auto"/>
                <w:szCs w:val="21"/>
                <w:lang w:val="en-US" w:eastAsia="zh-CN"/>
              </w:rPr>
              <w:t>2</w:t>
            </w:r>
            <w:r>
              <w:rPr>
                <w:rFonts w:hint="default" w:ascii="Times New Roman" w:hAnsi="Times New Roman" w:eastAsia="黑体" w:cs="Times New Roman"/>
                <w:bCs/>
                <w:color w:val="auto"/>
                <w:szCs w:val="21"/>
                <w:lang w:val="en-US" w:eastAsia="zh-CN"/>
              </w:rPr>
              <w:t xml:space="preserve"> </w:t>
            </w:r>
            <w:r>
              <w:rPr>
                <w:rFonts w:hint="eastAsia" w:ascii="Times New Roman" w:hAnsi="Times New Roman" w:eastAsia="黑体" w:cs="Times New Roman"/>
                <w:bCs/>
                <w:color w:val="auto"/>
                <w:szCs w:val="21"/>
                <w:lang w:val="en-US" w:eastAsia="zh-CN"/>
              </w:rPr>
              <w:t xml:space="preserve"> </w:t>
            </w:r>
            <w:r>
              <w:rPr>
                <w:rFonts w:hint="default" w:ascii="Times New Roman" w:hAnsi="Times New Roman" w:eastAsia="黑体" w:cs="Times New Roman"/>
                <w:bCs/>
                <w:color w:val="auto"/>
                <w:szCs w:val="21"/>
                <w:lang w:val="en-US" w:eastAsia="zh-CN"/>
              </w:rPr>
              <w:t>2024年新平县空气质量现状评价表</w:t>
            </w:r>
          </w:p>
          <w:tbl>
            <w:tblPr>
              <w:tblStyle w:val="36"/>
              <w:tblW w:w="78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7"/>
              <w:gridCol w:w="2819"/>
              <w:gridCol w:w="1050"/>
              <w:gridCol w:w="1163"/>
              <w:gridCol w:w="1075"/>
              <w:gridCol w:w="1010"/>
            </w:tblGrid>
            <w:tr w14:paraId="7BE6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tcBorders>
                    <w:top w:val="single" w:color="000000" w:sz="4" w:space="0"/>
                    <w:left w:val="single" w:color="000000" w:sz="4" w:space="0"/>
                    <w:bottom w:val="single" w:color="000000" w:sz="4" w:space="0"/>
                    <w:right w:val="single" w:color="000000" w:sz="4" w:space="0"/>
                  </w:tcBorders>
                  <w:noWrap w:val="0"/>
                  <w:vAlign w:val="center"/>
                </w:tcPr>
                <w:p w14:paraId="58D28F2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污染物</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2F90710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评价指标</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5A078CC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现状浓度μg/m</w:t>
                  </w:r>
                  <w:r>
                    <w:rPr>
                      <w:rFonts w:hint="eastAsia" w:ascii="Times New Roman" w:hAnsi="Times New Roman" w:eastAsia="宋体" w:cs="Times New Roman"/>
                      <w:color w:val="auto"/>
                      <w:sz w:val="18"/>
                      <w:szCs w:val="18"/>
                      <w:vertAlign w:val="superscript"/>
                      <w:lang w:val="en-US" w:eastAsia="zh-CN"/>
                    </w:rPr>
                    <w:t>3</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4A33780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标准值μg/m</w:t>
                  </w:r>
                  <w:r>
                    <w:rPr>
                      <w:rFonts w:hint="eastAsia" w:ascii="Times New Roman" w:hAnsi="Times New Roman" w:eastAsia="宋体" w:cs="Times New Roman"/>
                      <w:color w:val="auto"/>
                      <w:sz w:val="18"/>
                      <w:szCs w:val="18"/>
                      <w:vertAlign w:val="superscript"/>
                      <w:lang w:val="en-US" w:eastAsia="zh-CN"/>
                    </w:rPr>
                    <w:t>3</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0E1F4D4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占标率%</w:t>
                  </w:r>
                </w:p>
              </w:tc>
              <w:tc>
                <w:tcPr>
                  <w:tcW w:w="643" w:type="pct"/>
                  <w:tcBorders>
                    <w:top w:val="single" w:color="000000" w:sz="4" w:space="0"/>
                    <w:left w:val="single" w:color="000000" w:sz="4" w:space="0"/>
                    <w:bottom w:val="single" w:color="000000" w:sz="4" w:space="0"/>
                    <w:right w:val="nil"/>
                  </w:tcBorders>
                  <w:noWrap w:val="0"/>
                  <w:vAlign w:val="center"/>
                </w:tcPr>
                <w:p w14:paraId="7871825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达标情况</w:t>
                  </w:r>
                </w:p>
              </w:tc>
            </w:tr>
            <w:tr w14:paraId="05DB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restart"/>
                  <w:tcBorders>
                    <w:top w:val="single" w:color="000000" w:sz="4" w:space="0"/>
                    <w:left w:val="nil"/>
                    <w:bottom w:val="single" w:color="000000" w:sz="4" w:space="0"/>
                    <w:right w:val="single" w:color="000000" w:sz="4" w:space="0"/>
                  </w:tcBorders>
                  <w:noWrap w:val="0"/>
                  <w:vAlign w:val="center"/>
                </w:tcPr>
                <w:p w14:paraId="3FEAFFB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SO</w:t>
                  </w:r>
                  <w:r>
                    <w:rPr>
                      <w:rFonts w:hint="eastAsia" w:ascii="Times New Roman" w:hAnsi="Times New Roman" w:eastAsia="宋体" w:cs="Times New Roman"/>
                      <w:color w:val="auto"/>
                      <w:sz w:val="18"/>
                      <w:szCs w:val="18"/>
                      <w:vertAlign w:val="subscript"/>
                      <w:lang w:val="en-US" w:eastAsia="zh-CN"/>
                    </w:rPr>
                    <w:t>2</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06963C7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583D83F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6.09</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7285960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7371615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10.15</w:t>
                  </w:r>
                </w:p>
              </w:tc>
              <w:tc>
                <w:tcPr>
                  <w:tcW w:w="643" w:type="pct"/>
                  <w:tcBorders>
                    <w:top w:val="single" w:color="000000" w:sz="4" w:space="0"/>
                    <w:left w:val="single" w:color="000000" w:sz="4" w:space="0"/>
                    <w:bottom w:val="single" w:color="000000" w:sz="4" w:space="0"/>
                    <w:right w:val="nil"/>
                  </w:tcBorders>
                  <w:noWrap w:val="0"/>
                  <w:vAlign w:val="center"/>
                </w:tcPr>
                <w:p w14:paraId="60284AE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77C60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continue"/>
                  <w:tcBorders>
                    <w:top w:val="single" w:color="000000" w:sz="4" w:space="0"/>
                    <w:left w:val="nil"/>
                    <w:bottom w:val="single" w:color="000000" w:sz="4" w:space="0"/>
                    <w:right w:val="single" w:color="000000" w:sz="4" w:space="0"/>
                  </w:tcBorders>
                  <w:noWrap w:val="0"/>
                  <w:vAlign w:val="center"/>
                </w:tcPr>
                <w:p w14:paraId="7614F70D">
                  <w:pPr>
                    <w:jc w:val="center"/>
                    <w:rPr>
                      <w:rFonts w:hint="default" w:ascii="Times New Roman" w:hAnsi="Times New Roman" w:eastAsia="宋体" w:cs="Times New Roman"/>
                      <w:color w:val="auto"/>
                      <w:sz w:val="18"/>
                      <w:szCs w:val="18"/>
                    </w:rPr>
                  </w:pP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52DD6F9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第98百分位数24h平均质量浓度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1B2FD1D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10</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0372159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150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4BBF56A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6.67</w:t>
                  </w:r>
                </w:p>
              </w:tc>
              <w:tc>
                <w:tcPr>
                  <w:tcW w:w="643" w:type="pct"/>
                  <w:tcBorders>
                    <w:top w:val="single" w:color="000000" w:sz="4" w:space="0"/>
                    <w:left w:val="single" w:color="000000" w:sz="4" w:space="0"/>
                    <w:bottom w:val="single" w:color="000000" w:sz="4" w:space="0"/>
                    <w:right w:val="nil"/>
                  </w:tcBorders>
                  <w:noWrap w:val="0"/>
                  <w:vAlign w:val="center"/>
                </w:tcPr>
                <w:p w14:paraId="1A1E224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0B99F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restart"/>
                  <w:tcBorders>
                    <w:top w:val="single" w:color="000000" w:sz="4" w:space="0"/>
                    <w:left w:val="nil"/>
                    <w:bottom w:val="single" w:color="000000" w:sz="4" w:space="0"/>
                    <w:right w:val="single" w:color="000000" w:sz="4" w:space="0"/>
                  </w:tcBorders>
                  <w:noWrap w:val="0"/>
                  <w:vAlign w:val="center"/>
                </w:tcPr>
                <w:p w14:paraId="5550A47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NO</w:t>
                  </w:r>
                  <w:r>
                    <w:rPr>
                      <w:rFonts w:hint="eastAsia" w:ascii="Times New Roman" w:hAnsi="Times New Roman" w:eastAsia="宋体" w:cs="Times New Roman"/>
                      <w:color w:val="auto"/>
                      <w:sz w:val="18"/>
                      <w:szCs w:val="18"/>
                      <w:vertAlign w:val="subscript"/>
                      <w:lang w:val="en-US" w:eastAsia="zh-CN"/>
                    </w:rPr>
                    <w:t>2</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49543FD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3078F50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7.31</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5B3315C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1874B0B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18.28</w:t>
                  </w:r>
                </w:p>
              </w:tc>
              <w:tc>
                <w:tcPr>
                  <w:tcW w:w="643" w:type="pct"/>
                  <w:tcBorders>
                    <w:top w:val="single" w:color="000000" w:sz="4" w:space="0"/>
                    <w:left w:val="single" w:color="000000" w:sz="4" w:space="0"/>
                    <w:bottom w:val="single" w:color="000000" w:sz="4" w:space="0"/>
                    <w:right w:val="nil"/>
                  </w:tcBorders>
                  <w:noWrap w:val="0"/>
                  <w:vAlign w:val="center"/>
                </w:tcPr>
                <w:p w14:paraId="40D9280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7582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continue"/>
                  <w:tcBorders>
                    <w:top w:val="single" w:color="000000" w:sz="4" w:space="0"/>
                    <w:left w:val="nil"/>
                    <w:bottom w:val="single" w:color="000000" w:sz="4" w:space="0"/>
                    <w:right w:val="single" w:color="000000" w:sz="4" w:space="0"/>
                  </w:tcBorders>
                  <w:noWrap w:val="0"/>
                  <w:vAlign w:val="center"/>
                </w:tcPr>
                <w:p w14:paraId="2C9BEC99">
                  <w:pPr>
                    <w:jc w:val="center"/>
                    <w:rPr>
                      <w:rFonts w:hint="default" w:ascii="Times New Roman" w:hAnsi="Times New Roman" w:eastAsia="宋体" w:cs="Times New Roman"/>
                      <w:color w:val="auto"/>
                      <w:sz w:val="18"/>
                      <w:szCs w:val="18"/>
                    </w:rPr>
                  </w:pP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5B10028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第98百分位数24h平均质量浓度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161869B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14</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6B16BF9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7AD3801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17.50</w:t>
                  </w:r>
                </w:p>
              </w:tc>
              <w:tc>
                <w:tcPr>
                  <w:tcW w:w="643" w:type="pct"/>
                  <w:tcBorders>
                    <w:top w:val="single" w:color="000000" w:sz="4" w:space="0"/>
                    <w:left w:val="single" w:color="000000" w:sz="4" w:space="0"/>
                    <w:bottom w:val="single" w:color="000000" w:sz="4" w:space="0"/>
                    <w:right w:val="nil"/>
                  </w:tcBorders>
                  <w:noWrap w:val="0"/>
                  <w:vAlign w:val="center"/>
                </w:tcPr>
                <w:p w14:paraId="701DE7C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3D7A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restart"/>
                  <w:tcBorders>
                    <w:top w:val="single" w:color="000000" w:sz="4" w:space="0"/>
                    <w:left w:val="nil"/>
                    <w:bottom w:val="single" w:color="000000" w:sz="4" w:space="0"/>
                    <w:right w:val="single" w:color="000000" w:sz="4" w:space="0"/>
                  </w:tcBorders>
                  <w:noWrap w:val="0"/>
                  <w:vAlign w:val="center"/>
                </w:tcPr>
                <w:p w14:paraId="7B0C0D2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PM</w:t>
                  </w:r>
                  <w:r>
                    <w:rPr>
                      <w:rFonts w:hint="default" w:ascii="Times New Roman" w:hAnsi="Times New Roman" w:eastAsia="宋体" w:cs="Times New Roman"/>
                      <w:color w:val="auto"/>
                      <w:sz w:val="18"/>
                      <w:szCs w:val="18"/>
                      <w:vertAlign w:val="subscript"/>
                      <w:lang w:val="en-US" w:eastAsia="zh-CN"/>
                    </w:rPr>
                    <w:t>10</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096EE9E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455E65C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24.09</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12AFEA2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3A1CBFA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34.41</w:t>
                  </w:r>
                </w:p>
              </w:tc>
              <w:tc>
                <w:tcPr>
                  <w:tcW w:w="643" w:type="pct"/>
                  <w:tcBorders>
                    <w:top w:val="single" w:color="000000" w:sz="4" w:space="0"/>
                    <w:left w:val="single" w:color="000000" w:sz="4" w:space="0"/>
                    <w:bottom w:val="single" w:color="000000" w:sz="4" w:space="0"/>
                    <w:right w:val="nil"/>
                  </w:tcBorders>
                  <w:noWrap w:val="0"/>
                  <w:vAlign w:val="center"/>
                </w:tcPr>
                <w:p w14:paraId="7684094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4BE24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continue"/>
                  <w:tcBorders>
                    <w:top w:val="single" w:color="000000" w:sz="4" w:space="0"/>
                    <w:left w:val="nil"/>
                    <w:bottom w:val="single" w:color="000000" w:sz="4" w:space="0"/>
                    <w:right w:val="single" w:color="000000" w:sz="4" w:space="0"/>
                  </w:tcBorders>
                  <w:noWrap w:val="0"/>
                  <w:vAlign w:val="center"/>
                </w:tcPr>
                <w:p w14:paraId="3CC2DCC3">
                  <w:pPr>
                    <w:jc w:val="center"/>
                    <w:rPr>
                      <w:rFonts w:hint="default" w:ascii="Times New Roman" w:hAnsi="Times New Roman" w:eastAsia="宋体" w:cs="Times New Roman"/>
                      <w:color w:val="auto"/>
                      <w:sz w:val="18"/>
                      <w:szCs w:val="18"/>
                    </w:rPr>
                  </w:pP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135DBCE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第95百分位数24h平均质量浓度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105CCF4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55</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37F743D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150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2D02C46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36.67</w:t>
                  </w:r>
                </w:p>
              </w:tc>
              <w:tc>
                <w:tcPr>
                  <w:tcW w:w="643" w:type="pct"/>
                  <w:tcBorders>
                    <w:top w:val="single" w:color="000000" w:sz="4" w:space="0"/>
                    <w:left w:val="single" w:color="000000" w:sz="4" w:space="0"/>
                    <w:bottom w:val="single" w:color="000000" w:sz="4" w:space="0"/>
                    <w:right w:val="nil"/>
                  </w:tcBorders>
                  <w:noWrap w:val="0"/>
                  <w:vAlign w:val="center"/>
                </w:tcPr>
                <w:p w14:paraId="48BC618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49956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tcBorders>
                    <w:top w:val="single" w:color="000000" w:sz="4" w:space="0"/>
                    <w:left w:val="nil"/>
                    <w:bottom w:val="single" w:color="000000" w:sz="4" w:space="0"/>
                    <w:right w:val="single" w:color="000000" w:sz="4" w:space="0"/>
                  </w:tcBorders>
                  <w:noWrap w:val="0"/>
                  <w:vAlign w:val="center"/>
                </w:tcPr>
                <w:p w14:paraId="69DD7EF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CO</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13BF840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第95百分位数24h平均质量浓度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731E0EF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600</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7C59844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4000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201A3A3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15.00</w:t>
                  </w:r>
                </w:p>
              </w:tc>
              <w:tc>
                <w:tcPr>
                  <w:tcW w:w="643" w:type="pct"/>
                  <w:tcBorders>
                    <w:top w:val="single" w:color="000000" w:sz="4" w:space="0"/>
                    <w:left w:val="single" w:color="000000" w:sz="4" w:space="0"/>
                    <w:bottom w:val="single" w:color="000000" w:sz="4" w:space="0"/>
                    <w:right w:val="nil"/>
                  </w:tcBorders>
                  <w:noWrap w:val="0"/>
                  <w:vAlign w:val="center"/>
                </w:tcPr>
                <w:p w14:paraId="7827E8F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1DC6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tcBorders>
                    <w:top w:val="single" w:color="000000" w:sz="4" w:space="0"/>
                    <w:left w:val="nil"/>
                    <w:bottom w:val="single" w:color="000000" w:sz="4" w:space="0"/>
                    <w:right w:val="single" w:color="000000" w:sz="4" w:space="0"/>
                  </w:tcBorders>
                  <w:noWrap w:val="0"/>
                  <w:vAlign w:val="center"/>
                </w:tcPr>
                <w:p w14:paraId="1DE03C16">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O</w:t>
                  </w:r>
                  <w:r>
                    <w:rPr>
                      <w:rFonts w:hint="eastAsia" w:ascii="Times New Roman" w:hAnsi="Times New Roman" w:eastAsia="宋体" w:cs="Times New Roman"/>
                      <w:color w:val="auto"/>
                      <w:sz w:val="18"/>
                      <w:szCs w:val="18"/>
                      <w:vertAlign w:val="subscript"/>
                      <w:lang w:val="en-US" w:eastAsia="zh-CN"/>
                    </w:rPr>
                    <w:t>3</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5A5ADDE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第90百分位数8h平均质量浓度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10EB172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74</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3710B39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160</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07B8A38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46.25</w:t>
                  </w:r>
                </w:p>
              </w:tc>
              <w:tc>
                <w:tcPr>
                  <w:tcW w:w="643" w:type="pct"/>
                  <w:tcBorders>
                    <w:top w:val="single" w:color="000000" w:sz="4" w:space="0"/>
                    <w:left w:val="single" w:color="000000" w:sz="4" w:space="0"/>
                    <w:bottom w:val="single" w:color="000000" w:sz="4" w:space="0"/>
                    <w:right w:val="nil"/>
                  </w:tcBorders>
                  <w:noWrap w:val="0"/>
                  <w:vAlign w:val="center"/>
                </w:tcPr>
                <w:p w14:paraId="3DE5184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196F6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restart"/>
                  <w:tcBorders>
                    <w:top w:val="single" w:color="000000" w:sz="4" w:space="0"/>
                    <w:left w:val="nil"/>
                    <w:bottom w:val="single" w:color="000000" w:sz="4" w:space="0"/>
                    <w:right w:val="single" w:color="000000" w:sz="4" w:space="0"/>
                  </w:tcBorders>
                  <w:noWrap w:val="0"/>
                  <w:vAlign w:val="center"/>
                </w:tcPr>
                <w:p w14:paraId="7F6C632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PM</w:t>
                  </w:r>
                  <w:r>
                    <w:rPr>
                      <w:rFonts w:hint="default" w:ascii="Times New Roman" w:hAnsi="Times New Roman" w:eastAsia="宋体" w:cs="Times New Roman"/>
                      <w:color w:val="auto"/>
                      <w:sz w:val="18"/>
                      <w:szCs w:val="18"/>
                      <w:vertAlign w:val="subscript"/>
                      <w:lang w:val="en-US" w:eastAsia="zh-CN"/>
                    </w:rPr>
                    <w:t>2.5</w:t>
                  </w: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3C8FC87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2AD78A4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16.78</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1BB1996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35</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345D0926">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47.94</w:t>
                  </w:r>
                </w:p>
              </w:tc>
              <w:tc>
                <w:tcPr>
                  <w:tcW w:w="643" w:type="pct"/>
                  <w:tcBorders>
                    <w:top w:val="single" w:color="000000" w:sz="4" w:space="0"/>
                    <w:left w:val="single" w:color="000000" w:sz="4" w:space="0"/>
                    <w:bottom w:val="single" w:color="000000" w:sz="4" w:space="0"/>
                    <w:right w:val="nil"/>
                  </w:tcBorders>
                  <w:noWrap w:val="0"/>
                  <w:vAlign w:val="center"/>
                </w:tcPr>
                <w:p w14:paraId="1590AC2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6AFC9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3" w:type="pct"/>
                  <w:vMerge w:val="continue"/>
                  <w:tcBorders>
                    <w:top w:val="single" w:color="000000" w:sz="4" w:space="0"/>
                    <w:left w:val="nil"/>
                    <w:bottom w:val="single" w:color="000000" w:sz="4" w:space="0"/>
                    <w:right w:val="single" w:color="000000" w:sz="4" w:space="0"/>
                  </w:tcBorders>
                  <w:noWrap w:val="0"/>
                  <w:vAlign w:val="center"/>
                </w:tcPr>
                <w:p w14:paraId="67D32728">
                  <w:pPr>
                    <w:jc w:val="center"/>
                    <w:rPr>
                      <w:rFonts w:hint="default" w:ascii="Times New Roman" w:hAnsi="Times New Roman" w:eastAsia="宋体" w:cs="Times New Roman"/>
                      <w:color w:val="auto"/>
                      <w:sz w:val="18"/>
                      <w:szCs w:val="18"/>
                    </w:rPr>
                  </w:pPr>
                </w:p>
              </w:tc>
              <w:tc>
                <w:tcPr>
                  <w:tcW w:w="1796" w:type="pct"/>
                  <w:tcBorders>
                    <w:top w:val="single" w:color="000000" w:sz="4" w:space="0"/>
                    <w:left w:val="single" w:color="000000" w:sz="4" w:space="0"/>
                    <w:bottom w:val="single" w:color="000000" w:sz="4" w:space="0"/>
                    <w:right w:val="single" w:color="000000" w:sz="4" w:space="0"/>
                  </w:tcBorders>
                  <w:noWrap w:val="0"/>
                  <w:vAlign w:val="center"/>
                </w:tcPr>
                <w:p w14:paraId="6DC1ABE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第95百分位数24h平均质量浓度</w:t>
                  </w:r>
                </w:p>
              </w:tc>
              <w:tc>
                <w:tcPr>
                  <w:tcW w:w="669" w:type="pct"/>
                  <w:tcBorders>
                    <w:top w:val="single" w:color="000000" w:sz="4" w:space="0"/>
                    <w:left w:val="single" w:color="000000" w:sz="4" w:space="0"/>
                    <w:bottom w:val="single" w:color="000000" w:sz="4" w:space="0"/>
                    <w:right w:val="single" w:color="000000" w:sz="4" w:space="0"/>
                  </w:tcBorders>
                  <w:noWrap w:val="0"/>
                  <w:vAlign w:val="center"/>
                </w:tcPr>
                <w:p w14:paraId="3262B5A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43</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14:paraId="57C55CC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75</w:t>
                  </w:r>
                </w:p>
              </w:tc>
              <w:tc>
                <w:tcPr>
                  <w:tcW w:w="685" w:type="pct"/>
                  <w:tcBorders>
                    <w:top w:val="single" w:color="000000" w:sz="4" w:space="0"/>
                    <w:left w:val="single" w:color="000000" w:sz="4" w:space="0"/>
                    <w:bottom w:val="single" w:color="000000" w:sz="4" w:space="0"/>
                    <w:right w:val="single" w:color="000000" w:sz="4" w:space="0"/>
                  </w:tcBorders>
                  <w:noWrap w:val="0"/>
                  <w:vAlign w:val="center"/>
                </w:tcPr>
                <w:p w14:paraId="0A11A3A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57.33</w:t>
                  </w:r>
                </w:p>
              </w:tc>
              <w:tc>
                <w:tcPr>
                  <w:tcW w:w="643" w:type="pct"/>
                  <w:tcBorders>
                    <w:top w:val="single" w:color="000000" w:sz="4" w:space="0"/>
                    <w:left w:val="single" w:color="000000" w:sz="4" w:space="0"/>
                    <w:bottom w:val="single" w:color="000000" w:sz="4" w:space="0"/>
                    <w:right w:val="nil"/>
                  </w:tcBorders>
                  <w:noWrap w:val="0"/>
                  <w:vAlign w:val="center"/>
                </w:tcPr>
                <w:p w14:paraId="2BDEC66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bl>
          <w:p w14:paraId="49A5EE1D">
            <w:pPr>
              <w:widowControl/>
              <w:autoSpaceDE w:val="0"/>
              <w:autoSpaceDN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根据2024年监测数据可知，新平县SO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、CO、O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六项污染物均满足《环境空气质量标准》</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GB3095-2012）及2018年修改单的二级标准浓度限值要求，项目所在区域属于环境空气质量达标区。</w:t>
            </w:r>
          </w:p>
          <w:p w14:paraId="383B95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此外，由于《环境空气质量标准》（GB3095-2026）自2026年3月1日起实施，自实施之日起至2030年12月31日，环境空气污染物基本项目实施过渡阶段浓度限值；2031年1月1日起，在全国范围内实施基本项目浓度限值。本次环评也对照《环境空气质量标准》（GB3095-2026）进行达标判定。</w:t>
            </w:r>
          </w:p>
          <w:p w14:paraId="23E73A8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具体如下：</w:t>
            </w:r>
          </w:p>
          <w:p w14:paraId="772CB1D1">
            <w:pPr>
              <w:pStyle w:val="4"/>
              <w:tabs>
                <w:tab w:val="left" w:pos="7230"/>
              </w:tabs>
              <w:adjustRightInd/>
              <w:spacing w:line="360" w:lineRule="auto"/>
              <w:ind w:firstLine="0"/>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lang w:val="en-US" w:eastAsia="zh-CN"/>
              </w:rPr>
              <w:t>表3-</w:t>
            </w:r>
            <w:r>
              <w:rPr>
                <w:rFonts w:hint="eastAsia" w:ascii="Times New Roman" w:hAnsi="Times New Roman" w:eastAsia="黑体" w:cs="Times New Roman"/>
                <w:bCs/>
                <w:color w:val="auto"/>
                <w:szCs w:val="21"/>
                <w:lang w:val="en-US" w:eastAsia="zh-CN"/>
              </w:rPr>
              <w:t>3</w:t>
            </w:r>
            <w:r>
              <w:rPr>
                <w:rFonts w:hint="default" w:ascii="Times New Roman" w:hAnsi="Times New Roman" w:eastAsia="黑体" w:cs="Times New Roman"/>
                <w:bCs/>
                <w:color w:val="auto"/>
                <w:szCs w:val="21"/>
                <w:lang w:val="en-US" w:eastAsia="zh-CN"/>
              </w:rPr>
              <w:t xml:space="preserve"> </w:t>
            </w:r>
            <w:r>
              <w:rPr>
                <w:rFonts w:hint="eastAsia" w:ascii="Times New Roman" w:hAnsi="Times New Roman" w:eastAsia="黑体" w:cs="Times New Roman"/>
                <w:bCs/>
                <w:color w:val="auto"/>
                <w:szCs w:val="21"/>
                <w:lang w:val="en-US" w:eastAsia="zh-CN"/>
              </w:rPr>
              <w:t xml:space="preserve"> </w:t>
            </w:r>
            <w:r>
              <w:rPr>
                <w:rFonts w:hint="default" w:ascii="Times New Roman" w:hAnsi="Times New Roman" w:eastAsia="黑体" w:cs="Times New Roman"/>
                <w:bCs/>
                <w:color w:val="auto"/>
                <w:szCs w:val="21"/>
                <w:lang w:val="en-US" w:eastAsia="zh-CN"/>
              </w:rPr>
              <w:t>2024年新平县空气质量现状评价表</w:t>
            </w:r>
          </w:p>
          <w:tbl>
            <w:tblPr>
              <w:tblStyle w:val="36"/>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6"/>
              <w:gridCol w:w="1973"/>
              <w:gridCol w:w="774"/>
              <w:gridCol w:w="884"/>
              <w:gridCol w:w="890"/>
              <w:gridCol w:w="959"/>
              <w:gridCol w:w="797"/>
              <w:gridCol w:w="749"/>
            </w:tblGrid>
            <w:tr w14:paraId="65073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restart"/>
                  <w:tcBorders>
                    <w:top w:val="single" w:color="000000" w:sz="4" w:space="0"/>
                    <w:left w:val="single" w:color="000000" w:sz="4" w:space="0"/>
                    <w:right w:val="single" w:color="000000" w:sz="4" w:space="0"/>
                  </w:tcBorders>
                  <w:noWrap w:val="0"/>
                  <w:vAlign w:val="center"/>
                </w:tcPr>
                <w:p w14:paraId="48ACD29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污染物</w:t>
                  </w:r>
                </w:p>
              </w:tc>
              <w:tc>
                <w:tcPr>
                  <w:tcW w:w="1257" w:type="pct"/>
                  <w:vMerge w:val="restart"/>
                  <w:tcBorders>
                    <w:top w:val="single" w:color="000000" w:sz="4" w:space="0"/>
                    <w:left w:val="single" w:color="000000" w:sz="4" w:space="0"/>
                    <w:right w:val="single" w:color="000000" w:sz="4" w:space="0"/>
                  </w:tcBorders>
                  <w:noWrap w:val="0"/>
                  <w:vAlign w:val="center"/>
                </w:tcPr>
                <w:p w14:paraId="61947108">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评价指标</w:t>
                  </w:r>
                </w:p>
              </w:tc>
              <w:tc>
                <w:tcPr>
                  <w:tcW w:w="493" w:type="pct"/>
                  <w:vMerge w:val="restart"/>
                  <w:tcBorders>
                    <w:top w:val="single" w:color="000000" w:sz="4" w:space="0"/>
                    <w:left w:val="single" w:color="000000" w:sz="4" w:space="0"/>
                    <w:right w:val="single" w:color="000000" w:sz="4" w:space="0"/>
                  </w:tcBorders>
                  <w:noWrap w:val="0"/>
                  <w:vAlign w:val="center"/>
                </w:tcPr>
                <w:p w14:paraId="6019244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现状浓度μg/m</w:t>
                  </w:r>
                  <w:r>
                    <w:rPr>
                      <w:rFonts w:hint="eastAsia" w:ascii="Times New Roman" w:hAnsi="Times New Roman" w:eastAsia="宋体" w:cs="Times New Roman"/>
                      <w:color w:val="auto"/>
                      <w:sz w:val="18"/>
                      <w:szCs w:val="18"/>
                      <w:vertAlign w:val="superscript"/>
                      <w:lang w:val="en-US" w:eastAsia="zh-CN"/>
                    </w:rPr>
                    <w:t>3</w:t>
                  </w:r>
                </w:p>
              </w:tc>
              <w:tc>
                <w:tcPr>
                  <w:tcW w:w="1131" w:type="pct"/>
                  <w:gridSpan w:val="2"/>
                  <w:tcBorders>
                    <w:top w:val="single" w:color="000000" w:sz="4" w:space="0"/>
                    <w:left w:val="single" w:color="000000" w:sz="4" w:space="0"/>
                    <w:bottom w:val="single" w:color="000000" w:sz="4" w:space="0"/>
                    <w:right w:val="single" w:color="000000" w:sz="4" w:space="0"/>
                  </w:tcBorders>
                  <w:noWrap w:val="0"/>
                  <w:vAlign w:val="center"/>
                </w:tcPr>
                <w:p w14:paraId="37F73470">
                  <w:pPr>
                    <w:widowControl/>
                    <w:wordWrap/>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highlight w:val="none"/>
                      <w:lang w:val="en-US" w:eastAsia="zh-CN"/>
                    </w:rPr>
                    <w:t>过渡阶段</w:t>
                  </w:r>
                </w:p>
              </w:tc>
              <w:tc>
                <w:tcPr>
                  <w:tcW w:w="1119" w:type="pct"/>
                  <w:gridSpan w:val="2"/>
                  <w:tcBorders>
                    <w:top w:val="single" w:color="000000" w:sz="4" w:space="0"/>
                    <w:left w:val="single" w:color="000000" w:sz="4" w:space="0"/>
                    <w:bottom w:val="single" w:color="000000" w:sz="4" w:space="0"/>
                    <w:right w:val="single" w:color="000000" w:sz="4" w:space="0"/>
                  </w:tcBorders>
                  <w:noWrap w:val="0"/>
                  <w:vAlign w:val="center"/>
                </w:tcPr>
                <w:p w14:paraId="42BA9393">
                  <w:pPr>
                    <w:widowControl/>
                    <w:wordWrap/>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highlight w:val="none"/>
                      <w:lang w:val="en-US" w:eastAsia="zh-CN"/>
                    </w:rPr>
                    <w:t>2031年1月1日后</w:t>
                  </w:r>
                </w:p>
              </w:tc>
              <w:tc>
                <w:tcPr>
                  <w:tcW w:w="477" w:type="pct"/>
                  <w:vMerge w:val="restart"/>
                  <w:tcBorders>
                    <w:top w:val="single" w:color="000000" w:sz="4" w:space="0"/>
                    <w:left w:val="single" w:color="000000" w:sz="4" w:space="0"/>
                    <w:right w:val="nil"/>
                  </w:tcBorders>
                  <w:noWrap w:val="0"/>
                  <w:vAlign w:val="center"/>
                </w:tcPr>
                <w:p w14:paraId="58256BD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达标情况</w:t>
                  </w:r>
                </w:p>
              </w:tc>
            </w:tr>
            <w:tr w14:paraId="4D0E7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continue"/>
                  <w:tcBorders>
                    <w:left w:val="single" w:color="000000" w:sz="4" w:space="0"/>
                    <w:bottom w:val="single" w:color="000000" w:sz="4" w:space="0"/>
                    <w:right w:val="single" w:color="000000" w:sz="4" w:space="0"/>
                  </w:tcBorders>
                  <w:noWrap w:val="0"/>
                  <w:vAlign w:val="center"/>
                </w:tcPr>
                <w:p w14:paraId="6DFC1162">
                  <w:pPr>
                    <w:jc w:val="center"/>
                    <w:rPr>
                      <w:rFonts w:hint="default" w:ascii="Times New Roman" w:hAnsi="Times New Roman" w:eastAsia="宋体" w:cs="Times New Roman"/>
                      <w:color w:val="auto"/>
                      <w:sz w:val="18"/>
                      <w:szCs w:val="18"/>
                    </w:rPr>
                  </w:pPr>
                </w:p>
              </w:tc>
              <w:tc>
                <w:tcPr>
                  <w:tcW w:w="1257" w:type="pct"/>
                  <w:vMerge w:val="continue"/>
                  <w:tcBorders>
                    <w:left w:val="single" w:color="000000" w:sz="4" w:space="0"/>
                    <w:bottom w:val="single" w:color="000000" w:sz="4" w:space="0"/>
                    <w:right w:val="single" w:color="000000" w:sz="4" w:space="0"/>
                  </w:tcBorders>
                  <w:noWrap w:val="0"/>
                  <w:vAlign w:val="center"/>
                </w:tcPr>
                <w:p w14:paraId="1AE5E175">
                  <w:pPr>
                    <w:jc w:val="center"/>
                    <w:rPr>
                      <w:rFonts w:hint="default" w:ascii="Times New Roman" w:hAnsi="Times New Roman" w:eastAsia="宋体" w:cs="Times New Roman"/>
                      <w:color w:val="auto"/>
                      <w:sz w:val="18"/>
                      <w:szCs w:val="18"/>
                    </w:rPr>
                  </w:pPr>
                </w:p>
              </w:tc>
              <w:tc>
                <w:tcPr>
                  <w:tcW w:w="493" w:type="pct"/>
                  <w:vMerge w:val="continue"/>
                  <w:tcBorders>
                    <w:left w:val="single" w:color="000000" w:sz="4" w:space="0"/>
                    <w:bottom w:val="single" w:color="000000" w:sz="4" w:space="0"/>
                    <w:right w:val="single" w:color="000000" w:sz="4" w:space="0"/>
                  </w:tcBorders>
                  <w:noWrap w:val="0"/>
                  <w:vAlign w:val="center"/>
                </w:tcPr>
                <w:p w14:paraId="4122B513">
                  <w:pPr>
                    <w:jc w:val="center"/>
                    <w:rPr>
                      <w:rFonts w:hint="default" w:ascii="Times New Roman" w:hAnsi="Times New Roman" w:eastAsia="宋体" w:cs="Times New Roman"/>
                      <w:color w:val="auto"/>
                      <w:sz w:val="18"/>
                      <w:szCs w:val="18"/>
                    </w:rPr>
                  </w:pP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6EC9C5FE">
                  <w:pPr>
                    <w:widowControl/>
                    <w:wordWrap/>
                    <w:spacing w:line="240" w:lineRule="auto"/>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kern w:val="0"/>
                      <w:sz w:val="18"/>
                      <w:szCs w:val="18"/>
                      <w:highlight w:val="none"/>
                      <w:lang w:val="en-US" w:eastAsia="zh-CN"/>
                    </w:rPr>
                    <w:t>浓度限值</w:t>
                  </w: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lang w:val="en-US" w:eastAsia="zh-CN"/>
                    </w:rPr>
                    <w:t>μg/m</w:t>
                  </w:r>
                  <w:r>
                    <w:rPr>
                      <w:rFonts w:hint="default" w:ascii="Times New Roman" w:hAnsi="Times New Roman" w:eastAsia="宋体" w:cs="Times New Roman"/>
                      <w:color w:val="auto"/>
                      <w:kern w:val="0"/>
                      <w:sz w:val="18"/>
                      <w:szCs w:val="18"/>
                      <w:highlight w:val="none"/>
                      <w:vertAlign w:val="superscript"/>
                      <w:lang w:val="en-US" w:eastAsia="zh-CN"/>
                    </w:rPr>
                    <w:t>3</w:t>
                  </w:r>
                  <w:r>
                    <w:rPr>
                      <w:rFonts w:hint="eastAsia" w:ascii="Times New Roman" w:hAnsi="Times New Roman" w:eastAsia="宋体" w:cs="Times New Roman"/>
                      <w:color w:val="auto"/>
                      <w:kern w:val="0"/>
                      <w:sz w:val="18"/>
                      <w:szCs w:val="18"/>
                      <w:highlight w:val="none"/>
                      <w:vertAlign w:val="baseline"/>
                      <w:lang w:val="en-US" w:eastAsia="zh-CN"/>
                    </w:rPr>
                    <w:t>)</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7EDD8C6F">
                  <w:pPr>
                    <w:widowControl/>
                    <w:wordWrap/>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highlight w:val="none"/>
                      <w:lang w:val="en-US" w:eastAsia="zh-CN"/>
                    </w:rPr>
                    <w:t>占标率/%</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2CEA4A96">
                  <w:pPr>
                    <w:widowControl/>
                    <w:wordWrap/>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0"/>
                      <w:sz w:val="18"/>
                      <w:szCs w:val="18"/>
                      <w:highlight w:val="none"/>
                      <w:lang w:val="en-US" w:eastAsia="zh-CN"/>
                    </w:rPr>
                    <w:t>浓度限值</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4A90D613">
                  <w:pPr>
                    <w:widowControl/>
                    <w:wordWrap/>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highlight w:val="none"/>
                      <w:lang w:val="en-US" w:eastAsia="zh-CN"/>
                    </w:rPr>
                    <w:t>占标率/%</w:t>
                  </w:r>
                </w:p>
              </w:tc>
              <w:tc>
                <w:tcPr>
                  <w:tcW w:w="477" w:type="pct"/>
                  <w:vMerge w:val="continue"/>
                  <w:tcBorders>
                    <w:left w:val="single" w:color="000000" w:sz="4" w:space="0"/>
                    <w:bottom w:val="single" w:color="000000" w:sz="4" w:space="0"/>
                    <w:right w:val="nil"/>
                  </w:tcBorders>
                  <w:noWrap w:val="0"/>
                  <w:vAlign w:val="center"/>
                </w:tcPr>
                <w:p w14:paraId="0431D86B">
                  <w:pPr>
                    <w:jc w:val="center"/>
                    <w:rPr>
                      <w:rFonts w:hint="default" w:ascii="Times New Roman" w:hAnsi="Times New Roman" w:eastAsia="宋体" w:cs="Times New Roman"/>
                      <w:color w:val="auto"/>
                      <w:sz w:val="18"/>
                      <w:szCs w:val="18"/>
                    </w:rPr>
                  </w:pPr>
                </w:p>
              </w:tc>
            </w:tr>
            <w:tr w14:paraId="371A5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restart"/>
                  <w:tcBorders>
                    <w:top w:val="single" w:color="000000" w:sz="4" w:space="0"/>
                    <w:left w:val="nil"/>
                    <w:bottom w:val="single" w:color="000000" w:sz="4" w:space="0"/>
                    <w:right w:val="single" w:color="000000" w:sz="4" w:space="0"/>
                  </w:tcBorders>
                  <w:noWrap w:val="0"/>
                  <w:vAlign w:val="center"/>
                </w:tcPr>
                <w:p w14:paraId="3CF0700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SO</w:t>
                  </w:r>
                  <w:r>
                    <w:rPr>
                      <w:rFonts w:hint="eastAsia" w:ascii="Times New Roman" w:hAnsi="Times New Roman" w:eastAsia="宋体" w:cs="Times New Roman"/>
                      <w:color w:val="auto"/>
                      <w:sz w:val="18"/>
                      <w:szCs w:val="18"/>
                      <w:vertAlign w:val="subscript"/>
                      <w:lang w:val="en-US" w:eastAsia="zh-CN"/>
                    </w:rPr>
                    <w:t>2</w:t>
                  </w: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10EBB8C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332D023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6.09</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41AB69B6">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4D69903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10.15</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0907F6C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1FD2D439">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30.45</w:t>
                  </w:r>
                </w:p>
              </w:tc>
              <w:tc>
                <w:tcPr>
                  <w:tcW w:w="477" w:type="pct"/>
                  <w:tcBorders>
                    <w:top w:val="single" w:color="000000" w:sz="4" w:space="0"/>
                    <w:left w:val="single" w:color="000000" w:sz="4" w:space="0"/>
                    <w:bottom w:val="single" w:color="000000" w:sz="4" w:space="0"/>
                    <w:right w:val="nil"/>
                  </w:tcBorders>
                  <w:noWrap w:val="0"/>
                  <w:vAlign w:val="center"/>
                </w:tcPr>
                <w:p w14:paraId="45AA5B8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48775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continue"/>
                  <w:tcBorders>
                    <w:top w:val="single" w:color="000000" w:sz="4" w:space="0"/>
                    <w:left w:val="nil"/>
                    <w:bottom w:val="single" w:color="000000" w:sz="4" w:space="0"/>
                    <w:right w:val="single" w:color="000000" w:sz="4" w:space="0"/>
                  </w:tcBorders>
                  <w:noWrap w:val="0"/>
                  <w:vAlign w:val="center"/>
                </w:tcPr>
                <w:p w14:paraId="4C1339C0">
                  <w:pPr>
                    <w:jc w:val="center"/>
                    <w:rPr>
                      <w:rFonts w:hint="default" w:ascii="Times New Roman" w:hAnsi="Times New Roman" w:eastAsia="宋体" w:cs="Times New Roman"/>
                      <w:color w:val="auto"/>
                      <w:sz w:val="18"/>
                      <w:szCs w:val="18"/>
                    </w:rPr>
                  </w:pP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17D7F37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第98百分位数24h平均质量浓度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64B8E03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10</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65A76312">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0345F78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6.67</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48A532B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4BE93086">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20.00</w:t>
                  </w:r>
                </w:p>
              </w:tc>
              <w:tc>
                <w:tcPr>
                  <w:tcW w:w="477" w:type="pct"/>
                  <w:tcBorders>
                    <w:top w:val="single" w:color="000000" w:sz="4" w:space="0"/>
                    <w:left w:val="single" w:color="000000" w:sz="4" w:space="0"/>
                    <w:bottom w:val="single" w:color="000000" w:sz="4" w:space="0"/>
                    <w:right w:val="nil"/>
                  </w:tcBorders>
                  <w:noWrap w:val="0"/>
                  <w:vAlign w:val="center"/>
                </w:tcPr>
                <w:p w14:paraId="380802AD">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5BFD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restart"/>
                  <w:tcBorders>
                    <w:top w:val="single" w:color="000000" w:sz="4" w:space="0"/>
                    <w:left w:val="nil"/>
                    <w:bottom w:val="single" w:color="000000" w:sz="4" w:space="0"/>
                    <w:right w:val="single" w:color="000000" w:sz="4" w:space="0"/>
                  </w:tcBorders>
                  <w:noWrap w:val="0"/>
                  <w:vAlign w:val="center"/>
                </w:tcPr>
                <w:p w14:paraId="7767758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NO</w:t>
                  </w:r>
                  <w:r>
                    <w:rPr>
                      <w:rFonts w:hint="eastAsia" w:ascii="Times New Roman" w:hAnsi="Times New Roman" w:eastAsia="宋体" w:cs="Times New Roman"/>
                      <w:color w:val="auto"/>
                      <w:sz w:val="18"/>
                      <w:szCs w:val="18"/>
                      <w:vertAlign w:val="subscript"/>
                      <w:lang w:val="en-US" w:eastAsia="zh-CN"/>
                    </w:rPr>
                    <w:t>2</w:t>
                  </w: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0BB95275">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51E50BC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7.31</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358F88F2">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3661F1C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18.28</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677AD03F">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49285974">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24.37</w:t>
                  </w:r>
                </w:p>
              </w:tc>
              <w:tc>
                <w:tcPr>
                  <w:tcW w:w="477" w:type="pct"/>
                  <w:tcBorders>
                    <w:top w:val="single" w:color="000000" w:sz="4" w:space="0"/>
                    <w:left w:val="single" w:color="000000" w:sz="4" w:space="0"/>
                    <w:bottom w:val="single" w:color="000000" w:sz="4" w:space="0"/>
                    <w:right w:val="nil"/>
                  </w:tcBorders>
                  <w:noWrap w:val="0"/>
                  <w:vAlign w:val="center"/>
                </w:tcPr>
                <w:p w14:paraId="1BB60D4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29EC9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continue"/>
                  <w:tcBorders>
                    <w:top w:val="single" w:color="000000" w:sz="4" w:space="0"/>
                    <w:left w:val="nil"/>
                    <w:bottom w:val="single" w:color="000000" w:sz="4" w:space="0"/>
                    <w:right w:val="single" w:color="000000" w:sz="4" w:space="0"/>
                  </w:tcBorders>
                  <w:noWrap w:val="0"/>
                  <w:vAlign w:val="center"/>
                </w:tcPr>
                <w:p w14:paraId="487D8076">
                  <w:pPr>
                    <w:jc w:val="center"/>
                    <w:rPr>
                      <w:rFonts w:hint="default" w:ascii="Times New Roman" w:hAnsi="Times New Roman" w:eastAsia="宋体" w:cs="Times New Roman"/>
                      <w:color w:val="auto"/>
                      <w:sz w:val="18"/>
                      <w:szCs w:val="18"/>
                    </w:rPr>
                  </w:pP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3A7820A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第98百分位数24h平均质量浓度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267C62D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14</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5458AE46">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013D929E">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17.50</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03D1546E">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39399E10">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28.00</w:t>
                  </w:r>
                </w:p>
              </w:tc>
              <w:tc>
                <w:tcPr>
                  <w:tcW w:w="477" w:type="pct"/>
                  <w:tcBorders>
                    <w:top w:val="single" w:color="000000" w:sz="4" w:space="0"/>
                    <w:left w:val="single" w:color="000000" w:sz="4" w:space="0"/>
                    <w:bottom w:val="single" w:color="000000" w:sz="4" w:space="0"/>
                    <w:right w:val="nil"/>
                  </w:tcBorders>
                  <w:noWrap w:val="0"/>
                  <w:vAlign w:val="center"/>
                </w:tcPr>
                <w:p w14:paraId="37EB435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4C42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restart"/>
                  <w:tcBorders>
                    <w:top w:val="single" w:color="000000" w:sz="4" w:space="0"/>
                    <w:left w:val="nil"/>
                    <w:bottom w:val="single" w:color="000000" w:sz="4" w:space="0"/>
                    <w:right w:val="single" w:color="000000" w:sz="4" w:space="0"/>
                  </w:tcBorders>
                  <w:noWrap w:val="0"/>
                  <w:vAlign w:val="center"/>
                </w:tcPr>
                <w:p w14:paraId="1039AF5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PM</w:t>
                  </w:r>
                  <w:r>
                    <w:rPr>
                      <w:rFonts w:hint="default" w:ascii="Times New Roman" w:hAnsi="Times New Roman" w:eastAsia="宋体" w:cs="Times New Roman"/>
                      <w:color w:val="auto"/>
                      <w:sz w:val="18"/>
                      <w:szCs w:val="18"/>
                      <w:vertAlign w:val="subscript"/>
                      <w:lang w:val="en-US" w:eastAsia="zh-CN"/>
                    </w:rPr>
                    <w:t>10</w:t>
                  </w: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53BE67A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0B5BDC3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24.09</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2105925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1102671E">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40.15</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66146DA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1D492736">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48.18</w:t>
                  </w:r>
                </w:p>
              </w:tc>
              <w:tc>
                <w:tcPr>
                  <w:tcW w:w="477" w:type="pct"/>
                  <w:tcBorders>
                    <w:top w:val="single" w:color="000000" w:sz="4" w:space="0"/>
                    <w:left w:val="single" w:color="000000" w:sz="4" w:space="0"/>
                    <w:bottom w:val="single" w:color="000000" w:sz="4" w:space="0"/>
                    <w:right w:val="nil"/>
                  </w:tcBorders>
                  <w:noWrap w:val="0"/>
                  <w:vAlign w:val="center"/>
                </w:tcPr>
                <w:p w14:paraId="04D0735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47B6E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continue"/>
                  <w:tcBorders>
                    <w:top w:val="single" w:color="000000" w:sz="4" w:space="0"/>
                    <w:left w:val="nil"/>
                    <w:bottom w:val="single" w:color="000000" w:sz="4" w:space="0"/>
                    <w:right w:val="single" w:color="000000" w:sz="4" w:space="0"/>
                  </w:tcBorders>
                  <w:noWrap w:val="0"/>
                  <w:vAlign w:val="center"/>
                </w:tcPr>
                <w:p w14:paraId="386720E0">
                  <w:pPr>
                    <w:jc w:val="center"/>
                    <w:rPr>
                      <w:rFonts w:hint="default" w:ascii="Times New Roman" w:hAnsi="Times New Roman" w:eastAsia="宋体" w:cs="Times New Roman"/>
                      <w:color w:val="auto"/>
                      <w:sz w:val="18"/>
                      <w:szCs w:val="18"/>
                    </w:rPr>
                  </w:pP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3A0C045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第95百分位数24h平均质量浓度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6C6D2D6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55</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1B6827A3">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6F8D5C4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45.83</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4C00768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44DC1F02">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55.00</w:t>
                  </w:r>
                </w:p>
              </w:tc>
              <w:tc>
                <w:tcPr>
                  <w:tcW w:w="477" w:type="pct"/>
                  <w:tcBorders>
                    <w:top w:val="single" w:color="000000" w:sz="4" w:space="0"/>
                    <w:left w:val="single" w:color="000000" w:sz="4" w:space="0"/>
                    <w:bottom w:val="single" w:color="000000" w:sz="4" w:space="0"/>
                    <w:right w:val="nil"/>
                  </w:tcBorders>
                  <w:noWrap w:val="0"/>
                  <w:vAlign w:val="center"/>
                </w:tcPr>
                <w:p w14:paraId="25D1D08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0ACF4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tcBorders>
                    <w:top w:val="single" w:color="000000" w:sz="4" w:space="0"/>
                    <w:left w:val="nil"/>
                    <w:bottom w:val="single" w:color="000000" w:sz="4" w:space="0"/>
                    <w:right w:val="single" w:color="000000" w:sz="4" w:space="0"/>
                  </w:tcBorders>
                  <w:noWrap w:val="0"/>
                  <w:vAlign w:val="center"/>
                </w:tcPr>
                <w:p w14:paraId="59E4CF0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CO</w:t>
                  </w: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366BBC6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第95百分位数24h平均质量浓度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6E56A51C">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600</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1DC5250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4000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4F9DB36F">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15.00</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151F16B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4000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7EFB9FD3">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15.00</w:t>
                  </w:r>
                </w:p>
              </w:tc>
              <w:tc>
                <w:tcPr>
                  <w:tcW w:w="477" w:type="pct"/>
                  <w:tcBorders>
                    <w:top w:val="single" w:color="000000" w:sz="4" w:space="0"/>
                    <w:left w:val="single" w:color="000000" w:sz="4" w:space="0"/>
                    <w:bottom w:val="single" w:color="000000" w:sz="4" w:space="0"/>
                    <w:right w:val="nil"/>
                  </w:tcBorders>
                  <w:noWrap w:val="0"/>
                  <w:vAlign w:val="center"/>
                </w:tcPr>
                <w:p w14:paraId="41E8D95F">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71658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tcBorders>
                    <w:top w:val="single" w:color="000000" w:sz="4" w:space="0"/>
                    <w:left w:val="nil"/>
                    <w:bottom w:val="single" w:color="000000" w:sz="4" w:space="0"/>
                    <w:right w:val="single" w:color="000000" w:sz="4" w:space="0"/>
                  </w:tcBorders>
                  <w:noWrap w:val="0"/>
                  <w:vAlign w:val="center"/>
                </w:tcPr>
                <w:p w14:paraId="0F02C0CB">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O</w:t>
                  </w:r>
                  <w:r>
                    <w:rPr>
                      <w:rFonts w:hint="eastAsia" w:ascii="Times New Roman" w:hAnsi="Times New Roman" w:eastAsia="宋体" w:cs="Times New Roman"/>
                      <w:color w:val="auto"/>
                      <w:sz w:val="18"/>
                      <w:szCs w:val="18"/>
                      <w:vertAlign w:val="subscript"/>
                      <w:lang w:val="en-US" w:eastAsia="zh-CN"/>
                    </w:rPr>
                    <w:t>3</w:t>
                  </w: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3A58746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第90百分位数8h平均质量浓度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482853D2">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74</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67E9C14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6085102C">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46.25</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570D654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7584E026">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46.25</w:t>
                  </w:r>
                </w:p>
              </w:tc>
              <w:tc>
                <w:tcPr>
                  <w:tcW w:w="477" w:type="pct"/>
                  <w:tcBorders>
                    <w:top w:val="single" w:color="000000" w:sz="4" w:space="0"/>
                    <w:left w:val="single" w:color="000000" w:sz="4" w:space="0"/>
                    <w:bottom w:val="single" w:color="000000" w:sz="4" w:space="0"/>
                    <w:right w:val="nil"/>
                  </w:tcBorders>
                  <w:noWrap w:val="0"/>
                  <w:vAlign w:val="center"/>
                </w:tcPr>
                <w:p w14:paraId="72689D71">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3C47C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restart"/>
                  <w:tcBorders>
                    <w:top w:val="single" w:color="000000" w:sz="4" w:space="0"/>
                    <w:left w:val="nil"/>
                    <w:bottom w:val="single" w:color="000000" w:sz="4" w:space="0"/>
                    <w:right w:val="single" w:color="000000" w:sz="4" w:space="0"/>
                  </w:tcBorders>
                  <w:noWrap w:val="0"/>
                  <w:vAlign w:val="center"/>
                </w:tcPr>
                <w:p w14:paraId="2C35C09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PM</w:t>
                  </w:r>
                  <w:r>
                    <w:rPr>
                      <w:rFonts w:hint="default" w:ascii="Times New Roman" w:hAnsi="Times New Roman" w:eastAsia="宋体" w:cs="Times New Roman"/>
                      <w:color w:val="auto"/>
                      <w:sz w:val="18"/>
                      <w:szCs w:val="18"/>
                      <w:vertAlign w:val="subscript"/>
                      <w:lang w:val="en-US" w:eastAsia="zh-CN"/>
                    </w:rPr>
                    <w:t>2.5</w:t>
                  </w: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1E59885A">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年平均质量浓度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2C742C40">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16.78</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0062497E">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3FC5244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55.93</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6D41C1F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25</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219F1953">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67.12</w:t>
                  </w:r>
                </w:p>
              </w:tc>
              <w:tc>
                <w:tcPr>
                  <w:tcW w:w="477" w:type="pct"/>
                  <w:tcBorders>
                    <w:top w:val="single" w:color="000000" w:sz="4" w:space="0"/>
                    <w:left w:val="single" w:color="000000" w:sz="4" w:space="0"/>
                    <w:bottom w:val="single" w:color="000000" w:sz="4" w:space="0"/>
                    <w:right w:val="nil"/>
                  </w:tcBorders>
                  <w:noWrap w:val="0"/>
                  <w:vAlign w:val="center"/>
                </w:tcPr>
                <w:p w14:paraId="755A6A64">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r w14:paraId="12D91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20" w:type="pct"/>
                  <w:vMerge w:val="continue"/>
                  <w:tcBorders>
                    <w:top w:val="single" w:color="000000" w:sz="4" w:space="0"/>
                    <w:left w:val="nil"/>
                    <w:bottom w:val="single" w:color="000000" w:sz="4" w:space="0"/>
                    <w:right w:val="single" w:color="000000" w:sz="4" w:space="0"/>
                  </w:tcBorders>
                  <w:noWrap w:val="0"/>
                  <w:vAlign w:val="center"/>
                </w:tcPr>
                <w:p w14:paraId="61C5B739">
                  <w:pPr>
                    <w:jc w:val="center"/>
                    <w:rPr>
                      <w:rFonts w:hint="default" w:ascii="Times New Roman" w:hAnsi="Times New Roman" w:eastAsia="宋体" w:cs="Times New Roman"/>
                      <w:color w:val="auto"/>
                      <w:sz w:val="18"/>
                      <w:szCs w:val="18"/>
                    </w:rPr>
                  </w:pPr>
                </w:p>
              </w:tc>
              <w:tc>
                <w:tcPr>
                  <w:tcW w:w="1257" w:type="pct"/>
                  <w:tcBorders>
                    <w:top w:val="single" w:color="000000" w:sz="4" w:space="0"/>
                    <w:left w:val="single" w:color="000000" w:sz="4" w:space="0"/>
                    <w:bottom w:val="single" w:color="000000" w:sz="4" w:space="0"/>
                    <w:right w:val="single" w:color="000000" w:sz="4" w:space="0"/>
                  </w:tcBorders>
                  <w:noWrap w:val="0"/>
                  <w:vAlign w:val="center"/>
                </w:tcPr>
                <w:p w14:paraId="25A2B1C9">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第95百分位数24h平均质量浓度</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79E68623">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43</w:t>
                  </w:r>
                </w:p>
              </w:tc>
              <w:tc>
                <w:tcPr>
                  <w:tcW w:w="563" w:type="pct"/>
                  <w:tcBorders>
                    <w:top w:val="single" w:color="000000" w:sz="4" w:space="0"/>
                    <w:left w:val="single" w:color="000000" w:sz="4" w:space="0"/>
                    <w:bottom w:val="single" w:color="000000" w:sz="4" w:space="0"/>
                    <w:right w:val="single" w:color="000000" w:sz="4" w:space="0"/>
                  </w:tcBorders>
                  <w:noWrap w:val="0"/>
                  <w:vAlign w:val="center"/>
                </w:tcPr>
                <w:p w14:paraId="6A4A629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60</w:t>
                  </w: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02EEE6BC">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71.67</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6117570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72380C6E">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86.00</w:t>
                  </w:r>
                </w:p>
              </w:tc>
              <w:tc>
                <w:tcPr>
                  <w:tcW w:w="477" w:type="pct"/>
                  <w:tcBorders>
                    <w:top w:val="single" w:color="000000" w:sz="4" w:space="0"/>
                    <w:left w:val="single" w:color="000000" w:sz="4" w:space="0"/>
                    <w:bottom w:val="single" w:color="000000" w:sz="4" w:space="0"/>
                    <w:right w:val="nil"/>
                  </w:tcBorders>
                  <w:noWrap w:val="0"/>
                  <w:vAlign w:val="center"/>
                </w:tcPr>
                <w:p w14:paraId="012C68AE">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达标</w:t>
                  </w:r>
                </w:p>
              </w:tc>
            </w:tr>
          </w:tbl>
          <w:p w14:paraId="7EDEF72A">
            <w:pPr>
              <w:widowControl/>
              <w:autoSpaceDE w:val="0"/>
              <w:autoSpaceDN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根据2024年监测数据可知，新平县SO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、CO、O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六项污染物均满足《环境空气质量标准》</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GB3095-20</w:t>
            </w:r>
            <w:r>
              <w:rPr>
                <w:rFonts w:hint="eastAsia" w:ascii="Times New Roman" w:hAnsi="Times New Roman" w:eastAsia="宋体" w:cs="Times New Roman"/>
                <w:color w:val="auto"/>
                <w:kern w:val="0"/>
                <w:sz w:val="24"/>
                <w:lang w:val="en-US" w:eastAsia="zh-CN"/>
              </w:rPr>
              <w:t>26</w:t>
            </w:r>
            <w:r>
              <w:rPr>
                <w:rFonts w:hint="default" w:ascii="Times New Roman" w:hAnsi="Times New Roman" w:eastAsia="宋体" w:cs="Times New Roman"/>
                <w:color w:val="auto"/>
                <w:kern w:val="0"/>
                <w:sz w:val="24"/>
                <w:lang w:val="en-US" w:eastAsia="zh-CN"/>
              </w:rPr>
              <w:t>）二级标准浓度限值要求，项目所在区域属于环境空气质量达标区。</w:t>
            </w:r>
          </w:p>
          <w:p w14:paraId="7B897435">
            <w:pPr>
              <w:widowControl/>
              <w:autoSpaceDE w:val="0"/>
              <w:autoSpaceDN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因此，项目所在区域属于环境空气质量达标区。</w:t>
            </w:r>
          </w:p>
          <w:p w14:paraId="6A089EDB">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（3）特征因子补充监测</w:t>
            </w:r>
          </w:p>
          <w:p w14:paraId="3285139D">
            <w:pPr>
              <w:widowControl/>
              <w:autoSpaceDE w:val="0"/>
              <w:autoSpaceDN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w:t>
            </w:r>
            <w:r>
              <w:rPr>
                <w:rFonts w:hint="default" w:ascii="Times New Roman" w:hAnsi="Times New Roman" w:eastAsia="宋体" w:cs="Times New Roman"/>
                <w:color w:val="auto"/>
                <w:kern w:val="0"/>
                <w:sz w:val="24"/>
              </w:rPr>
              <w:t>项目</w:t>
            </w:r>
            <w:r>
              <w:rPr>
                <w:rFonts w:hint="eastAsia" w:ascii="Times New Roman" w:hAnsi="Times New Roman" w:eastAsia="宋体" w:cs="Times New Roman"/>
                <w:color w:val="auto"/>
                <w:kern w:val="0"/>
                <w:sz w:val="24"/>
                <w:lang w:val="en-US" w:eastAsia="zh-CN"/>
              </w:rPr>
              <w:t>为民用爆炸物品储存库建设项目，运营期无生产废气产生，废气污染物主要为运输扬尘，</w:t>
            </w:r>
            <w:r>
              <w:rPr>
                <w:rFonts w:hint="default" w:ascii="Times New Roman" w:hAnsi="Times New Roman" w:eastAsia="宋体" w:cs="Times New Roman"/>
                <w:color w:val="auto"/>
                <w:kern w:val="0"/>
                <w:sz w:val="24"/>
              </w:rPr>
              <w:t>特征污染因子为TSP</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为进一步了解项目所在区域TSP达标情况，</w:t>
            </w:r>
            <w:r>
              <w:rPr>
                <w:rFonts w:hint="eastAsia" w:ascii="Times New Roman" w:hAnsi="Times New Roman" w:eastAsia="宋体" w:cs="Times New Roman"/>
                <w:color w:val="auto"/>
                <w:kern w:val="0"/>
                <w:sz w:val="24"/>
                <w:lang w:val="en-US" w:eastAsia="zh-CN"/>
              </w:rPr>
              <w:t>本次评价引用《玉溪大红山矿业有限公司I号铜浅部和II1头部采区充填系统建设项目环境影响报告表》中玉溪大红山矿业有限公司</w:t>
            </w:r>
            <w:r>
              <w:rPr>
                <w:rFonts w:hint="default" w:ascii="Times New Roman" w:hAnsi="Times New Roman" w:eastAsia="宋体" w:cs="Times New Roman"/>
                <w:color w:val="auto"/>
                <w:kern w:val="0"/>
                <w:sz w:val="24"/>
                <w:lang w:val="en-US" w:eastAsia="zh-CN"/>
              </w:rPr>
              <w:t>委托</w:t>
            </w:r>
            <w:r>
              <w:rPr>
                <w:rFonts w:hint="default" w:ascii="Times New Roman" w:hAnsi="Times New Roman" w:eastAsia="宋体" w:cs="Times New Roman"/>
                <w:color w:val="auto"/>
                <w:kern w:val="0"/>
                <w:sz w:val="24"/>
              </w:rPr>
              <w:t>云南亚明环境监测科技有限</w:t>
            </w:r>
            <w:r>
              <w:rPr>
                <w:rFonts w:hint="eastAsia" w:ascii="Times New Roman" w:hAnsi="Times New Roman" w:eastAsia="宋体" w:cs="Times New Roman"/>
                <w:color w:val="auto"/>
                <w:kern w:val="0"/>
                <w:sz w:val="24"/>
                <w:lang w:eastAsia="zh-CN"/>
              </w:rPr>
              <w:t>公司</w:t>
            </w:r>
            <w:r>
              <w:rPr>
                <w:rFonts w:hint="default" w:ascii="Times New Roman" w:hAnsi="Times New Roman" w:eastAsia="宋体" w:cs="Times New Roman"/>
                <w:color w:val="auto"/>
                <w:kern w:val="0"/>
                <w:sz w:val="24"/>
                <w:lang w:val="en-US" w:eastAsia="zh-CN"/>
              </w:rPr>
              <w:t>对</w:t>
            </w:r>
            <w:r>
              <w:rPr>
                <w:rFonts w:hint="eastAsia" w:ascii="Times New Roman" w:hAnsi="Times New Roman" w:eastAsia="宋体" w:cs="Times New Roman"/>
                <w:color w:val="auto"/>
                <w:kern w:val="0"/>
                <w:sz w:val="24"/>
                <w:lang w:val="en-US" w:eastAsia="zh-CN"/>
              </w:rPr>
              <w:t>该项目</w:t>
            </w:r>
            <w:r>
              <w:rPr>
                <w:rFonts w:hint="default" w:ascii="Times New Roman" w:hAnsi="Times New Roman" w:eastAsia="宋体" w:cs="Times New Roman"/>
                <w:color w:val="auto"/>
                <w:kern w:val="0"/>
                <w:sz w:val="24"/>
                <w:lang w:val="en-US" w:eastAsia="zh-CN"/>
              </w:rPr>
              <w:t>充填站厂界下风向</w:t>
            </w:r>
            <w:r>
              <w:rPr>
                <w:rFonts w:hint="default" w:ascii="Times New Roman" w:hAnsi="Times New Roman" w:eastAsia="宋体" w:cs="Times New Roman"/>
                <w:color w:val="auto"/>
                <w:kern w:val="0"/>
                <w:sz w:val="24"/>
              </w:rPr>
              <w:t>TSP</w:t>
            </w:r>
            <w:r>
              <w:rPr>
                <w:rFonts w:hint="default" w:ascii="Times New Roman" w:hAnsi="Times New Roman" w:eastAsia="宋体" w:cs="Times New Roman"/>
                <w:color w:val="auto"/>
                <w:kern w:val="0"/>
                <w:sz w:val="24"/>
                <w:lang w:val="en-US" w:eastAsia="zh-CN"/>
              </w:rPr>
              <w:t>浓度情况进行</w:t>
            </w:r>
            <w:r>
              <w:rPr>
                <w:rFonts w:hint="eastAsia" w:ascii="Times New Roman" w:hAnsi="Times New Roman" w:eastAsia="宋体" w:cs="Times New Roman"/>
                <w:color w:val="auto"/>
                <w:kern w:val="0"/>
                <w:sz w:val="24"/>
                <w:lang w:val="en-US" w:eastAsia="zh-CN"/>
              </w:rPr>
              <w:t>的</w:t>
            </w:r>
            <w:r>
              <w:rPr>
                <w:rFonts w:hint="default" w:ascii="Times New Roman" w:hAnsi="Times New Roman" w:eastAsia="宋体" w:cs="Times New Roman"/>
                <w:color w:val="auto"/>
                <w:kern w:val="0"/>
                <w:sz w:val="24"/>
                <w:lang w:val="en-US" w:eastAsia="zh-CN"/>
              </w:rPr>
              <w:t>监测</w:t>
            </w:r>
            <w:r>
              <w:rPr>
                <w:rFonts w:hint="eastAsia" w:ascii="Times New Roman" w:hAnsi="Times New Roman" w:eastAsia="宋体" w:cs="Times New Roman"/>
                <w:color w:val="auto"/>
                <w:kern w:val="0"/>
                <w:sz w:val="24"/>
                <w:lang w:val="en-US" w:eastAsia="zh-CN"/>
              </w:rPr>
              <w:t>。</w:t>
            </w:r>
          </w:p>
          <w:p w14:paraId="7E3ADB8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kern w:val="0"/>
                <w:sz w:val="24"/>
                <w:szCs w:val="24"/>
                <w:highlight w:val="none"/>
                <w:lang w:val="en-US" w:eastAsia="zh-CN" w:bidi="ar"/>
              </w:rPr>
              <w:t>《玉溪大红山矿业有限公司I号铜浅部和II1头部采区充填系统建设项目》拟建厂址</w:t>
            </w:r>
            <w:r>
              <w:rPr>
                <w:rFonts w:hint="eastAsia" w:ascii="Times New Roman" w:hAnsi="Times New Roman" w:eastAsia="宋体" w:cs="Times New Roman"/>
                <w:color w:val="auto"/>
                <w:kern w:val="0"/>
                <w:sz w:val="24"/>
                <w:szCs w:val="24"/>
                <w:highlight w:val="none"/>
                <w:lang w:val="en-US" w:eastAsia="zh-CN" w:bidi="ar"/>
              </w:rPr>
              <w:t>位于本项目西北侧</w:t>
            </w:r>
            <w:r>
              <w:rPr>
                <w:rFonts w:hint="eastAsia" w:cs="Times New Roman"/>
                <w:color w:val="auto"/>
                <w:kern w:val="0"/>
                <w:sz w:val="24"/>
                <w:szCs w:val="24"/>
                <w:highlight w:val="none"/>
                <w:lang w:val="en-US" w:eastAsia="zh-CN" w:bidi="ar"/>
              </w:rPr>
              <w:t>115</w:t>
            </w:r>
            <w:r>
              <w:rPr>
                <w:rFonts w:hint="eastAsia" w:ascii="Times New Roman" w:hAnsi="Times New Roman" w:eastAsia="宋体" w:cs="Times New Roman"/>
                <w:color w:val="auto"/>
                <w:kern w:val="0"/>
                <w:sz w:val="24"/>
                <w:szCs w:val="24"/>
                <w:highlight w:val="none"/>
                <w:lang w:val="en-US" w:eastAsia="zh-CN" w:bidi="ar"/>
              </w:rPr>
              <w:t>m处，</w:t>
            </w:r>
            <w:r>
              <w:rPr>
                <w:rFonts w:hint="default" w:ascii="Times New Roman" w:hAnsi="Times New Roman" w:eastAsia="宋体" w:cs="Times New Roman"/>
                <w:color w:val="auto"/>
                <w:kern w:val="0"/>
                <w:sz w:val="24"/>
                <w:szCs w:val="24"/>
                <w:highlight w:val="none"/>
                <w:lang w:val="en-US" w:eastAsia="zh-CN" w:bidi="ar"/>
              </w:rPr>
              <w:t>且监测时间为202</w:t>
            </w: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年</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月</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日~</w:t>
            </w:r>
            <w:r>
              <w:rPr>
                <w:rFonts w:hint="eastAsia" w:ascii="Times New Roman" w:hAnsi="Times New Roman" w:eastAsia="宋体"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日，在三年有效期以内，</w:t>
            </w:r>
            <w:r>
              <w:rPr>
                <w:rFonts w:hint="eastAsia" w:ascii="Times New Roman" w:hAnsi="Times New Roman" w:eastAsia="宋体" w:cs="Times New Roman"/>
                <w:color w:val="auto"/>
                <w:kern w:val="0"/>
                <w:sz w:val="24"/>
                <w:szCs w:val="24"/>
                <w:highlight w:val="none"/>
                <w:lang w:val="en-US" w:eastAsia="zh-CN" w:bidi="ar"/>
              </w:rPr>
              <w:t>监测点为</w:t>
            </w:r>
            <w:r>
              <w:rPr>
                <w:rFonts w:hint="eastAsia" w:ascii="Times New Roman" w:hAnsi="Times New Roman" w:eastAsia="宋体" w:cs="Times New Roman"/>
                <w:color w:val="auto"/>
                <w:kern w:val="0"/>
                <w:sz w:val="24"/>
                <w:lang w:val="en-US" w:eastAsia="zh-CN"/>
              </w:rPr>
              <w:t>该项目</w:t>
            </w:r>
            <w:r>
              <w:rPr>
                <w:rFonts w:hint="default" w:ascii="Times New Roman" w:hAnsi="Times New Roman" w:eastAsia="宋体" w:cs="Times New Roman"/>
                <w:color w:val="auto"/>
                <w:kern w:val="0"/>
                <w:sz w:val="24"/>
                <w:lang w:val="en-US" w:eastAsia="zh-CN"/>
              </w:rPr>
              <w:t>充填站厂界下风向</w:t>
            </w:r>
            <w:r>
              <w:rPr>
                <w:rFonts w:hint="eastAsia" w:ascii="Times New Roman" w:hAnsi="Times New Roman" w:eastAsia="宋体" w:cs="Times New Roman"/>
                <w:color w:val="auto"/>
                <w:kern w:val="0"/>
                <w:sz w:val="24"/>
                <w:szCs w:val="24"/>
                <w:highlight w:val="none"/>
                <w:lang w:val="en-US" w:eastAsia="zh-CN" w:bidi="ar"/>
              </w:rPr>
              <w:t>，监测点位于项目区西北侧</w:t>
            </w:r>
            <w:r>
              <w:rPr>
                <w:rFonts w:hint="eastAsia" w:cs="Times New Roman"/>
                <w:color w:val="auto"/>
                <w:kern w:val="0"/>
                <w:sz w:val="24"/>
                <w:szCs w:val="24"/>
                <w:highlight w:val="none"/>
                <w:lang w:val="en-US" w:eastAsia="zh-CN" w:bidi="ar"/>
              </w:rPr>
              <w:t>12</w:t>
            </w:r>
            <w:r>
              <w:rPr>
                <w:rFonts w:hint="eastAsia" w:ascii="Times New Roman" w:hAnsi="Times New Roman" w:eastAsia="宋体" w:cs="Times New Roman"/>
                <w:color w:val="auto"/>
                <w:kern w:val="0"/>
                <w:sz w:val="24"/>
                <w:szCs w:val="24"/>
                <w:highlight w:val="none"/>
                <w:lang w:val="en-US" w:eastAsia="zh-CN" w:bidi="ar"/>
              </w:rPr>
              <w:t>0m处。</w:t>
            </w:r>
            <w:r>
              <w:rPr>
                <w:rFonts w:hint="default" w:ascii="Times New Roman" w:hAnsi="Times New Roman" w:eastAsia="宋体" w:cs="Times New Roman"/>
                <w:color w:val="auto"/>
                <w:sz w:val="24"/>
                <w:lang w:bidi="ar"/>
              </w:rPr>
              <w:t>符合《建设项目环境影响报告表编制技术指南（污染影响类）（试行）》中“排放国家、地方环境空气质量标准中有标准限值要求的特征污染物时，引用建设项目周边5千米范围内近3年的现有监测数据，无相关数据的选择当季主导风向下风向1个点位补充不少于3天</w:t>
            </w:r>
            <w:r>
              <w:rPr>
                <w:rFonts w:hint="default" w:ascii="Times New Roman" w:hAnsi="Times New Roman" w:eastAsia="宋体" w:cs="Times New Roman"/>
                <w:color w:val="auto"/>
                <w:sz w:val="24"/>
                <w:highlight w:val="none"/>
                <w:lang w:bidi="ar"/>
              </w:rPr>
              <w:t>的监测数据”的要求</w:t>
            </w:r>
            <w:r>
              <w:rPr>
                <w:rFonts w:hint="eastAsia" w:ascii="Times New Roman" w:hAnsi="Times New Roman" w:eastAsia="宋体" w:cs="Times New Roman"/>
                <w:color w:val="auto"/>
                <w:sz w:val="24"/>
                <w:highlight w:val="none"/>
                <w:lang w:eastAsia="zh-CN" w:bidi="ar"/>
              </w:rPr>
              <w:t>。</w:t>
            </w:r>
          </w:p>
          <w:p w14:paraId="4EADE1E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lang w:val="en-US" w:eastAsia="zh-CN" w:bidi="ar"/>
              </w:rPr>
            </w:pPr>
            <w:r>
              <w:rPr>
                <w:rFonts w:hint="eastAsia" w:ascii="Times New Roman" w:hAnsi="Times New Roman" w:eastAsia="宋体" w:cs="Times New Roman"/>
                <w:color w:val="auto"/>
                <w:sz w:val="24"/>
                <w:highlight w:val="none"/>
                <w:lang w:val="en-US" w:eastAsia="zh-CN" w:bidi="ar"/>
              </w:rPr>
              <w:t>引用的监测点位图如下：</w:t>
            </w:r>
          </w:p>
          <w:p w14:paraId="16D261D3">
            <w:pPr>
              <w:keepNext w:val="0"/>
              <w:keepLines w:val="0"/>
              <w:suppressLineNumbers w:val="0"/>
              <w:adjustRightInd w:val="0"/>
              <w:snapToGrid w:val="0"/>
              <w:spacing w:before="0" w:beforeAutospacing="0" w:after="0" w:afterAutospacing="0" w:line="360" w:lineRule="auto"/>
              <w:ind w:right="0"/>
              <w:jc w:val="left"/>
              <w:rPr>
                <w:rFonts w:hint="default" w:ascii="Times New Roman" w:hAnsi="Times New Roman" w:eastAsia="宋体" w:cs="Times New Roman"/>
                <w:color w:val="auto"/>
                <w:sz w:val="24"/>
                <w:highlight w:val="none"/>
                <w:lang w:val="en-US" w:eastAsia="zh-CN" w:bidi="ar"/>
              </w:rPr>
            </w:pPr>
            <w:r>
              <w:rPr>
                <w:color w:val="auto"/>
              </w:rPr>
              <w:drawing>
                <wp:inline distT="0" distB="0" distL="114300" distR="114300">
                  <wp:extent cx="4882515" cy="3082290"/>
                  <wp:effectExtent l="0" t="0" r="13335" b="381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4882515" cy="3082290"/>
                          </a:xfrm>
                          <a:prstGeom prst="rect">
                            <a:avLst/>
                          </a:prstGeom>
                          <a:noFill/>
                          <a:ln>
                            <a:noFill/>
                          </a:ln>
                        </pic:spPr>
                      </pic:pic>
                    </a:graphicData>
                  </a:graphic>
                </wp:inline>
              </w:drawing>
            </w:r>
          </w:p>
          <w:p w14:paraId="107D02F4">
            <w:pPr>
              <w:adjustRightInd w:val="0"/>
              <w:snapToGrid w:val="0"/>
              <w:spacing w:line="360" w:lineRule="auto"/>
              <w:jc w:val="center"/>
              <w:rPr>
                <w:rFonts w:hint="default" w:eastAsia="黑体"/>
                <w:color w:val="auto"/>
                <w:kern w:val="0"/>
                <w:sz w:val="24"/>
                <w:highlight w:val="none"/>
                <w:lang w:val="en-US" w:eastAsia="zh-CN" w:bidi="ar"/>
              </w:rPr>
            </w:pPr>
            <w:r>
              <w:rPr>
                <w:rFonts w:hint="eastAsia" w:eastAsia="黑体"/>
                <w:bCs/>
                <w:color w:val="auto"/>
                <w:kern w:val="0"/>
                <w:sz w:val="22"/>
                <w:szCs w:val="22"/>
                <w:highlight w:val="none"/>
              </w:rPr>
              <w:t>图3-</w:t>
            </w:r>
            <w:r>
              <w:rPr>
                <w:rFonts w:hint="eastAsia" w:eastAsia="黑体"/>
                <w:bCs/>
                <w:color w:val="auto"/>
                <w:kern w:val="0"/>
                <w:sz w:val="22"/>
                <w:szCs w:val="22"/>
                <w:highlight w:val="none"/>
                <w:lang w:val="en-US" w:eastAsia="zh-CN"/>
              </w:rPr>
              <w:t>1</w:t>
            </w:r>
            <w:r>
              <w:rPr>
                <w:rFonts w:hint="eastAsia" w:eastAsia="黑体"/>
                <w:bCs/>
                <w:color w:val="auto"/>
                <w:kern w:val="0"/>
                <w:sz w:val="22"/>
                <w:szCs w:val="22"/>
                <w:highlight w:val="none"/>
              </w:rPr>
              <w:t xml:space="preserve">   </w:t>
            </w:r>
            <w:r>
              <w:rPr>
                <w:rFonts w:hint="eastAsia" w:eastAsia="黑体"/>
                <w:bCs/>
                <w:color w:val="auto"/>
                <w:kern w:val="0"/>
                <w:sz w:val="22"/>
                <w:szCs w:val="22"/>
                <w:highlight w:val="none"/>
                <w:lang w:val="en-US" w:eastAsia="zh-CN"/>
              </w:rPr>
              <w:t>引用的环境空气监测点位图</w:t>
            </w:r>
          </w:p>
          <w:p w14:paraId="10C5E84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根据监测结果经整理归纳后，结果列于</w:t>
            </w:r>
            <w:r>
              <w:rPr>
                <w:rFonts w:hint="eastAsia" w:ascii="Times New Roman" w:hAnsi="Times New Roman" w:cs="Times New Roman"/>
                <w:color w:val="auto"/>
                <w:sz w:val="24"/>
                <w:highlight w:val="none"/>
                <w:lang w:val="en-US" w:eastAsia="zh-CN"/>
              </w:rPr>
              <w:t>下表</w:t>
            </w:r>
            <w:r>
              <w:rPr>
                <w:rFonts w:hint="default" w:ascii="Times New Roman" w:hAnsi="Times New Roman" w:cs="Times New Roman"/>
                <w:color w:val="auto"/>
                <w:sz w:val="24"/>
                <w:highlight w:val="none"/>
              </w:rPr>
              <w:t>。</w:t>
            </w:r>
          </w:p>
          <w:p w14:paraId="14AFD2A1">
            <w:pPr>
              <w:pStyle w:val="4"/>
              <w:tabs>
                <w:tab w:val="left" w:pos="7230"/>
              </w:tabs>
              <w:adjustRightInd/>
              <w:spacing w:line="360" w:lineRule="auto"/>
              <w:ind w:firstLine="0"/>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lang w:val="en-US" w:eastAsia="zh-CN"/>
              </w:rPr>
              <w:t>表3-</w:t>
            </w:r>
            <w:r>
              <w:rPr>
                <w:rFonts w:hint="eastAsia" w:ascii="Times New Roman" w:hAnsi="Times New Roman" w:eastAsia="黑体" w:cs="Times New Roman"/>
                <w:bCs/>
                <w:color w:val="auto"/>
                <w:szCs w:val="21"/>
                <w:lang w:val="en-US" w:eastAsia="zh-CN"/>
              </w:rPr>
              <w:t>4</w:t>
            </w:r>
            <w:r>
              <w:rPr>
                <w:rFonts w:hint="default" w:ascii="Times New Roman" w:hAnsi="Times New Roman" w:eastAsia="黑体" w:cs="Times New Roman"/>
                <w:bCs/>
                <w:color w:val="auto"/>
                <w:szCs w:val="21"/>
                <w:lang w:val="en-US" w:eastAsia="zh-CN"/>
              </w:rPr>
              <w:t xml:space="preserve"> </w:t>
            </w:r>
            <w:r>
              <w:rPr>
                <w:rFonts w:hint="eastAsia" w:ascii="Times New Roman" w:hAnsi="Times New Roman" w:eastAsia="黑体" w:cs="Times New Roman"/>
                <w:bCs/>
                <w:color w:val="auto"/>
                <w:szCs w:val="21"/>
                <w:lang w:val="en-US" w:eastAsia="zh-CN"/>
              </w:rPr>
              <w:t xml:space="preserve">   </w:t>
            </w:r>
            <w:r>
              <w:rPr>
                <w:rFonts w:hint="default" w:ascii="Times New Roman" w:hAnsi="Times New Roman" w:eastAsia="黑体" w:cs="Times New Roman"/>
                <w:bCs/>
                <w:color w:val="auto"/>
                <w:szCs w:val="21"/>
                <w:lang w:val="en-US" w:eastAsia="zh-CN"/>
              </w:rPr>
              <w:t>TSP监测结果一览表</w:t>
            </w:r>
          </w:p>
          <w:tbl>
            <w:tblPr>
              <w:tblStyle w:val="37"/>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12"/>
              <w:gridCol w:w="1981"/>
              <w:gridCol w:w="1678"/>
              <w:gridCol w:w="994"/>
              <w:gridCol w:w="983"/>
              <w:gridCol w:w="1042"/>
            </w:tblGrid>
            <w:tr w14:paraId="5916129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7" w:type="pct"/>
                  <w:tcBorders>
                    <w:tl2br w:val="nil"/>
                    <w:tr2bl w:val="nil"/>
                  </w:tcBorders>
                  <w:noWrap w:val="0"/>
                  <w:vAlign w:val="center"/>
                </w:tcPr>
                <w:p w14:paraId="7D7BD77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监测点位</w:t>
                  </w:r>
                </w:p>
              </w:tc>
              <w:tc>
                <w:tcPr>
                  <w:tcW w:w="1288" w:type="pct"/>
                  <w:tcBorders>
                    <w:tl2br w:val="nil"/>
                    <w:tr2bl w:val="nil"/>
                  </w:tcBorders>
                  <w:noWrap w:val="0"/>
                  <w:vAlign w:val="center"/>
                </w:tcPr>
                <w:p w14:paraId="1113942C">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监测日期</w:t>
                  </w:r>
                </w:p>
              </w:tc>
              <w:tc>
                <w:tcPr>
                  <w:tcW w:w="1091" w:type="pct"/>
                  <w:tcBorders>
                    <w:tl2br w:val="nil"/>
                    <w:tr2bl w:val="nil"/>
                  </w:tcBorders>
                  <w:noWrap w:val="0"/>
                  <w:vAlign w:val="center"/>
                </w:tcPr>
                <w:p w14:paraId="43233CB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总悬浮颗粒物</w:t>
                  </w:r>
                </w:p>
              </w:tc>
              <w:tc>
                <w:tcPr>
                  <w:tcW w:w="646" w:type="pct"/>
                  <w:tcBorders>
                    <w:tl2br w:val="nil"/>
                    <w:tr2bl w:val="nil"/>
                  </w:tcBorders>
                  <w:noWrap w:val="0"/>
                  <w:vAlign w:val="center"/>
                </w:tcPr>
                <w:p w14:paraId="47B25D94">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标准值</w:t>
                  </w:r>
                </w:p>
              </w:tc>
              <w:tc>
                <w:tcPr>
                  <w:tcW w:w="639" w:type="pct"/>
                  <w:tcBorders>
                    <w:tl2br w:val="nil"/>
                    <w:tr2bl w:val="nil"/>
                  </w:tcBorders>
                  <w:noWrap w:val="0"/>
                  <w:vAlign w:val="center"/>
                </w:tcPr>
                <w:p w14:paraId="3281800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占标率</w:t>
                  </w:r>
                </w:p>
              </w:tc>
              <w:tc>
                <w:tcPr>
                  <w:tcW w:w="677" w:type="pct"/>
                  <w:tcBorders>
                    <w:tl2br w:val="nil"/>
                    <w:tr2bl w:val="nil"/>
                  </w:tcBorders>
                  <w:noWrap w:val="0"/>
                  <w:vAlign w:val="center"/>
                </w:tcPr>
                <w:p w14:paraId="3CCB2EC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是否达标</w:t>
                  </w:r>
                </w:p>
              </w:tc>
            </w:tr>
            <w:tr w14:paraId="1146EE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7" w:type="pct"/>
                  <w:vMerge w:val="restart"/>
                  <w:tcBorders>
                    <w:tl2br w:val="nil"/>
                    <w:tr2bl w:val="nil"/>
                  </w:tcBorders>
                  <w:noWrap w:val="0"/>
                  <w:vAlign w:val="center"/>
                </w:tcPr>
                <w:p w14:paraId="7F4B2013">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下风向G1</w:t>
                  </w:r>
                </w:p>
              </w:tc>
              <w:tc>
                <w:tcPr>
                  <w:tcW w:w="1288" w:type="pct"/>
                  <w:tcBorders>
                    <w:tl2br w:val="nil"/>
                    <w:tr2bl w:val="nil"/>
                  </w:tcBorders>
                  <w:noWrap w:val="0"/>
                  <w:vAlign w:val="center"/>
                </w:tcPr>
                <w:p w14:paraId="3D52011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2026-01-08～09</w:t>
                  </w:r>
                </w:p>
              </w:tc>
              <w:tc>
                <w:tcPr>
                  <w:tcW w:w="1091" w:type="pct"/>
                  <w:tcBorders>
                    <w:tl2br w:val="nil"/>
                    <w:tr2bl w:val="nil"/>
                  </w:tcBorders>
                  <w:noWrap w:val="0"/>
                  <w:vAlign w:val="center"/>
                </w:tcPr>
                <w:p w14:paraId="68147A4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121</w:t>
                  </w:r>
                </w:p>
              </w:tc>
              <w:tc>
                <w:tcPr>
                  <w:tcW w:w="646" w:type="pct"/>
                  <w:vMerge w:val="restart"/>
                  <w:tcBorders>
                    <w:tl2br w:val="nil"/>
                    <w:tr2bl w:val="nil"/>
                  </w:tcBorders>
                  <w:noWrap w:val="0"/>
                  <w:vAlign w:val="center"/>
                </w:tcPr>
                <w:p w14:paraId="7347C7A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c>
                <w:tcPr>
                  <w:tcW w:w="639" w:type="pct"/>
                  <w:tcBorders>
                    <w:tl2br w:val="nil"/>
                    <w:tr2bl w:val="nil"/>
                  </w:tcBorders>
                  <w:noWrap w:val="0"/>
                  <w:vAlign w:val="center"/>
                </w:tcPr>
                <w:p w14:paraId="30A0474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0.403</w:t>
                  </w:r>
                </w:p>
              </w:tc>
              <w:tc>
                <w:tcPr>
                  <w:tcW w:w="677" w:type="pct"/>
                  <w:tcBorders>
                    <w:tl2br w:val="nil"/>
                    <w:tr2bl w:val="nil"/>
                  </w:tcBorders>
                  <w:noWrap w:val="0"/>
                  <w:vAlign w:val="center"/>
                </w:tcPr>
                <w:p w14:paraId="0D4B1EEB">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39F3D5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noWrap w:val="0"/>
                  <w:vAlign w:val="center"/>
                </w:tcPr>
                <w:p w14:paraId="636CE7D3">
                  <w:pPr>
                    <w:jc w:val="center"/>
                    <w:rPr>
                      <w:rFonts w:hint="default" w:ascii="Times New Roman" w:hAnsi="Times New Roman" w:eastAsia="宋体" w:cs="Times New Roman"/>
                      <w:color w:val="auto"/>
                      <w:sz w:val="18"/>
                      <w:szCs w:val="18"/>
                      <w:lang w:val="en-US" w:eastAsia="zh-CN"/>
                    </w:rPr>
                  </w:pPr>
                </w:p>
              </w:tc>
              <w:tc>
                <w:tcPr>
                  <w:tcW w:w="1288" w:type="pct"/>
                  <w:tcBorders>
                    <w:tl2br w:val="nil"/>
                    <w:tr2bl w:val="nil"/>
                  </w:tcBorders>
                  <w:noWrap w:val="0"/>
                  <w:vAlign w:val="center"/>
                </w:tcPr>
                <w:p w14:paraId="4CE70C2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2026-01-09～10</w:t>
                  </w:r>
                </w:p>
              </w:tc>
              <w:tc>
                <w:tcPr>
                  <w:tcW w:w="1091" w:type="pct"/>
                  <w:tcBorders>
                    <w:tl2br w:val="nil"/>
                    <w:tr2bl w:val="nil"/>
                  </w:tcBorders>
                  <w:noWrap w:val="0"/>
                  <w:vAlign w:val="center"/>
                </w:tcPr>
                <w:p w14:paraId="4EB22511">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125</w:t>
                  </w:r>
                </w:p>
              </w:tc>
              <w:tc>
                <w:tcPr>
                  <w:tcW w:w="646" w:type="pct"/>
                  <w:vMerge w:val="continue"/>
                  <w:tcBorders>
                    <w:tl2br w:val="nil"/>
                    <w:tr2bl w:val="nil"/>
                  </w:tcBorders>
                  <w:noWrap w:val="0"/>
                  <w:vAlign w:val="center"/>
                </w:tcPr>
                <w:p w14:paraId="6897400C">
                  <w:pPr>
                    <w:jc w:val="center"/>
                    <w:rPr>
                      <w:rFonts w:hint="default" w:ascii="Times New Roman" w:hAnsi="Times New Roman" w:eastAsia="宋体" w:cs="Times New Roman"/>
                      <w:color w:val="auto"/>
                      <w:sz w:val="18"/>
                      <w:szCs w:val="18"/>
                      <w:lang w:val="en-US" w:eastAsia="zh-CN"/>
                    </w:rPr>
                  </w:pPr>
                </w:p>
              </w:tc>
              <w:tc>
                <w:tcPr>
                  <w:tcW w:w="639" w:type="pct"/>
                  <w:tcBorders>
                    <w:tl2br w:val="nil"/>
                    <w:tr2bl w:val="nil"/>
                  </w:tcBorders>
                  <w:noWrap w:val="0"/>
                  <w:vAlign w:val="center"/>
                </w:tcPr>
                <w:p w14:paraId="1BB4959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0.417</w:t>
                  </w:r>
                </w:p>
              </w:tc>
              <w:tc>
                <w:tcPr>
                  <w:tcW w:w="677" w:type="pct"/>
                  <w:tcBorders>
                    <w:tl2br w:val="nil"/>
                    <w:tr2bl w:val="nil"/>
                  </w:tcBorders>
                  <w:noWrap w:val="0"/>
                  <w:vAlign w:val="center"/>
                </w:tcPr>
                <w:p w14:paraId="2BE1D681">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4DC31B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noWrap w:val="0"/>
                  <w:vAlign w:val="center"/>
                </w:tcPr>
                <w:p w14:paraId="08631F8A">
                  <w:pPr>
                    <w:jc w:val="center"/>
                    <w:rPr>
                      <w:rFonts w:hint="default" w:ascii="Times New Roman" w:hAnsi="Times New Roman" w:eastAsia="宋体" w:cs="Times New Roman"/>
                      <w:color w:val="auto"/>
                      <w:sz w:val="18"/>
                      <w:szCs w:val="18"/>
                      <w:lang w:val="en-US" w:eastAsia="zh-CN"/>
                    </w:rPr>
                  </w:pPr>
                </w:p>
              </w:tc>
              <w:tc>
                <w:tcPr>
                  <w:tcW w:w="1288" w:type="pct"/>
                  <w:tcBorders>
                    <w:tl2br w:val="nil"/>
                    <w:tr2bl w:val="nil"/>
                  </w:tcBorders>
                  <w:noWrap w:val="0"/>
                  <w:vAlign w:val="center"/>
                </w:tcPr>
                <w:p w14:paraId="3CA6332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2026-01-10～11</w:t>
                  </w:r>
                </w:p>
              </w:tc>
              <w:tc>
                <w:tcPr>
                  <w:tcW w:w="1091" w:type="pct"/>
                  <w:tcBorders>
                    <w:tl2br w:val="nil"/>
                    <w:tr2bl w:val="nil"/>
                  </w:tcBorders>
                  <w:noWrap w:val="0"/>
                  <w:vAlign w:val="center"/>
                </w:tcPr>
                <w:p w14:paraId="07AF8DE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143</w:t>
                  </w:r>
                </w:p>
              </w:tc>
              <w:tc>
                <w:tcPr>
                  <w:tcW w:w="646" w:type="pct"/>
                  <w:vMerge w:val="continue"/>
                  <w:tcBorders>
                    <w:tl2br w:val="nil"/>
                    <w:tr2bl w:val="nil"/>
                  </w:tcBorders>
                  <w:noWrap w:val="0"/>
                  <w:vAlign w:val="center"/>
                </w:tcPr>
                <w:p w14:paraId="3AF244E3">
                  <w:pPr>
                    <w:jc w:val="center"/>
                    <w:rPr>
                      <w:rFonts w:hint="default" w:ascii="Times New Roman" w:hAnsi="Times New Roman" w:eastAsia="宋体" w:cs="Times New Roman"/>
                      <w:color w:val="auto"/>
                      <w:sz w:val="18"/>
                      <w:szCs w:val="18"/>
                      <w:lang w:val="en-US" w:eastAsia="zh-CN"/>
                    </w:rPr>
                  </w:pPr>
                </w:p>
              </w:tc>
              <w:tc>
                <w:tcPr>
                  <w:tcW w:w="639" w:type="pct"/>
                  <w:tcBorders>
                    <w:tl2br w:val="nil"/>
                    <w:tr2bl w:val="nil"/>
                  </w:tcBorders>
                  <w:noWrap w:val="0"/>
                  <w:vAlign w:val="center"/>
                </w:tcPr>
                <w:p w14:paraId="09AAF82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0.477</w:t>
                  </w:r>
                </w:p>
              </w:tc>
              <w:tc>
                <w:tcPr>
                  <w:tcW w:w="677" w:type="pct"/>
                  <w:tcBorders>
                    <w:tl2br w:val="nil"/>
                    <w:tr2bl w:val="nil"/>
                  </w:tcBorders>
                  <w:noWrap w:val="0"/>
                  <w:vAlign w:val="center"/>
                </w:tcPr>
                <w:p w14:paraId="55F2C59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bl>
          <w:p w14:paraId="129023B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w:t>
            </w:r>
            <w:r>
              <w:rPr>
                <w:rFonts w:hint="eastAsia" w:ascii="Times New Roman" w:hAnsi="Times New Roman" w:eastAsia="宋体" w:cs="Times New Roman"/>
                <w:color w:val="auto"/>
                <w:sz w:val="24"/>
                <w:highlight w:val="none"/>
                <w:lang w:val="en-US" w:eastAsia="zh-CN"/>
              </w:rPr>
              <w:t>所述</w:t>
            </w:r>
            <w:r>
              <w:rPr>
                <w:rFonts w:hint="default" w:ascii="Times New Roman" w:hAnsi="Times New Roman" w:eastAsia="宋体" w:cs="Times New Roman"/>
                <w:color w:val="auto"/>
                <w:sz w:val="24"/>
                <w:highlight w:val="none"/>
              </w:rPr>
              <w:t>，项目所在地环境空气质量属于达标区，环境质量现状能达到《环境空气质量标准》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GB3095-20</w:t>
            </w:r>
            <w:r>
              <w:rPr>
                <w:rFonts w:hint="eastAsia" w:cs="Times New Roman"/>
                <w:color w:val="auto"/>
                <w:sz w:val="24"/>
                <w:highlight w:val="none"/>
                <w:lang w:val="en-US" w:eastAsia="zh-CN"/>
              </w:rPr>
              <w:t>26</w:t>
            </w:r>
            <w:r>
              <w:rPr>
                <w:rFonts w:hint="default" w:ascii="Times New Roman" w:hAnsi="Times New Roman" w:eastAsia="宋体" w:cs="Times New Roman"/>
                <w:color w:val="auto"/>
                <w:sz w:val="24"/>
                <w:highlight w:val="none"/>
              </w:rPr>
              <w:t>）二级标准要求，环境质量较好。</w:t>
            </w:r>
          </w:p>
          <w:p w14:paraId="66E015FB">
            <w:pPr>
              <w:numPr>
                <w:ilvl w:val="0"/>
                <w:numId w:val="4"/>
              </w:num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地表水环境质量现状</w:t>
            </w:r>
          </w:p>
          <w:p w14:paraId="7A1CF4C8">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lang w:val="en-US" w:eastAsia="zh-CN"/>
              </w:rPr>
              <w:t>（1）地表水环境质量</w:t>
            </w:r>
            <w:r>
              <w:rPr>
                <w:rFonts w:hint="default" w:ascii="Times New Roman" w:hAnsi="Times New Roman" w:eastAsia="宋体" w:cs="Times New Roman"/>
                <w:b/>
                <w:bCs/>
                <w:color w:val="auto"/>
                <w:sz w:val="24"/>
                <w:lang w:val="en-US" w:eastAsia="zh-CN"/>
              </w:rPr>
              <w:t>标准</w:t>
            </w:r>
          </w:p>
          <w:p w14:paraId="6A11D687">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距离</w:t>
            </w:r>
            <w:r>
              <w:rPr>
                <w:rFonts w:hint="default" w:ascii="Times New Roman" w:hAnsi="Times New Roman" w:eastAsia="宋体" w:cs="Times New Roman"/>
                <w:color w:val="auto"/>
                <w:sz w:val="24"/>
                <w:highlight w:val="none"/>
                <w:lang w:val="en-US" w:eastAsia="zh-CN"/>
              </w:rPr>
              <w:t>项目最近的地表水体为</w:t>
            </w:r>
            <w:r>
              <w:rPr>
                <w:rFonts w:hint="eastAsia" w:ascii="Times New Roman" w:hAnsi="Times New Roman" w:eastAsia="宋体" w:cs="Times New Roman"/>
                <w:color w:val="auto"/>
                <w:sz w:val="24"/>
                <w:highlight w:val="none"/>
                <w:lang w:val="en-US" w:eastAsia="zh-CN"/>
              </w:rPr>
              <w:t>项目区</w:t>
            </w:r>
            <w:r>
              <w:rPr>
                <w:rFonts w:hint="default" w:ascii="Times New Roman" w:hAnsi="Times New Roman" w:eastAsia="宋体" w:cs="Times New Roman"/>
                <w:color w:val="auto"/>
                <w:sz w:val="24"/>
                <w:highlight w:val="none"/>
                <w:lang w:val="en-US" w:eastAsia="zh-CN"/>
              </w:rPr>
              <w:t>西北侧约</w:t>
            </w:r>
            <w:r>
              <w:rPr>
                <w:rFonts w:hint="eastAsia" w:ascii="Times New Roman" w:hAnsi="Times New Roman" w:eastAsia="宋体" w:cs="Times New Roman"/>
                <w:color w:val="auto"/>
                <w:sz w:val="24"/>
                <w:highlight w:val="none"/>
                <w:lang w:val="en-US" w:eastAsia="zh-CN"/>
              </w:rPr>
              <w:t>585</w:t>
            </w:r>
            <w:r>
              <w:rPr>
                <w:rFonts w:hint="default" w:ascii="Times New Roman" w:hAnsi="Times New Roman" w:eastAsia="宋体" w:cs="Times New Roman"/>
                <w:color w:val="auto"/>
                <w:sz w:val="24"/>
                <w:highlight w:val="none"/>
                <w:lang w:val="en-US" w:eastAsia="zh-CN"/>
              </w:rPr>
              <w:t>m处东北向西南流向的曼岗河</w:t>
            </w:r>
            <w:r>
              <w:rPr>
                <w:rFonts w:hint="eastAsia" w:cs="Times New Roman"/>
                <w:color w:val="auto"/>
                <w:sz w:val="24"/>
                <w:highlight w:val="none"/>
                <w:lang w:val="en-US" w:eastAsia="zh-CN"/>
              </w:rPr>
              <w:t>及项目区南侧</w:t>
            </w:r>
            <w:r>
              <w:rPr>
                <w:rFonts w:hint="default" w:ascii="Times New Roman" w:hAnsi="Times New Roman" w:eastAsia="宋体" w:cs="Times New Roman"/>
                <w:color w:val="auto"/>
                <w:sz w:val="24"/>
                <w:highlight w:val="none"/>
                <w:lang w:val="en-US" w:eastAsia="zh-CN"/>
              </w:rPr>
              <w:t>约</w:t>
            </w:r>
            <w:r>
              <w:rPr>
                <w:rFonts w:hint="eastAsia" w:cs="Times New Roman"/>
                <w:color w:val="auto"/>
                <w:sz w:val="24"/>
                <w:highlight w:val="none"/>
                <w:lang w:val="en-US" w:eastAsia="zh-CN"/>
              </w:rPr>
              <w:t>2060</w:t>
            </w:r>
            <w:r>
              <w:rPr>
                <w:rFonts w:hint="default" w:ascii="Times New Roman" w:hAnsi="Times New Roman" w:eastAsia="宋体" w:cs="Times New Roman"/>
                <w:color w:val="auto"/>
                <w:sz w:val="24"/>
                <w:highlight w:val="none"/>
                <w:lang w:val="en-US" w:eastAsia="zh-CN"/>
              </w:rPr>
              <w:t>m处</w:t>
            </w:r>
            <w:r>
              <w:rPr>
                <w:rFonts w:hint="eastAsia" w:cs="Times New Roman"/>
                <w:color w:val="auto"/>
                <w:sz w:val="24"/>
                <w:highlight w:val="none"/>
                <w:lang w:val="en-US" w:eastAsia="zh-CN"/>
              </w:rPr>
              <w:t>东南向西北流向的的肥味河，曼岗河、肥味河在距离项目厂界西南侧约2300m处交汇，更名为困龙河，困龙河自东向西与老厂河汇合，最终在本项目西南侧直线距离8.8km处汇入戛洒江，属元江水系。</w:t>
            </w:r>
          </w:p>
          <w:p w14:paraId="7378537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云南省水利厅制定的《云南省水功能区划（2014年修订）》（云政复〔2014〕27号），项目位于红河巍山—河口保留区：由巍山县洗澡塘至出境口，全长614.1km。自北向东南流经巍山、南涧、双柏、新平、元江，规划水平年水质目标为Ⅲ类，执行《地表水环境质量标准》（GB3838-2002）Ⅲ类水质标准，根据支流不低于干流的原则，曼岗河、肥味河、戛洒江参照执行《地表水环境质量标准》（GB3838-2002）Ⅲ类水质标准。</w:t>
            </w:r>
          </w:p>
          <w:p w14:paraId="332E344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具体标准值见下表：</w:t>
            </w:r>
          </w:p>
          <w:p w14:paraId="7FCB21B9">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w:t>
            </w:r>
            <w:r>
              <w:rPr>
                <w:rFonts w:hint="eastAsia" w:eastAsia="黑体" w:cs="Times New Roman"/>
                <w:color w:val="auto"/>
                <w:szCs w:val="21"/>
                <w:lang w:val="en-US" w:eastAsia="zh-CN"/>
              </w:rPr>
              <w:t>5</w:t>
            </w:r>
            <w:r>
              <w:rPr>
                <w:rFonts w:hint="default" w:ascii="Times New Roman" w:hAnsi="Times New Roman" w:eastAsia="黑体" w:cs="Times New Roman"/>
                <w:color w:val="auto"/>
                <w:szCs w:val="21"/>
              </w:rPr>
              <w:t xml:space="preserve">  地表水环境质量标准基本项目标准限值   单位：mg/L</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146"/>
              <w:gridCol w:w="1028"/>
              <w:gridCol w:w="896"/>
              <w:gridCol w:w="837"/>
              <w:gridCol w:w="908"/>
              <w:gridCol w:w="850"/>
              <w:gridCol w:w="890"/>
            </w:tblGrid>
            <w:tr w14:paraId="3D04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vAlign w:val="center"/>
                </w:tcPr>
                <w:p w14:paraId="72BA38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746" w:type="pct"/>
                  <w:vAlign w:val="center"/>
                </w:tcPr>
                <w:p w14:paraId="0C8FF31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pH（无量纲）</w:t>
                  </w:r>
                </w:p>
              </w:tc>
              <w:tc>
                <w:tcPr>
                  <w:tcW w:w="669" w:type="pct"/>
                  <w:vAlign w:val="center"/>
                </w:tcPr>
                <w:p w14:paraId="14E8F1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p>
              </w:tc>
              <w:tc>
                <w:tcPr>
                  <w:tcW w:w="583" w:type="pct"/>
                  <w:vAlign w:val="center"/>
                </w:tcPr>
                <w:p w14:paraId="44C58C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BOD</w:t>
                  </w:r>
                  <w:r>
                    <w:rPr>
                      <w:rFonts w:hint="default" w:ascii="Times New Roman" w:hAnsi="Times New Roman" w:cs="Times New Roman"/>
                      <w:color w:val="auto"/>
                      <w:sz w:val="18"/>
                      <w:szCs w:val="18"/>
                      <w:vertAlign w:val="subscript"/>
                    </w:rPr>
                    <w:t>5</w:t>
                  </w:r>
                </w:p>
              </w:tc>
              <w:tc>
                <w:tcPr>
                  <w:tcW w:w="545" w:type="pct"/>
                  <w:vAlign w:val="center"/>
                </w:tcPr>
                <w:p w14:paraId="18BBCDA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591" w:type="pct"/>
                  <w:vAlign w:val="center"/>
                </w:tcPr>
                <w:p w14:paraId="29B9C3B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总磷</w:t>
                  </w:r>
                </w:p>
              </w:tc>
              <w:tc>
                <w:tcPr>
                  <w:tcW w:w="553" w:type="pct"/>
                  <w:vAlign w:val="center"/>
                </w:tcPr>
                <w:p w14:paraId="66EF6AE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总氮</w:t>
                  </w:r>
                </w:p>
              </w:tc>
              <w:tc>
                <w:tcPr>
                  <w:tcW w:w="579" w:type="pct"/>
                  <w:tcBorders>
                    <w:right w:val="nil"/>
                  </w:tcBorders>
                  <w:vAlign w:val="center"/>
                </w:tcPr>
                <w:p w14:paraId="6047554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石油类</w:t>
                  </w:r>
                </w:p>
              </w:tc>
            </w:tr>
            <w:tr w14:paraId="2279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tcBorders>
                    <w:left w:val="nil"/>
                  </w:tcBorders>
                  <w:vAlign w:val="center"/>
                </w:tcPr>
                <w:p w14:paraId="56AB1CD7">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III</w:t>
                  </w:r>
                  <w:r>
                    <w:rPr>
                      <w:rFonts w:hint="default" w:ascii="Times New Roman" w:hAnsi="Times New Roman" w:cs="Times New Roman"/>
                      <w:color w:val="auto"/>
                      <w:sz w:val="18"/>
                      <w:szCs w:val="18"/>
                    </w:rPr>
                    <w:t>类标准</w:t>
                  </w:r>
                </w:p>
              </w:tc>
              <w:tc>
                <w:tcPr>
                  <w:tcW w:w="746" w:type="pct"/>
                  <w:vAlign w:val="center"/>
                </w:tcPr>
                <w:p w14:paraId="32B3A55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w:t>
                  </w:r>
                </w:p>
              </w:tc>
              <w:tc>
                <w:tcPr>
                  <w:tcW w:w="669" w:type="pct"/>
                  <w:vAlign w:val="center"/>
                </w:tcPr>
                <w:p w14:paraId="621E09A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583" w:type="pct"/>
                  <w:vAlign w:val="center"/>
                </w:tcPr>
                <w:p w14:paraId="206253E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45" w:type="pct"/>
                  <w:vAlign w:val="center"/>
                </w:tcPr>
                <w:p w14:paraId="5CBB28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91" w:type="pct"/>
                  <w:vAlign w:val="center"/>
                </w:tcPr>
                <w:p w14:paraId="30D0C63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553" w:type="pct"/>
                  <w:vAlign w:val="center"/>
                </w:tcPr>
                <w:p w14:paraId="0BEE90E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79" w:type="pct"/>
                  <w:tcBorders>
                    <w:right w:val="nil"/>
                  </w:tcBorders>
                  <w:vAlign w:val="center"/>
                </w:tcPr>
                <w:p w14:paraId="6CB8E3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r>
            <w:tr w14:paraId="1AF4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tcBorders>
                    <w:left w:val="nil"/>
                  </w:tcBorders>
                  <w:vAlign w:val="center"/>
                </w:tcPr>
                <w:p w14:paraId="2B6FA67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746" w:type="pct"/>
                  <w:vAlign w:val="center"/>
                </w:tcPr>
                <w:p w14:paraId="276E09B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阴离子表面活性剂</w:t>
                  </w:r>
                </w:p>
              </w:tc>
              <w:tc>
                <w:tcPr>
                  <w:tcW w:w="669" w:type="pct"/>
                  <w:vAlign w:val="center"/>
                </w:tcPr>
                <w:p w14:paraId="5BB90BE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粪大肠菌群</w:t>
                  </w:r>
                </w:p>
              </w:tc>
              <w:tc>
                <w:tcPr>
                  <w:tcW w:w="583" w:type="pct"/>
                  <w:vAlign w:val="center"/>
                </w:tcPr>
                <w:p w14:paraId="3FFFC9F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挥发酚</w:t>
                  </w:r>
                </w:p>
              </w:tc>
              <w:tc>
                <w:tcPr>
                  <w:tcW w:w="545" w:type="pct"/>
                  <w:vAlign w:val="center"/>
                </w:tcPr>
                <w:p w14:paraId="503D131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氟化物</w:t>
                  </w:r>
                </w:p>
              </w:tc>
              <w:tc>
                <w:tcPr>
                  <w:tcW w:w="591" w:type="pct"/>
                  <w:vAlign w:val="center"/>
                </w:tcPr>
                <w:p w14:paraId="4377E56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硫化物</w:t>
                  </w:r>
                </w:p>
              </w:tc>
              <w:tc>
                <w:tcPr>
                  <w:tcW w:w="553" w:type="pct"/>
                  <w:vAlign w:val="center"/>
                </w:tcPr>
                <w:p w14:paraId="4084080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砷</w:t>
                  </w:r>
                </w:p>
              </w:tc>
              <w:tc>
                <w:tcPr>
                  <w:tcW w:w="579" w:type="pct"/>
                  <w:tcBorders>
                    <w:right w:val="nil"/>
                  </w:tcBorders>
                  <w:vAlign w:val="center"/>
                </w:tcPr>
                <w:p w14:paraId="610B37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铅</w:t>
                  </w:r>
                </w:p>
              </w:tc>
            </w:tr>
            <w:tr w14:paraId="26CC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tcBorders>
                    <w:left w:val="nil"/>
                  </w:tcBorders>
                  <w:vAlign w:val="center"/>
                </w:tcPr>
                <w:p w14:paraId="3F53297A">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III</w:t>
                  </w:r>
                  <w:r>
                    <w:rPr>
                      <w:rFonts w:hint="default" w:ascii="Times New Roman" w:hAnsi="Times New Roman" w:cs="Times New Roman"/>
                      <w:color w:val="auto"/>
                      <w:sz w:val="18"/>
                      <w:szCs w:val="18"/>
                    </w:rPr>
                    <w:t>类标准</w:t>
                  </w:r>
                </w:p>
              </w:tc>
              <w:tc>
                <w:tcPr>
                  <w:tcW w:w="746" w:type="pct"/>
                  <w:vAlign w:val="center"/>
                </w:tcPr>
                <w:p w14:paraId="4DC00A1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669" w:type="pct"/>
                  <w:vAlign w:val="center"/>
                </w:tcPr>
                <w:p w14:paraId="70F428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≤10000</w:t>
                  </w:r>
                </w:p>
              </w:tc>
              <w:tc>
                <w:tcPr>
                  <w:tcW w:w="583" w:type="pct"/>
                  <w:vAlign w:val="center"/>
                </w:tcPr>
                <w:p w14:paraId="0FD000A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≤0.005</w:t>
                  </w:r>
                </w:p>
              </w:tc>
              <w:tc>
                <w:tcPr>
                  <w:tcW w:w="545" w:type="pct"/>
                  <w:vAlign w:val="center"/>
                </w:tcPr>
                <w:p w14:paraId="3AF71A0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91" w:type="pct"/>
                  <w:vAlign w:val="center"/>
                </w:tcPr>
                <w:p w14:paraId="5DEA8F3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553" w:type="pct"/>
                  <w:vAlign w:val="center"/>
                </w:tcPr>
                <w:p w14:paraId="7B2BB8D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79" w:type="pct"/>
                  <w:tcBorders>
                    <w:right w:val="nil"/>
                  </w:tcBorders>
                  <w:vAlign w:val="center"/>
                </w:tcPr>
                <w:p w14:paraId="78BDCC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r>
          </w:tbl>
          <w:p w14:paraId="56934679">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地表水环境质量现状</w:t>
            </w:r>
          </w:p>
          <w:p w14:paraId="6F5557E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玉溪华恒环境科技有限公司于2025年4月15日、2025年7月9日对玉溪大红山矿业有限公司枯水期地表水、地下水自行检测（华环检字[2025]041第332号）和玉溪大红山矿业有限公司丰水期地表水、地下水自行检测（华环检字[2025]071第101号），项目所在区域地表水监测结果如下：</w:t>
            </w:r>
          </w:p>
          <w:p w14:paraId="46D09B89">
            <w:pPr>
              <w:spacing w:line="360" w:lineRule="auto"/>
              <w:jc w:val="center"/>
              <w:rPr>
                <w:rFonts w:hint="default" w:ascii="Times New Roman" w:hAnsi="Times New Roman" w:eastAsia="黑体" w:cs="Times New Roman"/>
                <w:color w:val="auto"/>
                <w:szCs w:val="21"/>
                <w:lang w:val="en-US" w:eastAsia="zh-CN"/>
              </w:rPr>
            </w:pPr>
            <w:r>
              <w:rPr>
                <w:rFonts w:hint="default" w:ascii="Times New Roman" w:hAnsi="Times New Roman" w:eastAsia="黑体" w:cs="Times New Roman"/>
                <w:color w:val="auto"/>
                <w:szCs w:val="21"/>
                <w:lang w:val="en-US" w:eastAsia="zh-CN"/>
              </w:rPr>
              <w:t>表3-</w:t>
            </w:r>
            <w:r>
              <w:rPr>
                <w:rFonts w:hint="eastAsia" w:eastAsia="黑体" w:cs="Times New Roman"/>
                <w:color w:val="auto"/>
                <w:szCs w:val="21"/>
                <w:lang w:val="en-US" w:eastAsia="zh-CN"/>
              </w:rPr>
              <w:t>6</w:t>
            </w:r>
            <w:r>
              <w:rPr>
                <w:rFonts w:hint="default" w:ascii="Times New Roman" w:hAnsi="Times New Roman" w:eastAsia="黑体" w:cs="Times New Roman"/>
                <w:color w:val="auto"/>
                <w:szCs w:val="21"/>
                <w:lang w:val="en-US" w:eastAsia="zh-CN"/>
              </w:rPr>
              <w:t xml:space="preserve"> </w:t>
            </w:r>
            <w:r>
              <w:rPr>
                <w:rFonts w:hint="eastAsia"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lang w:val="en-US" w:eastAsia="zh-CN"/>
              </w:rPr>
              <w:t>大红山矿业有限公司地表水自行</w:t>
            </w:r>
            <w:r>
              <w:rPr>
                <w:rFonts w:hint="eastAsia" w:eastAsia="黑体" w:cs="Times New Roman"/>
                <w:color w:val="auto"/>
                <w:szCs w:val="21"/>
                <w:lang w:val="en-US" w:eastAsia="zh-CN"/>
              </w:rPr>
              <w:t>检测数据</w:t>
            </w:r>
          </w:p>
          <w:tbl>
            <w:tblPr>
              <w:tblStyle w:val="3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194"/>
              <w:gridCol w:w="1194"/>
              <w:gridCol w:w="1194"/>
              <w:gridCol w:w="1013"/>
              <w:gridCol w:w="805"/>
              <w:gridCol w:w="677"/>
            </w:tblGrid>
            <w:tr w14:paraId="2B5564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4F244A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项目采样点</w:t>
                  </w:r>
                </w:p>
              </w:tc>
              <w:tc>
                <w:tcPr>
                  <w:tcW w:w="775" w:type="pct"/>
                  <w:tcBorders>
                    <w:tl2br w:val="nil"/>
                    <w:tr2bl w:val="nil"/>
                  </w:tcBorders>
                  <w:noWrap w:val="0"/>
                  <w:vAlign w:val="center"/>
                </w:tcPr>
                <w:p w14:paraId="79CDA9C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二道河</w:t>
                  </w:r>
                  <w:r>
                    <w:rPr>
                      <w:rStyle w:val="89"/>
                      <w:rFonts w:hint="default" w:ascii="Times New Roman" w:hAnsi="Times New Roman" w:eastAsia="宋体" w:cs="Times New Roman"/>
                      <w:b w:val="0"/>
                      <w:bCs w:val="0"/>
                      <w:color w:val="auto"/>
                      <w:sz w:val="18"/>
                      <w:szCs w:val="18"/>
                      <w:lang w:bidi="ar"/>
                    </w:rPr>
                    <w:t>（困龙河）</w:t>
                  </w:r>
                </w:p>
              </w:tc>
              <w:tc>
                <w:tcPr>
                  <w:tcW w:w="775" w:type="pct"/>
                  <w:tcBorders>
                    <w:tl2br w:val="nil"/>
                    <w:tr2bl w:val="nil"/>
                  </w:tcBorders>
                  <w:noWrap w:val="0"/>
                  <w:vAlign w:val="center"/>
                </w:tcPr>
                <w:p w14:paraId="0E7E845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肥味河</w:t>
                  </w:r>
                </w:p>
              </w:tc>
              <w:tc>
                <w:tcPr>
                  <w:tcW w:w="775" w:type="pct"/>
                  <w:tcBorders>
                    <w:tl2br w:val="nil"/>
                    <w:tr2bl w:val="nil"/>
                  </w:tcBorders>
                  <w:noWrap w:val="0"/>
                  <w:vAlign w:val="center"/>
                </w:tcPr>
                <w:p w14:paraId="5B4ED1E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曼岗河</w:t>
                  </w:r>
                </w:p>
              </w:tc>
              <w:tc>
                <w:tcPr>
                  <w:tcW w:w="658" w:type="pct"/>
                  <w:tcBorders>
                    <w:tl2br w:val="nil"/>
                    <w:tr2bl w:val="nil"/>
                  </w:tcBorders>
                  <w:noWrap w:val="0"/>
                  <w:vAlign w:val="center"/>
                </w:tcPr>
                <w:p w14:paraId="4A2238C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戛洒江</w:t>
                  </w:r>
                </w:p>
              </w:tc>
              <w:tc>
                <w:tcPr>
                  <w:tcW w:w="523" w:type="pct"/>
                  <w:tcBorders>
                    <w:tl2br w:val="nil"/>
                    <w:tr2bl w:val="nil"/>
                  </w:tcBorders>
                  <w:noWrap w:val="0"/>
                  <w:vAlign w:val="center"/>
                </w:tcPr>
                <w:p w14:paraId="3779DE9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标准限值</w:t>
                  </w:r>
                </w:p>
              </w:tc>
              <w:tc>
                <w:tcPr>
                  <w:tcW w:w="439" w:type="pct"/>
                  <w:tcBorders>
                    <w:tl2br w:val="nil"/>
                    <w:tr2bl w:val="nil"/>
                  </w:tcBorders>
                  <w:noWrap w:val="0"/>
                  <w:vAlign w:val="center"/>
                </w:tcPr>
                <w:p w14:paraId="398AB83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达标情况</w:t>
                  </w:r>
                </w:p>
              </w:tc>
            </w:tr>
            <w:tr w14:paraId="78ADA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0E8324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样品标识</w:t>
                  </w:r>
                </w:p>
              </w:tc>
              <w:tc>
                <w:tcPr>
                  <w:tcW w:w="775" w:type="pct"/>
                  <w:tcBorders>
                    <w:tl2br w:val="nil"/>
                    <w:tr2bl w:val="nil"/>
                  </w:tcBorders>
                  <w:noWrap w:val="0"/>
                  <w:vAlign w:val="center"/>
                </w:tcPr>
                <w:p w14:paraId="415C9896">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HH20250415S169-08</w:t>
                  </w:r>
                </w:p>
              </w:tc>
              <w:tc>
                <w:tcPr>
                  <w:tcW w:w="775" w:type="pct"/>
                  <w:tcBorders>
                    <w:tl2br w:val="nil"/>
                    <w:tr2bl w:val="nil"/>
                  </w:tcBorders>
                  <w:noWrap w:val="0"/>
                  <w:vAlign w:val="center"/>
                </w:tcPr>
                <w:p w14:paraId="39FE6AA6">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HH20250415S169-06</w:t>
                  </w:r>
                </w:p>
              </w:tc>
              <w:tc>
                <w:tcPr>
                  <w:tcW w:w="775" w:type="pct"/>
                  <w:tcBorders>
                    <w:tl2br w:val="nil"/>
                    <w:tr2bl w:val="nil"/>
                  </w:tcBorders>
                  <w:noWrap w:val="0"/>
                  <w:vAlign w:val="center"/>
                </w:tcPr>
                <w:p w14:paraId="16FEA0F8">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HH20250415S169-07</w:t>
                  </w:r>
                </w:p>
              </w:tc>
              <w:tc>
                <w:tcPr>
                  <w:tcW w:w="658" w:type="pct"/>
                  <w:tcBorders>
                    <w:tl2br w:val="nil"/>
                    <w:tr2bl w:val="nil"/>
                  </w:tcBorders>
                  <w:noWrap w:val="0"/>
                  <w:vAlign w:val="center"/>
                </w:tcPr>
                <w:p w14:paraId="2C21DCDB">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HH20250415S169-09</w:t>
                  </w:r>
                </w:p>
              </w:tc>
              <w:tc>
                <w:tcPr>
                  <w:tcW w:w="523" w:type="pct"/>
                  <w:tcBorders>
                    <w:tl2br w:val="nil"/>
                    <w:tr2bl w:val="nil"/>
                  </w:tcBorders>
                  <w:noWrap w:val="0"/>
                  <w:vAlign w:val="center"/>
                </w:tcPr>
                <w:p w14:paraId="4C236F33">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034510E7">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2D50D6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7B1FE45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样品状态</w:t>
                  </w:r>
                </w:p>
              </w:tc>
              <w:tc>
                <w:tcPr>
                  <w:tcW w:w="775" w:type="pct"/>
                  <w:tcBorders>
                    <w:tl2br w:val="nil"/>
                    <w:tr2bl w:val="nil"/>
                  </w:tcBorders>
                  <w:noWrap w:val="0"/>
                  <w:vAlign w:val="center"/>
                </w:tcPr>
                <w:p w14:paraId="5455944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775" w:type="pct"/>
                  <w:tcBorders>
                    <w:tl2br w:val="nil"/>
                    <w:tr2bl w:val="nil"/>
                  </w:tcBorders>
                  <w:noWrap w:val="0"/>
                  <w:vAlign w:val="center"/>
                </w:tcPr>
                <w:p w14:paraId="76EA3A1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775" w:type="pct"/>
                  <w:tcBorders>
                    <w:tl2br w:val="nil"/>
                    <w:tr2bl w:val="nil"/>
                  </w:tcBorders>
                  <w:noWrap w:val="0"/>
                  <w:vAlign w:val="center"/>
                </w:tcPr>
                <w:p w14:paraId="3E1D789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658" w:type="pct"/>
                  <w:tcBorders>
                    <w:tl2br w:val="nil"/>
                    <w:tr2bl w:val="nil"/>
                  </w:tcBorders>
                  <w:noWrap w:val="0"/>
                  <w:vAlign w:val="center"/>
                </w:tcPr>
                <w:p w14:paraId="4F5ED58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523" w:type="pct"/>
                  <w:tcBorders>
                    <w:tl2br w:val="nil"/>
                    <w:tr2bl w:val="nil"/>
                  </w:tcBorders>
                  <w:noWrap w:val="0"/>
                  <w:vAlign w:val="center"/>
                </w:tcPr>
                <w:p w14:paraId="7C917CB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57C61CB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01F0C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2D6E28A0">
                  <w:pPr>
                    <w:widowControl/>
                    <w:spacing w:line="240" w:lineRule="exact"/>
                    <w:jc w:val="center"/>
                    <w:textAlignment w:val="center"/>
                    <w:rPr>
                      <w:rFonts w:hint="default" w:ascii="Times New Roman" w:hAnsi="Times New Roman" w:eastAsia="宋体" w:cs="Times New Roman"/>
                      <w:b w:val="0"/>
                      <w:bCs w:val="0"/>
                      <w:color w:val="auto"/>
                      <w:kern w:val="0"/>
                      <w:sz w:val="18"/>
                      <w:szCs w:val="18"/>
                      <w:lang w:bidi="ar"/>
                    </w:rPr>
                  </w:pPr>
                  <w:r>
                    <w:rPr>
                      <w:rFonts w:hint="default" w:ascii="Times New Roman" w:hAnsi="Times New Roman" w:eastAsia="宋体" w:cs="Times New Roman"/>
                      <w:b w:val="0"/>
                      <w:bCs w:val="0"/>
                      <w:color w:val="auto"/>
                      <w:kern w:val="0"/>
                      <w:sz w:val="18"/>
                      <w:szCs w:val="18"/>
                      <w:lang w:bidi="ar"/>
                    </w:rPr>
                    <w:t>pH</w:t>
                  </w:r>
                </w:p>
                <w:p w14:paraId="2217063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Style w:val="87"/>
                      <w:rFonts w:hint="default" w:ascii="Times New Roman" w:hAnsi="Times New Roman" w:eastAsia="宋体" w:cs="Times New Roman"/>
                      <w:b w:val="0"/>
                      <w:bCs w:val="0"/>
                      <w:color w:val="auto"/>
                      <w:sz w:val="18"/>
                      <w:szCs w:val="18"/>
                      <w:vertAlign w:val="baseline"/>
                      <w:lang w:bidi="ar"/>
                    </w:rPr>
                    <w:t>无量纲</w:t>
                  </w:r>
                </w:p>
              </w:tc>
              <w:tc>
                <w:tcPr>
                  <w:tcW w:w="775" w:type="pct"/>
                  <w:tcBorders>
                    <w:tl2br w:val="nil"/>
                    <w:tr2bl w:val="nil"/>
                  </w:tcBorders>
                  <w:noWrap w:val="0"/>
                  <w:vAlign w:val="center"/>
                </w:tcPr>
                <w:p w14:paraId="6F49463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8.8</w:t>
                  </w:r>
                </w:p>
              </w:tc>
              <w:tc>
                <w:tcPr>
                  <w:tcW w:w="775" w:type="pct"/>
                  <w:tcBorders>
                    <w:tl2br w:val="nil"/>
                    <w:tr2bl w:val="nil"/>
                  </w:tcBorders>
                  <w:noWrap w:val="0"/>
                  <w:vAlign w:val="center"/>
                </w:tcPr>
                <w:p w14:paraId="7442D77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8.1</w:t>
                  </w:r>
                </w:p>
              </w:tc>
              <w:tc>
                <w:tcPr>
                  <w:tcW w:w="775" w:type="pct"/>
                  <w:tcBorders>
                    <w:tl2br w:val="nil"/>
                    <w:tr2bl w:val="nil"/>
                  </w:tcBorders>
                  <w:noWrap w:val="0"/>
                  <w:vAlign w:val="center"/>
                </w:tcPr>
                <w:p w14:paraId="1C77B00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8.8</w:t>
                  </w:r>
                </w:p>
              </w:tc>
              <w:tc>
                <w:tcPr>
                  <w:tcW w:w="658" w:type="pct"/>
                  <w:tcBorders>
                    <w:tl2br w:val="nil"/>
                    <w:tr2bl w:val="nil"/>
                  </w:tcBorders>
                  <w:noWrap w:val="0"/>
                  <w:vAlign w:val="center"/>
                </w:tcPr>
                <w:p w14:paraId="61B880F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8.1</w:t>
                  </w:r>
                </w:p>
              </w:tc>
              <w:tc>
                <w:tcPr>
                  <w:tcW w:w="523" w:type="pct"/>
                  <w:tcBorders>
                    <w:tl2br w:val="nil"/>
                    <w:tr2bl w:val="nil"/>
                  </w:tcBorders>
                  <w:noWrap w:val="0"/>
                  <w:vAlign w:val="center"/>
                </w:tcPr>
                <w:p w14:paraId="4ECFF64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6~9</w:t>
                  </w:r>
                </w:p>
              </w:tc>
              <w:tc>
                <w:tcPr>
                  <w:tcW w:w="439" w:type="pct"/>
                  <w:tcBorders>
                    <w:tl2br w:val="nil"/>
                    <w:tr2bl w:val="nil"/>
                  </w:tcBorders>
                  <w:noWrap w:val="0"/>
                  <w:vAlign w:val="center"/>
                </w:tcPr>
                <w:p w14:paraId="25B32BA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22D52C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20593A1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悬浮物</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60748B8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w:t>
                  </w:r>
                </w:p>
              </w:tc>
              <w:tc>
                <w:tcPr>
                  <w:tcW w:w="775" w:type="pct"/>
                  <w:tcBorders>
                    <w:tl2br w:val="nil"/>
                    <w:tr2bl w:val="nil"/>
                  </w:tcBorders>
                  <w:noWrap w:val="0"/>
                  <w:vAlign w:val="center"/>
                </w:tcPr>
                <w:p w14:paraId="5E08B17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22</w:t>
                  </w:r>
                </w:p>
              </w:tc>
              <w:tc>
                <w:tcPr>
                  <w:tcW w:w="775" w:type="pct"/>
                  <w:tcBorders>
                    <w:tl2br w:val="nil"/>
                    <w:tr2bl w:val="nil"/>
                  </w:tcBorders>
                  <w:noWrap w:val="0"/>
                  <w:vAlign w:val="center"/>
                </w:tcPr>
                <w:p w14:paraId="055876C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10</w:t>
                  </w:r>
                </w:p>
              </w:tc>
              <w:tc>
                <w:tcPr>
                  <w:tcW w:w="658" w:type="pct"/>
                  <w:tcBorders>
                    <w:tl2br w:val="nil"/>
                    <w:tr2bl w:val="nil"/>
                  </w:tcBorders>
                  <w:noWrap w:val="0"/>
                  <w:vAlign w:val="center"/>
                </w:tcPr>
                <w:p w14:paraId="5569553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34</w:t>
                  </w:r>
                </w:p>
              </w:tc>
              <w:tc>
                <w:tcPr>
                  <w:tcW w:w="523" w:type="pct"/>
                  <w:tcBorders>
                    <w:tl2br w:val="nil"/>
                    <w:tr2bl w:val="nil"/>
                  </w:tcBorders>
                  <w:noWrap w:val="0"/>
                  <w:vAlign w:val="center"/>
                </w:tcPr>
                <w:p w14:paraId="5AF3504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03969CF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66DB39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2D5348B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化学需</w:t>
                  </w:r>
                  <w:r>
                    <w:rPr>
                      <w:rStyle w:val="87"/>
                      <w:rFonts w:hint="default" w:ascii="Times New Roman" w:hAnsi="Times New Roman" w:eastAsia="宋体" w:cs="Times New Roman"/>
                      <w:b w:val="0"/>
                      <w:bCs w:val="0"/>
                      <w:color w:val="auto"/>
                      <w:sz w:val="18"/>
                      <w:szCs w:val="18"/>
                      <w:vertAlign w:val="baseline"/>
                      <w:lang w:bidi="ar"/>
                    </w:rPr>
                    <w:t>氧量</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FE5020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7</w:t>
                  </w:r>
                </w:p>
              </w:tc>
              <w:tc>
                <w:tcPr>
                  <w:tcW w:w="775" w:type="pct"/>
                  <w:tcBorders>
                    <w:tl2br w:val="nil"/>
                    <w:tr2bl w:val="nil"/>
                  </w:tcBorders>
                  <w:noWrap w:val="0"/>
                  <w:vAlign w:val="center"/>
                </w:tcPr>
                <w:p w14:paraId="4D334F2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w:t>
                  </w:r>
                </w:p>
              </w:tc>
              <w:tc>
                <w:tcPr>
                  <w:tcW w:w="775" w:type="pct"/>
                  <w:tcBorders>
                    <w:tl2br w:val="nil"/>
                    <w:tr2bl w:val="nil"/>
                  </w:tcBorders>
                  <w:noWrap w:val="0"/>
                  <w:vAlign w:val="center"/>
                </w:tcPr>
                <w:p w14:paraId="7171432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9</w:t>
                  </w:r>
                </w:p>
              </w:tc>
              <w:tc>
                <w:tcPr>
                  <w:tcW w:w="658" w:type="pct"/>
                  <w:tcBorders>
                    <w:tl2br w:val="nil"/>
                    <w:tr2bl w:val="nil"/>
                  </w:tcBorders>
                  <w:noWrap w:val="0"/>
                  <w:vAlign w:val="center"/>
                </w:tcPr>
                <w:p w14:paraId="7FC6D5A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10</w:t>
                  </w:r>
                </w:p>
              </w:tc>
              <w:tc>
                <w:tcPr>
                  <w:tcW w:w="523" w:type="pct"/>
                  <w:tcBorders>
                    <w:tl2br w:val="nil"/>
                    <w:tr2bl w:val="nil"/>
                  </w:tcBorders>
                  <w:noWrap w:val="0"/>
                  <w:vAlign w:val="center"/>
                </w:tcPr>
                <w:p w14:paraId="6A37C46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20</w:t>
                  </w:r>
                </w:p>
              </w:tc>
              <w:tc>
                <w:tcPr>
                  <w:tcW w:w="439" w:type="pct"/>
                  <w:tcBorders>
                    <w:tl2br w:val="nil"/>
                    <w:tr2bl w:val="nil"/>
                  </w:tcBorders>
                  <w:noWrap w:val="0"/>
                  <w:vAlign w:val="center"/>
                </w:tcPr>
                <w:p w14:paraId="60D7EF9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2832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6D6AB71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五日生</w:t>
                  </w:r>
                  <w:r>
                    <w:rPr>
                      <w:rStyle w:val="87"/>
                      <w:rFonts w:hint="default" w:ascii="Times New Roman" w:hAnsi="Times New Roman" w:eastAsia="宋体" w:cs="Times New Roman"/>
                      <w:b w:val="0"/>
                      <w:bCs w:val="0"/>
                      <w:color w:val="auto"/>
                      <w:sz w:val="18"/>
                      <w:szCs w:val="18"/>
                      <w:vertAlign w:val="baseline"/>
                      <w:lang w:bidi="ar"/>
                    </w:rPr>
                    <w:t>化需氧量</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2E975D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1.5</w:t>
                  </w:r>
                </w:p>
              </w:tc>
              <w:tc>
                <w:tcPr>
                  <w:tcW w:w="775" w:type="pct"/>
                  <w:tcBorders>
                    <w:tl2br w:val="nil"/>
                    <w:tr2bl w:val="nil"/>
                  </w:tcBorders>
                  <w:noWrap w:val="0"/>
                  <w:vAlign w:val="center"/>
                </w:tcPr>
                <w:p w14:paraId="0E41801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1.2</w:t>
                  </w:r>
                </w:p>
              </w:tc>
              <w:tc>
                <w:tcPr>
                  <w:tcW w:w="775" w:type="pct"/>
                  <w:tcBorders>
                    <w:tl2br w:val="nil"/>
                    <w:tr2bl w:val="nil"/>
                  </w:tcBorders>
                  <w:noWrap w:val="0"/>
                  <w:vAlign w:val="center"/>
                </w:tcPr>
                <w:p w14:paraId="6F9167F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1.8</w:t>
                  </w:r>
                </w:p>
              </w:tc>
              <w:tc>
                <w:tcPr>
                  <w:tcW w:w="658" w:type="pct"/>
                  <w:tcBorders>
                    <w:tl2br w:val="nil"/>
                    <w:tr2bl w:val="nil"/>
                  </w:tcBorders>
                  <w:noWrap w:val="0"/>
                  <w:vAlign w:val="center"/>
                </w:tcPr>
                <w:p w14:paraId="4B7A6A9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w:t>
                  </w:r>
                </w:p>
              </w:tc>
              <w:tc>
                <w:tcPr>
                  <w:tcW w:w="523" w:type="pct"/>
                  <w:tcBorders>
                    <w:tl2br w:val="nil"/>
                    <w:tr2bl w:val="nil"/>
                  </w:tcBorders>
                  <w:noWrap w:val="0"/>
                  <w:vAlign w:val="center"/>
                </w:tcPr>
                <w:p w14:paraId="2DAF857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4</w:t>
                  </w:r>
                </w:p>
              </w:tc>
              <w:tc>
                <w:tcPr>
                  <w:tcW w:w="439" w:type="pct"/>
                  <w:tcBorders>
                    <w:tl2br w:val="nil"/>
                    <w:tr2bl w:val="nil"/>
                  </w:tcBorders>
                  <w:noWrap w:val="0"/>
                  <w:vAlign w:val="center"/>
                </w:tcPr>
                <w:p w14:paraId="46A6941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08CB69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2EC8B21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氨氮</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891CA3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0.127</w:t>
                  </w:r>
                </w:p>
              </w:tc>
              <w:tc>
                <w:tcPr>
                  <w:tcW w:w="775" w:type="pct"/>
                  <w:tcBorders>
                    <w:tl2br w:val="nil"/>
                    <w:tr2bl w:val="nil"/>
                  </w:tcBorders>
                  <w:noWrap w:val="0"/>
                  <w:vAlign w:val="center"/>
                </w:tcPr>
                <w:p w14:paraId="0C4D6F0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0.085</w:t>
                  </w:r>
                </w:p>
              </w:tc>
              <w:tc>
                <w:tcPr>
                  <w:tcW w:w="775" w:type="pct"/>
                  <w:tcBorders>
                    <w:tl2br w:val="nil"/>
                    <w:tr2bl w:val="nil"/>
                  </w:tcBorders>
                  <w:noWrap w:val="0"/>
                  <w:vAlign w:val="center"/>
                </w:tcPr>
                <w:p w14:paraId="388A687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0.134</w:t>
                  </w:r>
                </w:p>
              </w:tc>
              <w:tc>
                <w:tcPr>
                  <w:tcW w:w="658" w:type="pct"/>
                  <w:tcBorders>
                    <w:tl2br w:val="nil"/>
                    <w:tr2bl w:val="nil"/>
                  </w:tcBorders>
                  <w:noWrap w:val="0"/>
                  <w:vAlign w:val="center"/>
                </w:tcPr>
                <w:p w14:paraId="2DBA1E1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0.172</w:t>
                  </w:r>
                </w:p>
              </w:tc>
              <w:tc>
                <w:tcPr>
                  <w:tcW w:w="523" w:type="pct"/>
                  <w:tcBorders>
                    <w:tl2br w:val="nil"/>
                    <w:tr2bl w:val="nil"/>
                  </w:tcBorders>
                  <w:noWrap w:val="0"/>
                  <w:vAlign w:val="center"/>
                </w:tcPr>
                <w:p w14:paraId="64B4C44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w:t>
                  </w:r>
                </w:p>
              </w:tc>
              <w:tc>
                <w:tcPr>
                  <w:tcW w:w="439" w:type="pct"/>
                  <w:tcBorders>
                    <w:tl2br w:val="nil"/>
                    <w:tr2bl w:val="nil"/>
                  </w:tcBorders>
                  <w:noWrap w:val="0"/>
                  <w:vAlign w:val="center"/>
                </w:tcPr>
                <w:p w14:paraId="6D05287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436DE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4E7CC71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磷酸盐</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6AB3BB0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775" w:type="pct"/>
                  <w:tcBorders>
                    <w:tl2br w:val="nil"/>
                    <w:tr2bl w:val="nil"/>
                  </w:tcBorders>
                  <w:noWrap w:val="0"/>
                  <w:vAlign w:val="center"/>
                </w:tcPr>
                <w:p w14:paraId="2129D34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775" w:type="pct"/>
                  <w:tcBorders>
                    <w:tl2br w:val="nil"/>
                    <w:tr2bl w:val="nil"/>
                  </w:tcBorders>
                  <w:noWrap w:val="0"/>
                  <w:vAlign w:val="center"/>
                </w:tcPr>
                <w:p w14:paraId="277CDA4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658" w:type="pct"/>
                  <w:tcBorders>
                    <w:tl2br w:val="nil"/>
                    <w:tr2bl w:val="nil"/>
                  </w:tcBorders>
                  <w:noWrap w:val="0"/>
                  <w:vAlign w:val="center"/>
                </w:tcPr>
                <w:p w14:paraId="573F315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523" w:type="pct"/>
                  <w:tcBorders>
                    <w:tl2br w:val="nil"/>
                    <w:tr2bl w:val="nil"/>
                  </w:tcBorders>
                  <w:noWrap w:val="0"/>
                  <w:vAlign w:val="center"/>
                </w:tcPr>
                <w:p w14:paraId="1A54C28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54A0252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1C118B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15B2EFE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铜</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263A60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3036C1C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7408EF3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658" w:type="pct"/>
                  <w:tcBorders>
                    <w:tl2br w:val="nil"/>
                    <w:tr2bl w:val="nil"/>
                  </w:tcBorders>
                  <w:noWrap w:val="0"/>
                  <w:vAlign w:val="center"/>
                </w:tcPr>
                <w:p w14:paraId="2C88474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523" w:type="pct"/>
                  <w:tcBorders>
                    <w:tl2br w:val="nil"/>
                    <w:tr2bl w:val="nil"/>
                  </w:tcBorders>
                  <w:noWrap w:val="0"/>
                  <w:vAlign w:val="center"/>
                </w:tcPr>
                <w:p w14:paraId="56181DA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w:t>
                  </w:r>
                </w:p>
              </w:tc>
              <w:tc>
                <w:tcPr>
                  <w:tcW w:w="439" w:type="pct"/>
                  <w:tcBorders>
                    <w:tl2br w:val="nil"/>
                    <w:tr2bl w:val="nil"/>
                  </w:tcBorders>
                  <w:noWrap w:val="0"/>
                  <w:vAlign w:val="center"/>
                </w:tcPr>
                <w:p w14:paraId="529BAD0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6E7F5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4439430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铅</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19E4E9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7BFCD34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545237C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658" w:type="pct"/>
                  <w:tcBorders>
                    <w:tl2br w:val="nil"/>
                    <w:tr2bl w:val="nil"/>
                  </w:tcBorders>
                  <w:noWrap w:val="0"/>
                  <w:vAlign w:val="center"/>
                </w:tcPr>
                <w:p w14:paraId="0637716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523" w:type="pct"/>
                  <w:tcBorders>
                    <w:tl2br w:val="nil"/>
                    <w:tr2bl w:val="nil"/>
                  </w:tcBorders>
                  <w:noWrap w:val="0"/>
                  <w:vAlign w:val="center"/>
                </w:tcPr>
                <w:p w14:paraId="642A941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346D16F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03641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0710A5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镉</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4C4D332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2313631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57FA8D2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658" w:type="pct"/>
                  <w:tcBorders>
                    <w:tl2br w:val="nil"/>
                    <w:tr2bl w:val="nil"/>
                  </w:tcBorders>
                  <w:noWrap w:val="0"/>
                  <w:vAlign w:val="center"/>
                </w:tcPr>
                <w:p w14:paraId="1C253A9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523" w:type="pct"/>
                  <w:tcBorders>
                    <w:tl2br w:val="nil"/>
                    <w:tr2bl w:val="nil"/>
                  </w:tcBorders>
                  <w:noWrap w:val="0"/>
                  <w:vAlign w:val="center"/>
                </w:tcPr>
                <w:p w14:paraId="6329228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0.005</w:t>
                  </w:r>
                </w:p>
              </w:tc>
              <w:tc>
                <w:tcPr>
                  <w:tcW w:w="439" w:type="pct"/>
                  <w:tcBorders>
                    <w:tl2br w:val="nil"/>
                    <w:tr2bl w:val="nil"/>
                  </w:tcBorders>
                  <w:noWrap w:val="0"/>
                  <w:vAlign w:val="center"/>
                </w:tcPr>
                <w:p w14:paraId="37DC50A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8B6D7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64CC8AE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铁</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F1CF0E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775" w:type="pct"/>
                  <w:tcBorders>
                    <w:tl2br w:val="nil"/>
                    <w:tr2bl w:val="nil"/>
                  </w:tcBorders>
                  <w:noWrap w:val="0"/>
                  <w:vAlign w:val="center"/>
                </w:tcPr>
                <w:p w14:paraId="199DA4E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0.03L</w:t>
                  </w:r>
                </w:p>
              </w:tc>
              <w:tc>
                <w:tcPr>
                  <w:tcW w:w="775" w:type="pct"/>
                  <w:tcBorders>
                    <w:tl2br w:val="nil"/>
                    <w:tr2bl w:val="nil"/>
                  </w:tcBorders>
                  <w:noWrap w:val="0"/>
                  <w:vAlign w:val="center"/>
                </w:tcPr>
                <w:p w14:paraId="53BFB4D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0.04</w:t>
                  </w:r>
                </w:p>
              </w:tc>
              <w:tc>
                <w:tcPr>
                  <w:tcW w:w="658" w:type="pct"/>
                  <w:tcBorders>
                    <w:tl2br w:val="nil"/>
                    <w:tr2bl w:val="nil"/>
                  </w:tcBorders>
                  <w:noWrap w:val="0"/>
                  <w:vAlign w:val="center"/>
                </w:tcPr>
                <w:p w14:paraId="5E42391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0.13</w:t>
                  </w:r>
                </w:p>
              </w:tc>
              <w:tc>
                <w:tcPr>
                  <w:tcW w:w="523" w:type="pct"/>
                  <w:tcBorders>
                    <w:tl2br w:val="nil"/>
                    <w:tr2bl w:val="nil"/>
                  </w:tcBorders>
                  <w:noWrap w:val="0"/>
                  <w:vAlign w:val="center"/>
                </w:tcPr>
                <w:p w14:paraId="4C9D4BE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0.3</w:t>
                  </w:r>
                </w:p>
              </w:tc>
              <w:tc>
                <w:tcPr>
                  <w:tcW w:w="439" w:type="pct"/>
                  <w:tcBorders>
                    <w:tl2br w:val="nil"/>
                    <w:tr2bl w:val="nil"/>
                  </w:tcBorders>
                  <w:noWrap w:val="0"/>
                  <w:vAlign w:val="center"/>
                </w:tcPr>
                <w:p w14:paraId="17D8E30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57495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4D21978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砷</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4822F6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0.0003</w:t>
                  </w:r>
                </w:p>
              </w:tc>
              <w:tc>
                <w:tcPr>
                  <w:tcW w:w="775" w:type="pct"/>
                  <w:tcBorders>
                    <w:tl2br w:val="nil"/>
                    <w:tr2bl w:val="nil"/>
                  </w:tcBorders>
                  <w:noWrap w:val="0"/>
                  <w:vAlign w:val="center"/>
                </w:tcPr>
                <w:p w14:paraId="10422E9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0.0003L</w:t>
                  </w:r>
                </w:p>
              </w:tc>
              <w:tc>
                <w:tcPr>
                  <w:tcW w:w="775" w:type="pct"/>
                  <w:tcBorders>
                    <w:tl2br w:val="nil"/>
                    <w:tr2bl w:val="nil"/>
                  </w:tcBorders>
                  <w:noWrap w:val="0"/>
                  <w:vAlign w:val="center"/>
                </w:tcPr>
                <w:p w14:paraId="7FBEAFC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0.0011</w:t>
                  </w:r>
                </w:p>
              </w:tc>
              <w:tc>
                <w:tcPr>
                  <w:tcW w:w="658" w:type="pct"/>
                  <w:tcBorders>
                    <w:tl2br w:val="nil"/>
                    <w:tr2bl w:val="nil"/>
                  </w:tcBorders>
                  <w:noWrap w:val="0"/>
                  <w:vAlign w:val="center"/>
                </w:tcPr>
                <w:p w14:paraId="6BA1830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0.0007</w:t>
                  </w:r>
                </w:p>
              </w:tc>
              <w:tc>
                <w:tcPr>
                  <w:tcW w:w="523" w:type="pct"/>
                  <w:tcBorders>
                    <w:tl2br w:val="nil"/>
                    <w:tr2bl w:val="nil"/>
                  </w:tcBorders>
                  <w:noWrap w:val="0"/>
                  <w:vAlign w:val="center"/>
                </w:tcPr>
                <w:p w14:paraId="42A7BD4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521B196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19E8D0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3FC306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硫化物</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4388D32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1A9709A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52722F2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658" w:type="pct"/>
                  <w:tcBorders>
                    <w:tl2br w:val="nil"/>
                    <w:tr2bl w:val="nil"/>
                  </w:tcBorders>
                  <w:noWrap w:val="0"/>
                  <w:vAlign w:val="center"/>
                </w:tcPr>
                <w:p w14:paraId="256B0C0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523" w:type="pct"/>
                  <w:tcBorders>
                    <w:tl2br w:val="nil"/>
                    <w:tr2bl w:val="nil"/>
                  </w:tcBorders>
                  <w:noWrap w:val="0"/>
                  <w:vAlign w:val="center"/>
                </w:tcPr>
                <w:p w14:paraId="43321A2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w:t>
                  </w:r>
                </w:p>
              </w:tc>
              <w:tc>
                <w:tcPr>
                  <w:tcW w:w="439" w:type="pct"/>
                  <w:tcBorders>
                    <w:tl2br w:val="nil"/>
                    <w:tr2bl w:val="nil"/>
                  </w:tcBorders>
                  <w:noWrap w:val="0"/>
                  <w:vAlign w:val="center"/>
                </w:tcPr>
                <w:p w14:paraId="2C6142A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A58A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5754E62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石油类</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AD27F9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0.02</w:t>
                  </w:r>
                </w:p>
              </w:tc>
              <w:tc>
                <w:tcPr>
                  <w:tcW w:w="775" w:type="pct"/>
                  <w:tcBorders>
                    <w:tl2br w:val="nil"/>
                    <w:tr2bl w:val="nil"/>
                  </w:tcBorders>
                  <w:noWrap w:val="0"/>
                  <w:vAlign w:val="center"/>
                </w:tcPr>
                <w:p w14:paraId="0FCD9A6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w:t>
                  </w:r>
                </w:p>
              </w:tc>
              <w:tc>
                <w:tcPr>
                  <w:tcW w:w="775" w:type="pct"/>
                  <w:tcBorders>
                    <w:tl2br w:val="nil"/>
                    <w:tr2bl w:val="nil"/>
                  </w:tcBorders>
                  <w:noWrap w:val="0"/>
                  <w:vAlign w:val="center"/>
                </w:tcPr>
                <w:p w14:paraId="3A444B8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0.03</w:t>
                  </w:r>
                </w:p>
              </w:tc>
              <w:tc>
                <w:tcPr>
                  <w:tcW w:w="658" w:type="pct"/>
                  <w:tcBorders>
                    <w:tl2br w:val="nil"/>
                    <w:tr2bl w:val="nil"/>
                  </w:tcBorders>
                  <w:noWrap w:val="0"/>
                  <w:vAlign w:val="center"/>
                </w:tcPr>
                <w:p w14:paraId="5C511D0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0.02</w:t>
                  </w:r>
                </w:p>
              </w:tc>
              <w:tc>
                <w:tcPr>
                  <w:tcW w:w="523" w:type="pct"/>
                  <w:tcBorders>
                    <w:tl2br w:val="nil"/>
                    <w:tr2bl w:val="nil"/>
                  </w:tcBorders>
                  <w:noWrap w:val="0"/>
                  <w:vAlign w:val="center"/>
                </w:tcPr>
                <w:p w14:paraId="7C45B59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23659A4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5CB41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57300E2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亚硝酸盐</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324D82A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0.003</w:t>
                  </w:r>
                </w:p>
              </w:tc>
              <w:tc>
                <w:tcPr>
                  <w:tcW w:w="775" w:type="pct"/>
                  <w:tcBorders>
                    <w:tl2br w:val="nil"/>
                    <w:tr2bl w:val="nil"/>
                  </w:tcBorders>
                  <w:noWrap w:val="0"/>
                  <w:vAlign w:val="center"/>
                </w:tcPr>
                <w:p w14:paraId="3669952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w:t>
                  </w:r>
                </w:p>
              </w:tc>
              <w:tc>
                <w:tcPr>
                  <w:tcW w:w="775" w:type="pct"/>
                  <w:tcBorders>
                    <w:tl2br w:val="nil"/>
                    <w:tr2bl w:val="nil"/>
                  </w:tcBorders>
                  <w:noWrap w:val="0"/>
                  <w:vAlign w:val="center"/>
                </w:tcPr>
                <w:p w14:paraId="324CD91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0.006</w:t>
                  </w:r>
                </w:p>
              </w:tc>
              <w:tc>
                <w:tcPr>
                  <w:tcW w:w="658" w:type="pct"/>
                  <w:tcBorders>
                    <w:tl2br w:val="nil"/>
                    <w:tr2bl w:val="nil"/>
                  </w:tcBorders>
                  <w:noWrap w:val="0"/>
                  <w:vAlign w:val="center"/>
                </w:tcPr>
                <w:p w14:paraId="6F9BC96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0.002</w:t>
                  </w:r>
                </w:p>
              </w:tc>
              <w:tc>
                <w:tcPr>
                  <w:tcW w:w="523" w:type="pct"/>
                  <w:tcBorders>
                    <w:tl2br w:val="nil"/>
                    <w:tr2bl w:val="nil"/>
                  </w:tcBorders>
                  <w:noWrap w:val="0"/>
                  <w:vAlign w:val="center"/>
                </w:tcPr>
                <w:p w14:paraId="724B985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3B8A81F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37082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5813544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六价铬</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538A86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2EF6C99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5382003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658" w:type="pct"/>
                  <w:tcBorders>
                    <w:tl2br w:val="nil"/>
                    <w:tr2bl w:val="nil"/>
                  </w:tcBorders>
                  <w:noWrap w:val="0"/>
                  <w:vAlign w:val="center"/>
                </w:tcPr>
                <w:p w14:paraId="532E97C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523" w:type="pct"/>
                  <w:tcBorders>
                    <w:tl2br w:val="nil"/>
                    <w:tr2bl w:val="nil"/>
                  </w:tcBorders>
                  <w:noWrap w:val="0"/>
                  <w:vAlign w:val="center"/>
                </w:tcPr>
                <w:p w14:paraId="43A0447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277756C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4C508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4B39BE1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氰化物</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FD9F12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09D0A81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6DD93DE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658" w:type="pct"/>
                  <w:tcBorders>
                    <w:tl2br w:val="nil"/>
                    <w:tr2bl w:val="nil"/>
                  </w:tcBorders>
                  <w:noWrap w:val="0"/>
                  <w:vAlign w:val="center"/>
                </w:tcPr>
                <w:p w14:paraId="141FBA2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523" w:type="pct"/>
                  <w:tcBorders>
                    <w:tl2br w:val="nil"/>
                    <w:tr2bl w:val="nil"/>
                  </w:tcBorders>
                  <w:noWrap w:val="0"/>
                  <w:vAlign w:val="center"/>
                </w:tcPr>
                <w:p w14:paraId="4BF8297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w:t>
                  </w:r>
                </w:p>
              </w:tc>
              <w:tc>
                <w:tcPr>
                  <w:tcW w:w="439" w:type="pct"/>
                  <w:tcBorders>
                    <w:tl2br w:val="nil"/>
                    <w:tr2bl w:val="nil"/>
                  </w:tcBorders>
                  <w:noWrap w:val="0"/>
                  <w:vAlign w:val="center"/>
                </w:tcPr>
                <w:p w14:paraId="3FFB2CA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FD1AA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3E31429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总铬</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4B2BA8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0774E6D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747D620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0.005</w:t>
                  </w:r>
                </w:p>
              </w:tc>
              <w:tc>
                <w:tcPr>
                  <w:tcW w:w="658" w:type="pct"/>
                  <w:tcBorders>
                    <w:tl2br w:val="nil"/>
                    <w:tr2bl w:val="nil"/>
                  </w:tcBorders>
                  <w:noWrap w:val="0"/>
                  <w:vAlign w:val="center"/>
                </w:tcPr>
                <w:p w14:paraId="284A6BB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523" w:type="pct"/>
                  <w:tcBorders>
                    <w:tl2br w:val="nil"/>
                    <w:tr2bl w:val="nil"/>
                  </w:tcBorders>
                  <w:noWrap w:val="0"/>
                  <w:vAlign w:val="center"/>
                </w:tcPr>
                <w:p w14:paraId="10E9FDF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21FB54B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5D255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76A130A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汞</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E8AB08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0.00004L</w:t>
                  </w:r>
                </w:p>
              </w:tc>
              <w:tc>
                <w:tcPr>
                  <w:tcW w:w="775" w:type="pct"/>
                  <w:tcBorders>
                    <w:tl2br w:val="nil"/>
                    <w:tr2bl w:val="nil"/>
                  </w:tcBorders>
                  <w:noWrap w:val="0"/>
                  <w:vAlign w:val="center"/>
                </w:tcPr>
                <w:p w14:paraId="05E7EF7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0.00006</w:t>
                  </w:r>
                </w:p>
              </w:tc>
              <w:tc>
                <w:tcPr>
                  <w:tcW w:w="775" w:type="pct"/>
                  <w:tcBorders>
                    <w:tl2br w:val="nil"/>
                    <w:tr2bl w:val="nil"/>
                  </w:tcBorders>
                  <w:noWrap w:val="0"/>
                  <w:vAlign w:val="center"/>
                </w:tcPr>
                <w:p w14:paraId="2B983AA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0.00007</w:t>
                  </w:r>
                </w:p>
              </w:tc>
              <w:tc>
                <w:tcPr>
                  <w:tcW w:w="658" w:type="pct"/>
                  <w:tcBorders>
                    <w:tl2br w:val="nil"/>
                    <w:tr2bl w:val="nil"/>
                  </w:tcBorders>
                  <w:noWrap w:val="0"/>
                  <w:vAlign w:val="center"/>
                </w:tcPr>
                <w:p w14:paraId="44A79F1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0.00004L</w:t>
                  </w:r>
                </w:p>
              </w:tc>
              <w:tc>
                <w:tcPr>
                  <w:tcW w:w="523" w:type="pct"/>
                  <w:tcBorders>
                    <w:tl2br w:val="nil"/>
                    <w:tr2bl w:val="nil"/>
                  </w:tcBorders>
                  <w:noWrap w:val="0"/>
                  <w:vAlign w:val="center"/>
                </w:tcPr>
                <w:p w14:paraId="31D65FD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0.0001</w:t>
                  </w:r>
                </w:p>
              </w:tc>
              <w:tc>
                <w:tcPr>
                  <w:tcW w:w="439" w:type="pct"/>
                  <w:tcBorders>
                    <w:tl2br w:val="nil"/>
                    <w:tr2bl w:val="nil"/>
                  </w:tcBorders>
                  <w:noWrap w:val="0"/>
                  <w:vAlign w:val="center"/>
                </w:tcPr>
                <w:p w14:paraId="0503315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0B2CB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08A892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高锰酸盐指数</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7FBCD0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w:t>
                  </w:r>
                </w:p>
              </w:tc>
              <w:tc>
                <w:tcPr>
                  <w:tcW w:w="775" w:type="pct"/>
                  <w:tcBorders>
                    <w:tl2br w:val="nil"/>
                    <w:tr2bl w:val="nil"/>
                  </w:tcBorders>
                  <w:noWrap w:val="0"/>
                  <w:vAlign w:val="center"/>
                </w:tcPr>
                <w:p w14:paraId="7B854A9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1.5</w:t>
                  </w:r>
                </w:p>
              </w:tc>
              <w:tc>
                <w:tcPr>
                  <w:tcW w:w="775" w:type="pct"/>
                  <w:tcBorders>
                    <w:tl2br w:val="nil"/>
                    <w:tr2bl w:val="nil"/>
                  </w:tcBorders>
                  <w:noWrap w:val="0"/>
                  <w:vAlign w:val="center"/>
                </w:tcPr>
                <w:p w14:paraId="4D4C466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2.1</w:t>
                  </w:r>
                </w:p>
              </w:tc>
              <w:tc>
                <w:tcPr>
                  <w:tcW w:w="658" w:type="pct"/>
                  <w:tcBorders>
                    <w:tl2br w:val="nil"/>
                    <w:tr2bl w:val="nil"/>
                  </w:tcBorders>
                  <w:noWrap w:val="0"/>
                  <w:vAlign w:val="center"/>
                </w:tcPr>
                <w:p w14:paraId="03081E8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2.4</w:t>
                  </w:r>
                </w:p>
              </w:tc>
              <w:tc>
                <w:tcPr>
                  <w:tcW w:w="523" w:type="pct"/>
                  <w:tcBorders>
                    <w:tl2br w:val="nil"/>
                    <w:tr2bl w:val="nil"/>
                  </w:tcBorders>
                  <w:noWrap w:val="0"/>
                  <w:vAlign w:val="center"/>
                </w:tcPr>
                <w:p w14:paraId="7D3308E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w:t>
                  </w:r>
                </w:p>
              </w:tc>
              <w:tc>
                <w:tcPr>
                  <w:tcW w:w="439" w:type="pct"/>
                  <w:tcBorders>
                    <w:tl2br w:val="nil"/>
                    <w:tr2bl w:val="nil"/>
                  </w:tcBorders>
                  <w:noWrap w:val="0"/>
                  <w:vAlign w:val="center"/>
                </w:tcPr>
                <w:p w14:paraId="3784443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02F1B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513573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氟化物</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A9B6C2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0.41</w:t>
                  </w:r>
                </w:p>
              </w:tc>
              <w:tc>
                <w:tcPr>
                  <w:tcW w:w="775" w:type="pct"/>
                  <w:tcBorders>
                    <w:tl2br w:val="nil"/>
                    <w:tr2bl w:val="nil"/>
                  </w:tcBorders>
                  <w:noWrap w:val="0"/>
                  <w:vAlign w:val="center"/>
                </w:tcPr>
                <w:p w14:paraId="799B553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0.14</w:t>
                  </w:r>
                </w:p>
              </w:tc>
              <w:tc>
                <w:tcPr>
                  <w:tcW w:w="775" w:type="pct"/>
                  <w:tcBorders>
                    <w:tl2br w:val="nil"/>
                    <w:tr2bl w:val="nil"/>
                  </w:tcBorders>
                  <w:noWrap w:val="0"/>
                  <w:vAlign w:val="center"/>
                </w:tcPr>
                <w:p w14:paraId="0726979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0.44</w:t>
                  </w:r>
                </w:p>
              </w:tc>
              <w:tc>
                <w:tcPr>
                  <w:tcW w:w="658" w:type="pct"/>
                  <w:tcBorders>
                    <w:tl2br w:val="nil"/>
                    <w:tr2bl w:val="nil"/>
                  </w:tcBorders>
                  <w:noWrap w:val="0"/>
                  <w:vAlign w:val="center"/>
                </w:tcPr>
                <w:p w14:paraId="3633131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0.21</w:t>
                  </w:r>
                </w:p>
              </w:tc>
              <w:tc>
                <w:tcPr>
                  <w:tcW w:w="523" w:type="pct"/>
                  <w:tcBorders>
                    <w:tl2br w:val="nil"/>
                    <w:tr2bl w:val="nil"/>
                  </w:tcBorders>
                  <w:noWrap w:val="0"/>
                  <w:vAlign w:val="center"/>
                </w:tcPr>
                <w:p w14:paraId="6D0AC75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w:t>
                  </w:r>
                </w:p>
              </w:tc>
              <w:tc>
                <w:tcPr>
                  <w:tcW w:w="439" w:type="pct"/>
                  <w:tcBorders>
                    <w:tl2br w:val="nil"/>
                    <w:tr2bl w:val="nil"/>
                  </w:tcBorders>
                  <w:noWrap w:val="0"/>
                  <w:vAlign w:val="center"/>
                </w:tcPr>
                <w:p w14:paraId="191E328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20090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5A167E4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硝酸盐</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5CB7AE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0.56</w:t>
                  </w:r>
                </w:p>
              </w:tc>
              <w:tc>
                <w:tcPr>
                  <w:tcW w:w="775" w:type="pct"/>
                  <w:tcBorders>
                    <w:tl2br w:val="nil"/>
                    <w:tr2bl w:val="nil"/>
                  </w:tcBorders>
                  <w:noWrap w:val="0"/>
                  <w:vAlign w:val="center"/>
                </w:tcPr>
                <w:p w14:paraId="50D1CC6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2.58</w:t>
                  </w:r>
                </w:p>
              </w:tc>
              <w:tc>
                <w:tcPr>
                  <w:tcW w:w="775" w:type="pct"/>
                  <w:tcBorders>
                    <w:tl2br w:val="nil"/>
                    <w:tr2bl w:val="nil"/>
                  </w:tcBorders>
                  <w:noWrap w:val="0"/>
                  <w:vAlign w:val="center"/>
                </w:tcPr>
                <w:p w14:paraId="278BCA2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0.08L</w:t>
                  </w:r>
                </w:p>
              </w:tc>
              <w:tc>
                <w:tcPr>
                  <w:tcW w:w="658" w:type="pct"/>
                  <w:tcBorders>
                    <w:tl2br w:val="nil"/>
                    <w:tr2bl w:val="nil"/>
                  </w:tcBorders>
                  <w:noWrap w:val="0"/>
                  <w:vAlign w:val="center"/>
                </w:tcPr>
                <w:p w14:paraId="4B01993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0.67</w:t>
                  </w:r>
                </w:p>
              </w:tc>
              <w:tc>
                <w:tcPr>
                  <w:tcW w:w="523" w:type="pct"/>
                  <w:tcBorders>
                    <w:tl2br w:val="nil"/>
                    <w:tr2bl w:val="nil"/>
                  </w:tcBorders>
                  <w:noWrap w:val="0"/>
                  <w:vAlign w:val="center"/>
                </w:tcPr>
                <w:p w14:paraId="3D1A41B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10</w:t>
                  </w:r>
                </w:p>
              </w:tc>
              <w:tc>
                <w:tcPr>
                  <w:tcW w:w="439" w:type="pct"/>
                  <w:tcBorders>
                    <w:tl2br w:val="nil"/>
                    <w:tr2bl w:val="nil"/>
                  </w:tcBorders>
                  <w:noWrap w:val="0"/>
                  <w:vAlign w:val="center"/>
                </w:tcPr>
                <w:p w14:paraId="7027858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14C633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C3463E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硫酸盐</w:t>
                  </w:r>
                  <w:r>
                    <w:rPr>
                      <w:rStyle w:val="66"/>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55A1205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118</w:t>
                  </w:r>
                </w:p>
              </w:tc>
              <w:tc>
                <w:tcPr>
                  <w:tcW w:w="775" w:type="pct"/>
                  <w:tcBorders>
                    <w:tl2br w:val="nil"/>
                    <w:tr2bl w:val="nil"/>
                  </w:tcBorders>
                  <w:noWrap w:val="0"/>
                  <w:vAlign w:val="center"/>
                </w:tcPr>
                <w:p w14:paraId="3C9AA0E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64</w:t>
                  </w:r>
                </w:p>
              </w:tc>
              <w:tc>
                <w:tcPr>
                  <w:tcW w:w="775" w:type="pct"/>
                  <w:tcBorders>
                    <w:tl2br w:val="nil"/>
                    <w:tr2bl w:val="nil"/>
                  </w:tcBorders>
                  <w:noWrap w:val="0"/>
                  <w:vAlign w:val="center"/>
                </w:tcPr>
                <w:p w14:paraId="5E61B3E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29</w:t>
                  </w:r>
                </w:p>
              </w:tc>
              <w:tc>
                <w:tcPr>
                  <w:tcW w:w="658" w:type="pct"/>
                  <w:tcBorders>
                    <w:tl2br w:val="nil"/>
                    <w:tr2bl w:val="nil"/>
                  </w:tcBorders>
                  <w:noWrap w:val="0"/>
                  <w:vAlign w:val="center"/>
                </w:tcPr>
                <w:p w14:paraId="75EAB85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33</w:t>
                  </w:r>
                </w:p>
              </w:tc>
              <w:tc>
                <w:tcPr>
                  <w:tcW w:w="523" w:type="pct"/>
                  <w:tcBorders>
                    <w:tl2br w:val="nil"/>
                    <w:tr2bl w:val="nil"/>
                  </w:tcBorders>
                  <w:noWrap w:val="0"/>
                  <w:vAlign w:val="center"/>
                </w:tcPr>
                <w:p w14:paraId="4E29C8B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250</w:t>
                  </w:r>
                </w:p>
              </w:tc>
              <w:tc>
                <w:tcPr>
                  <w:tcW w:w="439" w:type="pct"/>
                  <w:tcBorders>
                    <w:tl2br w:val="nil"/>
                    <w:tr2bl w:val="nil"/>
                  </w:tcBorders>
                  <w:noWrap w:val="0"/>
                  <w:vAlign w:val="center"/>
                </w:tcPr>
                <w:p w14:paraId="3FC4549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2E984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5C4F456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项目</w:t>
                  </w:r>
                  <w:r>
                    <w:rPr>
                      <w:rStyle w:val="89"/>
                      <w:rFonts w:hint="default" w:ascii="Times New Roman" w:hAnsi="Times New Roman" w:eastAsia="宋体" w:cs="Times New Roman"/>
                      <w:b w:val="0"/>
                      <w:bCs w:val="0"/>
                      <w:color w:val="auto"/>
                      <w:sz w:val="18"/>
                      <w:szCs w:val="18"/>
                      <w:lang w:bidi="ar"/>
                    </w:rPr>
                    <w:t>采样点</w:t>
                  </w:r>
                </w:p>
              </w:tc>
              <w:tc>
                <w:tcPr>
                  <w:tcW w:w="775" w:type="pct"/>
                  <w:tcBorders>
                    <w:tl2br w:val="nil"/>
                    <w:tr2bl w:val="nil"/>
                  </w:tcBorders>
                  <w:noWrap w:val="0"/>
                  <w:vAlign w:val="center"/>
                </w:tcPr>
                <w:p w14:paraId="3567457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曼岗河</w:t>
                  </w:r>
                </w:p>
              </w:tc>
              <w:tc>
                <w:tcPr>
                  <w:tcW w:w="775" w:type="pct"/>
                  <w:tcBorders>
                    <w:tl2br w:val="nil"/>
                    <w:tr2bl w:val="nil"/>
                  </w:tcBorders>
                  <w:noWrap w:val="0"/>
                  <w:vAlign w:val="center"/>
                </w:tcPr>
                <w:p w14:paraId="01568AC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肥味河</w:t>
                  </w:r>
                </w:p>
              </w:tc>
              <w:tc>
                <w:tcPr>
                  <w:tcW w:w="775" w:type="pct"/>
                  <w:tcBorders>
                    <w:tl2br w:val="nil"/>
                    <w:tr2bl w:val="nil"/>
                  </w:tcBorders>
                  <w:noWrap w:val="0"/>
                  <w:vAlign w:val="center"/>
                </w:tcPr>
                <w:p w14:paraId="0A9D226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戛洒江</w:t>
                  </w:r>
                </w:p>
              </w:tc>
              <w:tc>
                <w:tcPr>
                  <w:tcW w:w="658" w:type="pct"/>
                  <w:tcBorders>
                    <w:tl2br w:val="nil"/>
                    <w:tr2bl w:val="nil"/>
                  </w:tcBorders>
                  <w:noWrap w:val="0"/>
                  <w:vAlign w:val="center"/>
                </w:tcPr>
                <w:p w14:paraId="5274AF5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二道河</w:t>
                  </w:r>
                  <w:r>
                    <w:rPr>
                      <w:rStyle w:val="89"/>
                      <w:rFonts w:hint="default" w:ascii="Times New Roman" w:hAnsi="Times New Roman" w:eastAsia="宋体" w:cs="Times New Roman"/>
                      <w:b w:val="0"/>
                      <w:bCs w:val="0"/>
                      <w:color w:val="auto"/>
                      <w:sz w:val="18"/>
                      <w:szCs w:val="18"/>
                      <w:lang w:bidi="ar"/>
                    </w:rPr>
                    <w:t>（困龙河）</w:t>
                  </w:r>
                </w:p>
              </w:tc>
              <w:tc>
                <w:tcPr>
                  <w:tcW w:w="523" w:type="pct"/>
                  <w:tcBorders>
                    <w:tl2br w:val="nil"/>
                    <w:tr2bl w:val="nil"/>
                  </w:tcBorders>
                  <w:noWrap w:val="0"/>
                  <w:vAlign w:val="center"/>
                </w:tcPr>
                <w:p w14:paraId="0199051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标准限值</w:t>
                  </w:r>
                </w:p>
              </w:tc>
              <w:tc>
                <w:tcPr>
                  <w:tcW w:w="439" w:type="pct"/>
                  <w:tcBorders>
                    <w:tl2br w:val="nil"/>
                    <w:tr2bl w:val="nil"/>
                  </w:tcBorders>
                  <w:noWrap w:val="0"/>
                  <w:vAlign w:val="center"/>
                </w:tcPr>
                <w:p w14:paraId="2F1CE43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达标情况</w:t>
                  </w:r>
                </w:p>
              </w:tc>
            </w:tr>
            <w:tr w14:paraId="29C3F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1BB17A8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样品标识</w:t>
                  </w:r>
                </w:p>
              </w:tc>
              <w:tc>
                <w:tcPr>
                  <w:tcW w:w="775" w:type="pct"/>
                  <w:tcBorders>
                    <w:tl2br w:val="nil"/>
                    <w:tr2bl w:val="nil"/>
                  </w:tcBorders>
                  <w:noWrap w:val="0"/>
                  <w:vAlign w:val="center"/>
                </w:tcPr>
                <w:p w14:paraId="07014F11">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HH20250709SO59-01</w:t>
                  </w:r>
                </w:p>
              </w:tc>
              <w:tc>
                <w:tcPr>
                  <w:tcW w:w="775" w:type="pct"/>
                  <w:tcBorders>
                    <w:tl2br w:val="nil"/>
                    <w:tr2bl w:val="nil"/>
                  </w:tcBorders>
                  <w:noWrap w:val="0"/>
                  <w:vAlign w:val="center"/>
                </w:tcPr>
                <w:p w14:paraId="3A6D3D10">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HH20250709S059-02</w:t>
                  </w:r>
                </w:p>
              </w:tc>
              <w:tc>
                <w:tcPr>
                  <w:tcW w:w="775" w:type="pct"/>
                  <w:tcBorders>
                    <w:tl2br w:val="nil"/>
                    <w:tr2bl w:val="nil"/>
                  </w:tcBorders>
                  <w:noWrap w:val="0"/>
                  <w:vAlign w:val="center"/>
                </w:tcPr>
                <w:p w14:paraId="32E88C59">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HH20250709S059-03</w:t>
                  </w:r>
                </w:p>
              </w:tc>
              <w:tc>
                <w:tcPr>
                  <w:tcW w:w="658" w:type="pct"/>
                  <w:tcBorders>
                    <w:tl2br w:val="nil"/>
                    <w:tr2bl w:val="nil"/>
                  </w:tcBorders>
                  <w:noWrap w:val="0"/>
                  <w:vAlign w:val="center"/>
                </w:tcPr>
                <w:p w14:paraId="55F16D4B">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HH20250709S059-04</w:t>
                  </w:r>
                </w:p>
              </w:tc>
              <w:tc>
                <w:tcPr>
                  <w:tcW w:w="523" w:type="pct"/>
                  <w:tcBorders>
                    <w:tl2br w:val="nil"/>
                    <w:tr2bl w:val="nil"/>
                  </w:tcBorders>
                  <w:noWrap w:val="0"/>
                  <w:vAlign w:val="center"/>
                </w:tcPr>
                <w:p w14:paraId="7BC47C2F">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436597B9">
                  <w:pPr>
                    <w:widowControl/>
                    <w:spacing w:line="240" w:lineRule="exact"/>
                    <w:jc w:val="center"/>
                    <w:textAlignment w:val="top"/>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172BBB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2B56571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样品状态</w:t>
                  </w:r>
                </w:p>
              </w:tc>
              <w:tc>
                <w:tcPr>
                  <w:tcW w:w="775" w:type="pct"/>
                  <w:tcBorders>
                    <w:tl2br w:val="nil"/>
                    <w:tr2bl w:val="nil"/>
                  </w:tcBorders>
                  <w:noWrap w:val="0"/>
                  <w:vAlign w:val="center"/>
                </w:tcPr>
                <w:p w14:paraId="460602B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775" w:type="pct"/>
                  <w:tcBorders>
                    <w:tl2br w:val="nil"/>
                    <w:tr2bl w:val="nil"/>
                  </w:tcBorders>
                  <w:noWrap w:val="0"/>
                  <w:vAlign w:val="center"/>
                </w:tcPr>
                <w:p w14:paraId="45F0399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775" w:type="pct"/>
                  <w:tcBorders>
                    <w:tl2br w:val="nil"/>
                    <w:tr2bl w:val="nil"/>
                  </w:tcBorders>
                  <w:noWrap w:val="0"/>
                  <w:vAlign w:val="center"/>
                </w:tcPr>
                <w:p w14:paraId="607A104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658" w:type="pct"/>
                  <w:tcBorders>
                    <w:tl2br w:val="nil"/>
                    <w:tr2bl w:val="nil"/>
                  </w:tcBorders>
                  <w:noWrap w:val="0"/>
                  <w:vAlign w:val="center"/>
                </w:tcPr>
                <w:p w14:paraId="74D2761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无</w:t>
                  </w:r>
                  <w:r>
                    <w:rPr>
                      <w:rStyle w:val="89"/>
                      <w:rFonts w:hint="default" w:ascii="Times New Roman" w:hAnsi="Times New Roman" w:eastAsia="宋体" w:cs="Times New Roman"/>
                      <w:b w:val="0"/>
                      <w:bCs w:val="0"/>
                      <w:color w:val="auto"/>
                      <w:sz w:val="18"/>
                      <w:szCs w:val="18"/>
                      <w:lang w:bidi="ar"/>
                    </w:rPr>
                    <w:t>色、少量沉淀</w:t>
                  </w:r>
                </w:p>
              </w:tc>
              <w:tc>
                <w:tcPr>
                  <w:tcW w:w="523" w:type="pct"/>
                  <w:tcBorders>
                    <w:tl2br w:val="nil"/>
                    <w:tr2bl w:val="nil"/>
                  </w:tcBorders>
                  <w:noWrap w:val="0"/>
                  <w:vAlign w:val="center"/>
                </w:tcPr>
                <w:p w14:paraId="76556CF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2EF3F4B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37C6E6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7E65EBE6">
                  <w:pPr>
                    <w:widowControl/>
                    <w:spacing w:line="240" w:lineRule="exact"/>
                    <w:jc w:val="center"/>
                    <w:textAlignment w:val="center"/>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kern w:val="0"/>
                      <w:sz w:val="18"/>
                      <w:szCs w:val="18"/>
                      <w:vertAlign w:val="baseline"/>
                      <w:lang w:bidi="ar"/>
                    </w:rPr>
                    <w:t>pH</w:t>
                  </w:r>
                  <w:r>
                    <w:rPr>
                      <w:rStyle w:val="87"/>
                      <w:rFonts w:hint="default" w:ascii="Times New Roman" w:hAnsi="Times New Roman" w:eastAsia="宋体" w:cs="Times New Roman"/>
                      <w:b w:val="0"/>
                      <w:bCs w:val="0"/>
                      <w:color w:val="auto"/>
                      <w:sz w:val="18"/>
                      <w:szCs w:val="18"/>
                      <w:vertAlign w:val="baseline"/>
                      <w:lang w:bidi="ar"/>
                    </w:rPr>
                    <w:t>无量纲</w:t>
                  </w:r>
                </w:p>
              </w:tc>
              <w:tc>
                <w:tcPr>
                  <w:tcW w:w="775" w:type="pct"/>
                  <w:tcBorders>
                    <w:tl2br w:val="nil"/>
                    <w:tr2bl w:val="nil"/>
                  </w:tcBorders>
                  <w:noWrap w:val="0"/>
                  <w:vAlign w:val="center"/>
                </w:tcPr>
                <w:p w14:paraId="1112AAA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8.1</w:t>
                  </w:r>
                </w:p>
              </w:tc>
              <w:tc>
                <w:tcPr>
                  <w:tcW w:w="775" w:type="pct"/>
                  <w:tcBorders>
                    <w:tl2br w:val="nil"/>
                    <w:tr2bl w:val="nil"/>
                  </w:tcBorders>
                  <w:noWrap w:val="0"/>
                  <w:vAlign w:val="center"/>
                </w:tcPr>
                <w:p w14:paraId="00351A1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7.8</w:t>
                  </w:r>
                </w:p>
              </w:tc>
              <w:tc>
                <w:tcPr>
                  <w:tcW w:w="775" w:type="pct"/>
                  <w:tcBorders>
                    <w:tl2br w:val="nil"/>
                    <w:tr2bl w:val="nil"/>
                  </w:tcBorders>
                  <w:noWrap w:val="0"/>
                  <w:vAlign w:val="center"/>
                </w:tcPr>
                <w:p w14:paraId="36FC227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7.6</w:t>
                  </w:r>
                </w:p>
              </w:tc>
              <w:tc>
                <w:tcPr>
                  <w:tcW w:w="658" w:type="pct"/>
                  <w:tcBorders>
                    <w:tl2br w:val="nil"/>
                    <w:tr2bl w:val="nil"/>
                  </w:tcBorders>
                  <w:noWrap w:val="0"/>
                  <w:vAlign w:val="center"/>
                </w:tcPr>
                <w:p w14:paraId="28FD81C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8.1</w:t>
                  </w:r>
                </w:p>
              </w:tc>
              <w:tc>
                <w:tcPr>
                  <w:tcW w:w="523" w:type="pct"/>
                  <w:tcBorders>
                    <w:tl2br w:val="nil"/>
                    <w:tr2bl w:val="nil"/>
                  </w:tcBorders>
                  <w:noWrap w:val="0"/>
                  <w:vAlign w:val="center"/>
                </w:tcPr>
                <w:p w14:paraId="7B175EB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6~9</w:t>
                  </w:r>
                </w:p>
              </w:tc>
              <w:tc>
                <w:tcPr>
                  <w:tcW w:w="439" w:type="pct"/>
                  <w:tcBorders>
                    <w:tl2br w:val="nil"/>
                    <w:tr2bl w:val="nil"/>
                  </w:tcBorders>
                  <w:noWrap w:val="0"/>
                  <w:vAlign w:val="center"/>
                </w:tcPr>
                <w:p w14:paraId="77EE563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735DF3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2B51A24A">
                  <w:pPr>
                    <w:widowControl/>
                    <w:spacing w:line="240" w:lineRule="exact"/>
                    <w:jc w:val="center"/>
                    <w:textAlignment w:val="center"/>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kern w:val="0"/>
                      <w:sz w:val="18"/>
                      <w:szCs w:val="18"/>
                      <w:vertAlign w:val="baseline"/>
                      <w:lang w:bidi="ar"/>
                    </w:rPr>
                    <w:t>悬浮物</w:t>
                  </w:r>
                  <w:r>
                    <w:rPr>
                      <w:rStyle w:val="88"/>
                      <w:rFonts w:hint="default" w:ascii="Times New Roman" w:hAnsi="Times New Roman" w:eastAsia="宋体" w:cs="Times New Roman"/>
                      <w:b w:val="0"/>
                      <w:bCs w:val="0"/>
                      <w:color w:val="auto"/>
                      <w:sz w:val="18"/>
                      <w:szCs w:val="18"/>
                      <w:vertAlign w:val="baseline"/>
                      <w:lang w:bidi="ar"/>
                    </w:rPr>
                    <w:t>mg/L</w:t>
                  </w:r>
                </w:p>
              </w:tc>
              <w:tc>
                <w:tcPr>
                  <w:tcW w:w="775" w:type="pct"/>
                  <w:tcBorders>
                    <w:tl2br w:val="nil"/>
                    <w:tr2bl w:val="nil"/>
                  </w:tcBorders>
                  <w:noWrap w:val="0"/>
                  <w:vAlign w:val="center"/>
                </w:tcPr>
                <w:p w14:paraId="69FA4E1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36</w:t>
                  </w:r>
                </w:p>
              </w:tc>
              <w:tc>
                <w:tcPr>
                  <w:tcW w:w="775" w:type="pct"/>
                  <w:tcBorders>
                    <w:tl2br w:val="nil"/>
                    <w:tr2bl w:val="nil"/>
                  </w:tcBorders>
                  <w:noWrap w:val="0"/>
                  <w:vAlign w:val="center"/>
                </w:tcPr>
                <w:p w14:paraId="60A4E44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30</w:t>
                  </w:r>
                </w:p>
              </w:tc>
              <w:tc>
                <w:tcPr>
                  <w:tcW w:w="775" w:type="pct"/>
                  <w:tcBorders>
                    <w:tl2br w:val="nil"/>
                    <w:tr2bl w:val="nil"/>
                  </w:tcBorders>
                  <w:noWrap w:val="0"/>
                  <w:vAlign w:val="center"/>
                </w:tcPr>
                <w:p w14:paraId="5688F0C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117</w:t>
                  </w:r>
                </w:p>
              </w:tc>
              <w:tc>
                <w:tcPr>
                  <w:tcW w:w="658" w:type="pct"/>
                  <w:tcBorders>
                    <w:tl2br w:val="nil"/>
                    <w:tr2bl w:val="nil"/>
                  </w:tcBorders>
                  <w:noWrap w:val="0"/>
                  <w:vAlign w:val="center"/>
                </w:tcPr>
                <w:p w14:paraId="3F65F23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43</w:t>
                  </w:r>
                </w:p>
              </w:tc>
              <w:tc>
                <w:tcPr>
                  <w:tcW w:w="523" w:type="pct"/>
                  <w:tcBorders>
                    <w:tl2br w:val="nil"/>
                    <w:tr2bl w:val="nil"/>
                  </w:tcBorders>
                  <w:noWrap w:val="0"/>
                  <w:vAlign w:val="center"/>
                </w:tcPr>
                <w:p w14:paraId="6EBFAB5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23E4E31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78C04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722F9E1F">
                  <w:pPr>
                    <w:widowControl/>
                    <w:spacing w:line="240" w:lineRule="exact"/>
                    <w:jc w:val="center"/>
                    <w:textAlignment w:val="center"/>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kern w:val="0"/>
                      <w:sz w:val="18"/>
                      <w:szCs w:val="18"/>
                      <w:vertAlign w:val="baseline"/>
                      <w:lang w:bidi="ar"/>
                    </w:rPr>
                    <w:t>化学需</w:t>
                  </w:r>
                  <w:r>
                    <w:rPr>
                      <w:rStyle w:val="87"/>
                      <w:rFonts w:hint="default" w:ascii="Times New Roman" w:hAnsi="Times New Roman" w:eastAsia="宋体" w:cs="Times New Roman"/>
                      <w:b w:val="0"/>
                      <w:bCs w:val="0"/>
                      <w:color w:val="auto"/>
                      <w:sz w:val="18"/>
                      <w:szCs w:val="18"/>
                      <w:vertAlign w:val="baseline"/>
                      <w:lang w:bidi="ar"/>
                    </w:rPr>
                    <w:t>氧量</w:t>
                  </w:r>
                  <w:r>
                    <w:rPr>
                      <w:rStyle w:val="66"/>
                      <w:rFonts w:hint="default" w:ascii="Times New Roman" w:hAnsi="Times New Roman" w:eastAsia="宋体" w:cs="Times New Roman"/>
                      <w:b w:val="0"/>
                      <w:bCs w:val="0"/>
                      <w:color w:val="auto"/>
                      <w:sz w:val="18"/>
                      <w:szCs w:val="18"/>
                      <w:vertAlign w:val="baseline"/>
                      <w:lang w:bidi="ar"/>
                    </w:rPr>
                    <w:t>mg/L</w:t>
                  </w:r>
                </w:p>
              </w:tc>
              <w:tc>
                <w:tcPr>
                  <w:tcW w:w="775" w:type="pct"/>
                  <w:tcBorders>
                    <w:tl2br w:val="nil"/>
                    <w:tr2bl w:val="nil"/>
                  </w:tcBorders>
                  <w:noWrap w:val="0"/>
                  <w:vAlign w:val="center"/>
                </w:tcPr>
                <w:p w14:paraId="311F0BE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7</w:t>
                  </w:r>
                </w:p>
              </w:tc>
              <w:tc>
                <w:tcPr>
                  <w:tcW w:w="775" w:type="pct"/>
                  <w:tcBorders>
                    <w:tl2br w:val="nil"/>
                    <w:tr2bl w:val="nil"/>
                  </w:tcBorders>
                  <w:noWrap w:val="0"/>
                  <w:vAlign w:val="center"/>
                </w:tcPr>
                <w:p w14:paraId="28D70B7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18</w:t>
                  </w:r>
                </w:p>
              </w:tc>
              <w:tc>
                <w:tcPr>
                  <w:tcW w:w="775" w:type="pct"/>
                  <w:tcBorders>
                    <w:tl2br w:val="nil"/>
                    <w:tr2bl w:val="nil"/>
                  </w:tcBorders>
                  <w:noWrap w:val="0"/>
                  <w:vAlign w:val="center"/>
                </w:tcPr>
                <w:p w14:paraId="36ED5E0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w:t>
                  </w:r>
                </w:p>
              </w:tc>
              <w:tc>
                <w:tcPr>
                  <w:tcW w:w="658" w:type="pct"/>
                  <w:tcBorders>
                    <w:tl2br w:val="nil"/>
                    <w:tr2bl w:val="nil"/>
                  </w:tcBorders>
                  <w:noWrap w:val="0"/>
                  <w:vAlign w:val="center"/>
                </w:tcPr>
                <w:p w14:paraId="619ABBF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w:t>
                  </w:r>
                </w:p>
              </w:tc>
              <w:tc>
                <w:tcPr>
                  <w:tcW w:w="523" w:type="pct"/>
                  <w:tcBorders>
                    <w:tl2br w:val="nil"/>
                    <w:tr2bl w:val="nil"/>
                  </w:tcBorders>
                  <w:noWrap w:val="0"/>
                  <w:vAlign w:val="center"/>
                </w:tcPr>
                <w:p w14:paraId="21C78A0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20</w:t>
                  </w:r>
                </w:p>
              </w:tc>
              <w:tc>
                <w:tcPr>
                  <w:tcW w:w="439" w:type="pct"/>
                  <w:tcBorders>
                    <w:tl2br w:val="nil"/>
                    <w:tr2bl w:val="nil"/>
                  </w:tcBorders>
                  <w:noWrap w:val="0"/>
                  <w:vAlign w:val="center"/>
                </w:tcPr>
                <w:p w14:paraId="543ED4A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5E6B0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8E544A7">
                  <w:pPr>
                    <w:widowControl/>
                    <w:spacing w:line="240" w:lineRule="exact"/>
                    <w:jc w:val="center"/>
                    <w:textAlignment w:val="center"/>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kern w:val="0"/>
                      <w:sz w:val="18"/>
                      <w:szCs w:val="18"/>
                      <w:vertAlign w:val="baseline"/>
                      <w:lang w:bidi="ar"/>
                    </w:rPr>
                    <w:t>五日生</w:t>
                  </w:r>
                  <w:r>
                    <w:rPr>
                      <w:rStyle w:val="87"/>
                      <w:rFonts w:hint="default" w:ascii="Times New Roman" w:hAnsi="Times New Roman" w:eastAsia="宋体" w:cs="Times New Roman"/>
                      <w:b w:val="0"/>
                      <w:bCs w:val="0"/>
                      <w:color w:val="auto"/>
                      <w:sz w:val="18"/>
                      <w:szCs w:val="18"/>
                      <w:vertAlign w:val="baseline"/>
                      <w:lang w:bidi="ar"/>
                    </w:rPr>
                    <w:t>化需氧量</w:t>
                  </w:r>
                  <w:r>
                    <w:rPr>
                      <w:rStyle w:val="66"/>
                      <w:rFonts w:hint="default" w:ascii="Times New Roman" w:hAnsi="Times New Roman" w:eastAsia="宋体" w:cs="Times New Roman"/>
                      <w:b w:val="0"/>
                      <w:bCs w:val="0"/>
                      <w:color w:val="auto"/>
                      <w:sz w:val="18"/>
                      <w:szCs w:val="18"/>
                      <w:vertAlign w:val="baseline"/>
                      <w:lang w:bidi="ar"/>
                    </w:rPr>
                    <w:t>mg/L</w:t>
                  </w:r>
                </w:p>
              </w:tc>
              <w:tc>
                <w:tcPr>
                  <w:tcW w:w="775" w:type="pct"/>
                  <w:tcBorders>
                    <w:tl2br w:val="nil"/>
                    <w:tr2bl w:val="nil"/>
                  </w:tcBorders>
                  <w:noWrap w:val="0"/>
                  <w:vAlign w:val="center"/>
                </w:tcPr>
                <w:p w14:paraId="40A8F7B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1.4</w:t>
                  </w:r>
                </w:p>
              </w:tc>
              <w:tc>
                <w:tcPr>
                  <w:tcW w:w="775" w:type="pct"/>
                  <w:tcBorders>
                    <w:tl2br w:val="nil"/>
                    <w:tr2bl w:val="nil"/>
                  </w:tcBorders>
                  <w:noWrap w:val="0"/>
                  <w:vAlign w:val="center"/>
                </w:tcPr>
                <w:p w14:paraId="5C56C61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3.7</w:t>
                  </w:r>
                </w:p>
              </w:tc>
              <w:tc>
                <w:tcPr>
                  <w:tcW w:w="775" w:type="pct"/>
                  <w:tcBorders>
                    <w:tl2br w:val="nil"/>
                    <w:tr2bl w:val="nil"/>
                  </w:tcBorders>
                  <w:noWrap w:val="0"/>
                  <w:vAlign w:val="center"/>
                </w:tcPr>
                <w:p w14:paraId="11F2595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1.1</w:t>
                  </w:r>
                </w:p>
              </w:tc>
              <w:tc>
                <w:tcPr>
                  <w:tcW w:w="658" w:type="pct"/>
                  <w:tcBorders>
                    <w:tl2br w:val="nil"/>
                    <w:tr2bl w:val="nil"/>
                  </w:tcBorders>
                  <w:noWrap w:val="0"/>
                  <w:vAlign w:val="center"/>
                </w:tcPr>
                <w:p w14:paraId="510E362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1.2</w:t>
                  </w:r>
                </w:p>
              </w:tc>
              <w:tc>
                <w:tcPr>
                  <w:tcW w:w="523" w:type="pct"/>
                  <w:tcBorders>
                    <w:tl2br w:val="nil"/>
                    <w:tr2bl w:val="nil"/>
                  </w:tcBorders>
                  <w:noWrap w:val="0"/>
                  <w:vAlign w:val="center"/>
                </w:tcPr>
                <w:p w14:paraId="22B7C4D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4</w:t>
                  </w:r>
                </w:p>
              </w:tc>
              <w:tc>
                <w:tcPr>
                  <w:tcW w:w="439" w:type="pct"/>
                  <w:tcBorders>
                    <w:tl2br w:val="nil"/>
                    <w:tr2bl w:val="nil"/>
                  </w:tcBorders>
                  <w:noWrap w:val="0"/>
                  <w:vAlign w:val="center"/>
                </w:tcPr>
                <w:p w14:paraId="2BD2B20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B748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1F51CAD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氨氮</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523C395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0.72</w:t>
                  </w:r>
                </w:p>
              </w:tc>
              <w:tc>
                <w:tcPr>
                  <w:tcW w:w="775" w:type="pct"/>
                  <w:tcBorders>
                    <w:tl2br w:val="nil"/>
                    <w:tr2bl w:val="nil"/>
                  </w:tcBorders>
                  <w:noWrap w:val="0"/>
                  <w:vAlign w:val="center"/>
                </w:tcPr>
                <w:p w14:paraId="6F35AE2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0.332</w:t>
                  </w:r>
                </w:p>
              </w:tc>
              <w:tc>
                <w:tcPr>
                  <w:tcW w:w="775" w:type="pct"/>
                  <w:tcBorders>
                    <w:tl2br w:val="nil"/>
                    <w:tr2bl w:val="nil"/>
                  </w:tcBorders>
                  <w:noWrap w:val="0"/>
                  <w:vAlign w:val="center"/>
                </w:tcPr>
                <w:p w14:paraId="1C6A661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0.388</w:t>
                  </w:r>
                </w:p>
              </w:tc>
              <w:tc>
                <w:tcPr>
                  <w:tcW w:w="658" w:type="pct"/>
                  <w:tcBorders>
                    <w:tl2br w:val="nil"/>
                    <w:tr2bl w:val="nil"/>
                  </w:tcBorders>
                  <w:noWrap w:val="0"/>
                  <w:vAlign w:val="center"/>
                </w:tcPr>
                <w:p w14:paraId="78E9836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0.606</w:t>
                  </w:r>
                </w:p>
              </w:tc>
              <w:tc>
                <w:tcPr>
                  <w:tcW w:w="523" w:type="pct"/>
                  <w:tcBorders>
                    <w:tl2br w:val="nil"/>
                    <w:tr2bl w:val="nil"/>
                  </w:tcBorders>
                  <w:noWrap w:val="0"/>
                  <w:vAlign w:val="center"/>
                </w:tcPr>
                <w:p w14:paraId="0E7427B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w:t>
                  </w:r>
                </w:p>
              </w:tc>
              <w:tc>
                <w:tcPr>
                  <w:tcW w:w="439" w:type="pct"/>
                  <w:tcBorders>
                    <w:tl2br w:val="nil"/>
                    <w:tr2bl w:val="nil"/>
                  </w:tcBorders>
                  <w:noWrap w:val="0"/>
                  <w:vAlign w:val="center"/>
                </w:tcPr>
                <w:p w14:paraId="443D286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536E8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42C927E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磷酸盐</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E0E2CC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775" w:type="pct"/>
                  <w:tcBorders>
                    <w:tl2br w:val="nil"/>
                    <w:tr2bl w:val="nil"/>
                  </w:tcBorders>
                  <w:noWrap w:val="0"/>
                  <w:vAlign w:val="center"/>
                </w:tcPr>
                <w:p w14:paraId="1785A83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775" w:type="pct"/>
                  <w:tcBorders>
                    <w:tl2br w:val="nil"/>
                    <w:tr2bl w:val="nil"/>
                  </w:tcBorders>
                  <w:noWrap w:val="0"/>
                  <w:vAlign w:val="center"/>
                </w:tcPr>
                <w:p w14:paraId="7D202ED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658" w:type="pct"/>
                  <w:tcBorders>
                    <w:tl2br w:val="nil"/>
                    <w:tr2bl w:val="nil"/>
                  </w:tcBorders>
                  <w:noWrap w:val="0"/>
                  <w:vAlign w:val="center"/>
                </w:tcPr>
                <w:p w14:paraId="75F0601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0.1L</w:t>
                  </w:r>
                </w:p>
              </w:tc>
              <w:tc>
                <w:tcPr>
                  <w:tcW w:w="523" w:type="pct"/>
                  <w:tcBorders>
                    <w:tl2br w:val="nil"/>
                    <w:tr2bl w:val="nil"/>
                  </w:tcBorders>
                  <w:noWrap w:val="0"/>
                  <w:vAlign w:val="center"/>
                </w:tcPr>
                <w:p w14:paraId="5F9F6F5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4AE6938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1D6CF0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1A706C5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铜</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CECB2A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7DB59D0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332C5EB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658" w:type="pct"/>
                  <w:tcBorders>
                    <w:tl2br w:val="nil"/>
                    <w:tr2bl w:val="nil"/>
                  </w:tcBorders>
                  <w:noWrap w:val="0"/>
                  <w:vAlign w:val="center"/>
                </w:tcPr>
                <w:p w14:paraId="21923EA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523" w:type="pct"/>
                  <w:tcBorders>
                    <w:tl2br w:val="nil"/>
                    <w:tr2bl w:val="nil"/>
                  </w:tcBorders>
                  <w:noWrap w:val="0"/>
                  <w:vAlign w:val="center"/>
                </w:tcPr>
                <w:p w14:paraId="05CAB0C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w:t>
                  </w:r>
                </w:p>
              </w:tc>
              <w:tc>
                <w:tcPr>
                  <w:tcW w:w="439" w:type="pct"/>
                  <w:tcBorders>
                    <w:tl2br w:val="nil"/>
                    <w:tr2bl w:val="nil"/>
                  </w:tcBorders>
                  <w:noWrap w:val="0"/>
                  <w:vAlign w:val="center"/>
                </w:tcPr>
                <w:p w14:paraId="7974B73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2674BA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6B9CED7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铅</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2E1123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05BA8B3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32EF14D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658" w:type="pct"/>
                  <w:tcBorders>
                    <w:tl2br w:val="nil"/>
                    <w:tr2bl w:val="nil"/>
                  </w:tcBorders>
                  <w:noWrap w:val="0"/>
                  <w:vAlign w:val="center"/>
                </w:tcPr>
                <w:p w14:paraId="213FF54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523" w:type="pct"/>
                  <w:tcBorders>
                    <w:tl2br w:val="nil"/>
                    <w:tr2bl w:val="nil"/>
                  </w:tcBorders>
                  <w:noWrap w:val="0"/>
                  <w:vAlign w:val="center"/>
                </w:tcPr>
                <w:p w14:paraId="053B140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24AB1AB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F6B4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5FF4AE6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镉</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3EFCB00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2ED7886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775" w:type="pct"/>
                  <w:tcBorders>
                    <w:tl2br w:val="nil"/>
                    <w:tr2bl w:val="nil"/>
                  </w:tcBorders>
                  <w:noWrap w:val="0"/>
                  <w:vAlign w:val="center"/>
                </w:tcPr>
                <w:p w14:paraId="659B556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658" w:type="pct"/>
                  <w:tcBorders>
                    <w:tl2br w:val="nil"/>
                    <w:tr2bl w:val="nil"/>
                  </w:tcBorders>
                  <w:noWrap w:val="0"/>
                  <w:vAlign w:val="center"/>
                </w:tcPr>
                <w:p w14:paraId="299BC16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0.001L</w:t>
                  </w:r>
                </w:p>
              </w:tc>
              <w:tc>
                <w:tcPr>
                  <w:tcW w:w="523" w:type="pct"/>
                  <w:tcBorders>
                    <w:tl2br w:val="nil"/>
                    <w:tr2bl w:val="nil"/>
                  </w:tcBorders>
                  <w:noWrap w:val="0"/>
                  <w:vAlign w:val="center"/>
                </w:tcPr>
                <w:p w14:paraId="2D78E2F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0.005</w:t>
                  </w:r>
                </w:p>
              </w:tc>
              <w:tc>
                <w:tcPr>
                  <w:tcW w:w="439" w:type="pct"/>
                  <w:tcBorders>
                    <w:tl2br w:val="nil"/>
                    <w:tr2bl w:val="nil"/>
                  </w:tcBorders>
                  <w:noWrap w:val="0"/>
                  <w:vAlign w:val="center"/>
                </w:tcPr>
                <w:p w14:paraId="34ED239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573E3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085611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铁</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4A4AAD5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0.26</w:t>
                  </w:r>
                </w:p>
              </w:tc>
              <w:tc>
                <w:tcPr>
                  <w:tcW w:w="775" w:type="pct"/>
                  <w:tcBorders>
                    <w:tl2br w:val="nil"/>
                    <w:tr2bl w:val="nil"/>
                  </w:tcBorders>
                  <w:noWrap w:val="0"/>
                  <w:vAlign w:val="center"/>
                </w:tcPr>
                <w:p w14:paraId="5BEF574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0.24</w:t>
                  </w:r>
                </w:p>
              </w:tc>
              <w:tc>
                <w:tcPr>
                  <w:tcW w:w="775" w:type="pct"/>
                  <w:tcBorders>
                    <w:tl2br w:val="nil"/>
                    <w:tr2bl w:val="nil"/>
                  </w:tcBorders>
                  <w:noWrap w:val="0"/>
                  <w:vAlign w:val="center"/>
                </w:tcPr>
                <w:p w14:paraId="67C2CA8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0.27</w:t>
                  </w:r>
                </w:p>
              </w:tc>
              <w:tc>
                <w:tcPr>
                  <w:tcW w:w="658" w:type="pct"/>
                  <w:tcBorders>
                    <w:tl2br w:val="nil"/>
                    <w:tr2bl w:val="nil"/>
                  </w:tcBorders>
                  <w:noWrap w:val="0"/>
                  <w:vAlign w:val="center"/>
                </w:tcPr>
                <w:p w14:paraId="7A3DAD4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0.26</w:t>
                  </w:r>
                </w:p>
              </w:tc>
              <w:tc>
                <w:tcPr>
                  <w:tcW w:w="523" w:type="pct"/>
                  <w:tcBorders>
                    <w:tl2br w:val="nil"/>
                    <w:tr2bl w:val="nil"/>
                  </w:tcBorders>
                  <w:noWrap w:val="0"/>
                  <w:vAlign w:val="center"/>
                </w:tcPr>
                <w:p w14:paraId="46D72DB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0.3</w:t>
                  </w:r>
                </w:p>
              </w:tc>
              <w:tc>
                <w:tcPr>
                  <w:tcW w:w="439" w:type="pct"/>
                  <w:tcBorders>
                    <w:tl2br w:val="nil"/>
                    <w:tr2bl w:val="nil"/>
                  </w:tcBorders>
                  <w:noWrap w:val="0"/>
                  <w:vAlign w:val="center"/>
                </w:tcPr>
                <w:p w14:paraId="33B0632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A08C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62C22E2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砷</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67D576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0.0014</w:t>
                  </w:r>
                </w:p>
              </w:tc>
              <w:tc>
                <w:tcPr>
                  <w:tcW w:w="775" w:type="pct"/>
                  <w:tcBorders>
                    <w:tl2br w:val="nil"/>
                    <w:tr2bl w:val="nil"/>
                  </w:tcBorders>
                  <w:noWrap w:val="0"/>
                  <w:vAlign w:val="center"/>
                </w:tcPr>
                <w:p w14:paraId="20FB702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0.0003</w:t>
                  </w:r>
                </w:p>
              </w:tc>
              <w:tc>
                <w:tcPr>
                  <w:tcW w:w="775" w:type="pct"/>
                  <w:tcBorders>
                    <w:tl2br w:val="nil"/>
                    <w:tr2bl w:val="nil"/>
                  </w:tcBorders>
                  <w:noWrap w:val="0"/>
                  <w:vAlign w:val="center"/>
                </w:tcPr>
                <w:p w14:paraId="4566820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0.0036</w:t>
                  </w:r>
                </w:p>
              </w:tc>
              <w:tc>
                <w:tcPr>
                  <w:tcW w:w="658" w:type="pct"/>
                  <w:tcBorders>
                    <w:tl2br w:val="nil"/>
                    <w:tr2bl w:val="nil"/>
                  </w:tcBorders>
                  <w:noWrap w:val="0"/>
                  <w:vAlign w:val="center"/>
                </w:tcPr>
                <w:p w14:paraId="4E3AC60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0.0005</w:t>
                  </w:r>
                </w:p>
              </w:tc>
              <w:tc>
                <w:tcPr>
                  <w:tcW w:w="523" w:type="pct"/>
                  <w:tcBorders>
                    <w:tl2br w:val="nil"/>
                    <w:tr2bl w:val="nil"/>
                  </w:tcBorders>
                  <w:noWrap w:val="0"/>
                  <w:vAlign w:val="center"/>
                </w:tcPr>
                <w:p w14:paraId="7FB0980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61E053E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0F1BA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051" w:type="pct"/>
                  <w:tcBorders>
                    <w:tl2br w:val="nil"/>
                    <w:tr2bl w:val="nil"/>
                  </w:tcBorders>
                  <w:noWrap w:val="0"/>
                  <w:vAlign w:val="center"/>
                </w:tcPr>
                <w:p w14:paraId="71926D5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硫化物</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FFBC86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4462C1C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775" w:type="pct"/>
                  <w:tcBorders>
                    <w:tl2br w:val="nil"/>
                    <w:tr2bl w:val="nil"/>
                  </w:tcBorders>
                  <w:noWrap w:val="0"/>
                  <w:vAlign w:val="center"/>
                </w:tcPr>
                <w:p w14:paraId="58CFDA7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658" w:type="pct"/>
                  <w:tcBorders>
                    <w:tl2br w:val="nil"/>
                    <w:tr2bl w:val="nil"/>
                  </w:tcBorders>
                  <w:noWrap w:val="0"/>
                  <w:vAlign w:val="center"/>
                </w:tcPr>
                <w:p w14:paraId="54E8A63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0.01L</w:t>
                  </w:r>
                </w:p>
              </w:tc>
              <w:tc>
                <w:tcPr>
                  <w:tcW w:w="523" w:type="pct"/>
                  <w:tcBorders>
                    <w:tl2br w:val="nil"/>
                    <w:tr2bl w:val="nil"/>
                  </w:tcBorders>
                  <w:noWrap w:val="0"/>
                  <w:vAlign w:val="center"/>
                </w:tcPr>
                <w:p w14:paraId="3845D44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w:t>
                  </w:r>
                </w:p>
              </w:tc>
              <w:tc>
                <w:tcPr>
                  <w:tcW w:w="439" w:type="pct"/>
                  <w:tcBorders>
                    <w:tl2br w:val="nil"/>
                    <w:tr2bl w:val="nil"/>
                  </w:tcBorders>
                  <w:noWrap w:val="0"/>
                  <w:vAlign w:val="center"/>
                </w:tcPr>
                <w:p w14:paraId="373467D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2866AA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38A4FA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石油类</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63DB75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0.02</w:t>
                  </w:r>
                </w:p>
              </w:tc>
              <w:tc>
                <w:tcPr>
                  <w:tcW w:w="775" w:type="pct"/>
                  <w:tcBorders>
                    <w:tl2br w:val="nil"/>
                    <w:tr2bl w:val="nil"/>
                  </w:tcBorders>
                  <w:noWrap w:val="0"/>
                  <w:vAlign w:val="center"/>
                </w:tcPr>
                <w:p w14:paraId="30E1FE9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w:t>
                  </w:r>
                </w:p>
              </w:tc>
              <w:tc>
                <w:tcPr>
                  <w:tcW w:w="775" w:type="pct"/>
                  <w:tcBorders>
                    <w:tl2br w:val="nil"/>
                    <w:tr2bl w:val="nil"/>
                  </w:tcBorders>
                  <w:noWrap w:val="0"/>
                  <w:vAlign w:val="center"/>
                </w:tcPr>
                <w:p w14:paraId="4342932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0.02</w:t>
                  </w:r>
                </w:p>
              </w:tc>
              <w:tc>
                <w:tcPr>
                  <w:tcW w:w="658" w:type="pct"/>
                  <w:tcBorders>
                    <w:tl2br w:val="nil"/>
                    <w:tr2bl w:val="nil"/>
                  </w:tcBorders>
                  <w:noWrap w:val="0"/>
                  <w:vAlign w:val="center"/>
                </w:tcPr>
                <w:p w14:paraId="7337B75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0.03</w:t>
                  </w:r>
                </w:p>
              </w:tc>
              <w:tc>
                <w:tcPr>
                  <w:tcW w:w="523" w:type="pct"/>
                  <w:tcBorders>
                    <w:tl2br w:val="nil"/>
                    <w:tr2bl w:val="nil"/>
                  </w:tcBorders>
                  <w:noWrap w:val="0"/>
                  <w:vAlign w:val="center"/>
                </w:tcPr>
                <w:p w14:paraId="346331C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1118C81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5EF70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49E6F39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亚硝酸盐</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5487EF7A">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0.032</w:t>
                  </w:r>
                </w:p>
              </w:tc>
              <w:tc>
                <w:tcPr>
                  <w:tcW w:w="775" w:type="pct"/>
                  <w:tcBorders>
                    <w:tl2br w:val="nil"/>
                    <w:tr2bl w:val="nil"/>
                  </w:tcBorders>
                  <w:noWrap w:val="0"/>
                  <w:vAlign w:val="center"/>
                </w:tcPr>
                <w:p w14:paraId="475A2C0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0.02</w:t>
                  </w:r>
                </w:p>
              </w:tc>
              <w:tc>
                <w:tcPr>
                  <w:tcW w:w="775" w:type="pct"/>
                  <w:tcBorders>
                    <w:tl2br w:val="nil"/>
                    <w:tr2bl w:val="nil"/>
                  </w:tcBorders>
                  <w:noWrap w:val="0"/>
                  <w:vAlign w:val="center"/>
                </w:tcPr>
                <w:p w14:paraId="171EA68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0.03</w:t>
                  </w:r>
                </w:p>
              </w:tc>
              <w:tc>
                <w:tcPr>
                  <w:tcW w:w="658" w:type="pct"/>
                  <w:tcBorders>
                    <w:tl2br w:val="nil"/>
                    <w:tr2bl w:val="nil"/>
                  </w:tcBorders>
                  <w:noWrap w:val="0"/>
                  <w:vAlign w:val="center"/>
                </w:tcPr>
                <w:p w14:paraId="2090409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0.028</w:t>
                  </w:r>
                </w:p>
              </w:tc>
              <w:tc>
                <w:tcPr>
                  <w:tcW w:w="523" w:type="pct"/>
                  <w:tcBorders>
                    <w:tl2br w:val="nil"/>
                    <w:tr2bl w:val="nil"/>
                  </w:tcBorders>
                  <w:noWrap w:val="0"/>
                  <w:vAlign w:val="center"/>
                </w:tcPr>
                <w:p w14:paraId="3625486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697F3DE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688312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7B71572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六价铬</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1E256DA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0.006</w:t>
                  </w:r>
                </w:p>
              </w:tc>
              <w:tc>
                <w:tcPr>
                  <w:tcW w:w="775" w:type="pct"/>
                  <w:tcBorders>
                    <w:tl2br w:val="nil"/>
                    <w:tr2bl w:val="nil"/>
                  </w:tcBorders>
                  <w:noWrap w:val="0"/>
                  <w:vAlign w:val="center"/>
                </w:tcPr>
                <w:p w14:paraId="1168B68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w:t>
                  </w:r>
                </w:p>
              </w:tc>
              <w:tc>
                <w:tcPr>
                  <w:tcW w:w="775" w:type="pct"/>
                  <w:tcBorders>
                    <w:tl2br w:val="nil"/>
                    <w:tr2bl w:val="nil"/>
                  </w:tcBorders>
                  <w:noWrap w:val="0"/>
                  <w:vAlign w:val="center"/>
                </w:tcPr>
                <w:p w14:paraId="05635EE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0.008</w:t>
                  </w:r>
                </w:p>
              </w:tc>
              <w:tc>
                <w:tcPr>
                  <w:tcW w:w="658" w:type="pct"/>
                  <w:tcBorders>
                    <w:tl2br w:val="nil"/>
                    <w:tr2bl w:val="nil"/>
                  </w:tcBorders>
                  <w:noWrap w:val="0"/>
                  <w:vAlign w:val="center"/>
                </w:tcPr>
                <w:p w14:paraId="352A5F5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0.005</w:t>
                  </w:r>
                </w:p>
              </w:tc>
              <w:tc>
                <w:tcPr>
                  <w:tcW w:w="523" w:type="pct"/>
                  <w:tcBorders>
                    <w:tl2br w:val="nil"/>
                    <w:tr2bl w:val="nil"/>
                  </w:tcBorders>
                  <w:noWrap w:val="0"/>
                  <w:vAlign w:val="center"/>
                </w:tcPr>
                <w:p w14:paraId="732842E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0.05</w:t>
                  </w:r>
                </w:p>
              </w:tc>
              <w:tc>
                <w:tcPr>
                  <w:tcW w:w="439" w:type="pct"/>
                  <w:tcBorders>
                    <w:tl2br w:val="nil"/>
                    <w:tr2bl w:val="nil"/>
                  </w:tcBorders>
                  <w:noWrap w:val="0"/>
                  <w:vAlign w:val="center"/>
                </w:tcPr>
                <w:p w14:paraId="30DE5D4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43005B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3C6F38D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氰化物</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5166F08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73306FF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775" w:type="pct"/>
                  <w:tcBorders>
                    <w:tl2br w:val="nil"/>
                    <w:tr2bl w:val="nil"/>
                  </w:tcBorders>
                  <w:noWrap w:val="0"/>
                  <w:vAlign w:val="center"/>
                </w:tcPr>
                <w:p w14:paraId="73F84F8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658" w:type="pct"/>
                  <w:tcBorders>
                    <w:tl2br w:val="nil"/>
                    <w:tr2bl w:val="nil"/>
                  </w:tcBorders>
                  <w:noWrap w:val="0"/>
                  <w:vAlign w:val="center"/>
                </w:tcPr>
                <w:p w14:paraId="60E2DE5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0.004L</w:t>
                  </w:r>
                </w:p>
              </w:tc>
              <w:tc>
                <w:tcPr>
                  <w:tcW w:w="523" w:type="pct"/>
                  <w:tcBorders>
                    <w:tl2br w:val="nil"/>
                    <w:tr2bl w:val="nil"/>
                  </w:tcBorders>
                  <w:noWrap w:val="0"/>
                  <w:vAlign w:val="center"/>
                </w:tcPr>
                <w:p w14:paraId="4366C21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w:t>
                  </w:r>
                </w:p>
              </w:tc>
              <w:tc>
                <w:tcPr>
                  <w:tcW w:w="439" w:type="pct"/>
                  <w:tcBorders>
                    <w:tl2br w:val="nil"/>
                    <w:tr2bl w:val="nil"/>
                  </w:tcBorders>
                  <w:noWrap w:val="0"/>
                  <w:vAlign w:val="center"/>
                </w:tcPr>
                <w:p w14:paraId="2D3D5A3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47FC39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051" w:type="pct"/>
                  <w:tcBorders>
                    <w:tl2br w:val="nil"/>
                    <w:tr2bl w:val="nil"/>
                  </w:tcBorders>
                  <w:noWrap w:val="0"/>
                  <w:vAlign w:val="center"/>
                </w:tcPr>
                <w:p w14:paraId="380B9D6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总铬</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32E3993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0.011</w:t>
                  </w:r>
                </w:p>
              </w:tc>
              <w:tc>
                <w:tcPr>
                  <w:tcW w:w="775" w:type="pct"/>
                  <w:tcBorders>
                    <w:tl2br w:val="nil"/>
                    <w:tr2bl w:val="nil"/>
                  </w:tcBorders>
                  <w:noWrap w:val="0"/>
                  <w:vAlign w:val="center"/>
                </w:tcPr>
                <w:p w14:paraId="045FE0B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0.008</w:t>
                  </w:r>
                </w:p>
              </w:tc>
              <w:tc>
                <w:tcPr>
                  <w:tcW w:w="775" w:type="pct"/>
                  <w:tcBorders>
                    <w:tl2br w:val="nil"/>
                    <w:tr2bl w:val="nil"/>
                  </w:tcBorders>
                  <w:noWrap w:val="0"/>
                  <w:vAlign w:val="center"/>
                </w:tcPr>
                <w:p w14:paraId="7D94FB0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0.015</w:t>
                  </w:r>
                </w:p>
              </w:tc>
              <w:tc>
                <w:tcPr>
                  <w:tcW w:w="658" w:type="pct"/>
                  <w:tcBorders>
                    <w:tl2br w:val="nil"/>
                    <w:tr2bl w:val="nil"/>
                  </w:tcBorders>
                  <w:noWrap w:val="0"/>
                  <w:vAlign w:val="center"/>
                </w:tcPr>
                <w:p w14:paraId="09A8F89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0.01</w:t>
                  </w:r>
                </w:p>
              </w:tc>
              <w:tc>
                <w:tcPr>
                  <w:tcW w:w="523" w:type="pct"/>
                  <w:tcBorders>
                    <w:tl2br w:val="nil"/>
                    <w:tr2bl w:val="nil"/>
                  </w:tcBorders>
                  <w:noWrap w:val="0"/>
                  <w:vAlign w:val="center"/>
                </w:tcPr>
                <w:p w14:paraId="5BA8CAC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c>
                <w:tcPr>
                  <w:tcW w:w="439" w:type="pct"/>
                  <w:tcBorders>
                    <w:tl2br w:val="nil"/>
                    <w:tr2bl w:val="nil"/>
                  </w:tcBorders>
                  <w:noWrap w:val="0"/>
                  <w:vAlign w:val="center"/>
                </w:tcPr>
                <w:p w14:paraId="276F1CF6">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w:t>
                  </w:r>
                </w:p>
              </w:tc>
            </w:tr>
            <w:tr w14:paraId="2A089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335CA52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汞</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8195EA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0.00004L</w:t>
                  </w:r>
                </w:p>
              </w:tc>
              <w:tc>
                <w:tcPr>
                  <w:tcW w:w="775" w:type="pct"/>
                  <w:tcBorders>
                    <w:tl2br w:val="nil"/>
                    <w:tr2bl w:val="nil"/>
                  </w:tcBorders>
                  <w:noWrap w:val="0"/>
                  <w:vAlign w:val="center"/>
                </w:tcPr>
                <w:p w14:paraId="4174DDD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0.00004L</w:t>
                  </w:r>
                </w:p>
              </w:tc>
              <w:tc>
                <w:tcPr>
                  <w:tcW w:w="775" w:type="pct"/>
                  <w:tcBorders>
                    <w:tl2br w:val="nil"/>
                    <w:tr2bl w:val="nil"/>
                  </w:tcBorders>
                  <w:noWrap w:val="0"/>
                  <w:vAlign w:val="center"/>
                </w:tcPr>
                <w:p w14:paraId="6A6DCCB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0.00004L</w:t>
                  </w:r>
                </w:p>
              </w:tc>
              <w:tc>
                <w:tcPr>
                  <w:tcW w:w="658" w:type="pct"/>
                  <w:tcBorders>
                    <w:tl2br w:val="nil"/>
                    <w:tr2bl w:val="nil"/>
                  </w:tcBorders>
                  <w:noWrap w:val="0"/>
                  <w:vAlign w:val="center"/>
                </w:tcPr>
                <w:p w14:paraId="2D5EC6A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0.00004L</w:t>
                  </w:r>
                </w:p>
              </w:tc>
              <w:tc>
                <w:tcPr>
                  <w:tcW w:w="523" w:type="pct"/>
                  <w:tcBorders>
                    <w:tl2br w:val="nil"/>
                    <w:tr2bl w:val="nil"/>
                  </w:tcBorders>
                  <w:noWrap w:val="0"/>
                  <w:vAlign w:val="center"/>
                </w:tcPr>
                <w:p w14:paraId="14E7825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0.0001</w:t>
                  </w:r>
                </w:p>
              </w:tc>
              <w:tc>
                <w:tcPr>
                  <w:tcW w:w="439" w:type="pct"/>
                  <w:tcBorders>
                    <w:tl2br w:val="nil"/>
                    <w:tr2bl w:val="nil"/>
                  </w:tcBorders>
                  <w:noWrap w:val="0"/>
                  <w:vAlign w:val="center"/>
                </w:tcPr>
                <w:p w14:paraId="1229828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72D4C3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17B22B8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高锰酸盐指数</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7CB942D8">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3.4</w:t>
                  </w:r>
                </w:p>
              </w:tc>
              <w:tc>
                <w:tcPr>
                  <w:tcW w:w="775" w:type="pct"/>
                  <w:tcBorders>
                    <w:tl2br w:val="nil"/>
                    <w:tr2bl w:val="nil"/>
                  </w:tcBorders>
                  <w:noWrap w:val="0"/>
                  <w:vAlign w:val="center"/>
                </w:tcPr>
                <w:p w14:paraId="5FF9CB0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1.4</w:t>
                  </w:r>
                </w:p>
              </w:tc>
              <w:tc>
                <w:tcPr>
                  <w:tcW w:w="775" w:type="pct"/>
                  <w:tcBorders>
                    <w:tl2br w:val="nil"/>
                    <w:tr2bl w:val="nil"/>
                  </w:tcBorders>
                  <w:noWrap w:val="0"/>
                  <w:vAlign w:val="center"/>
                </w:tcPr>
                <w:p w14:paraId="362AD11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3.3</w:t>
                  </w:r>
                </w:p>
              </w:tc>
              <w:tc>
                <w:tcPr>
                  <w:tcW w:w="658" w:type="pct"/>
                  <w:tcBorders>
                    <w:tl2br w:val="nil"/>
                    <w:tr2bl w:val="nil"/>
                  </w:tcBorders>
                  <w:noWrap w:val="0"/>
                  <w:vAlign w:val="center"/>
                </w:tcPr>
                <w:p w14:paraId="1D0A825B">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2.6</w:t>
                  </w:r>
                </w:p>
              </w:tc>
              <w:tc>
                <w:tcPr>
                  <w:tcW w:w="523" w:type="pct"/>
                  <w:tcBorders>
                    <w:tl2br w:val="nil"/>
                    <w:tr2bl w:val="nil"/>
                  </w:tcBorders>
                  <w:noWrap w:val="0"/>
                  <w:vAlign w:val="center"/>
                </w:tcPr>
                <w:p w14:paraId="7C230A2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6</w:t>
                  </w:r>
                </w:p>
              </w:tc>
              <w:tc>
                <w:tcPr>
                  <w:tcW w:w="439" w:type="pct"/>
                  <w:tcBorders>
                    <w:tl2br w:val="nil"/>
                    <w:tr2bl w:val="nil"/>
                  </w:tcBorders>
                  <w:noWrap w:val="0"/>
                  <w:vAlign w:val="center"/>
                </w:tcPr>
                <w:p w14:paraId="007EFB7F">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2DF892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186432A4">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氟化物</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1D11B245">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0.17</w:t>
                  </w:r>
                </w:p>
              </w:tc>
              <w:tc>
                <w:tcPr>
                  <w:tcW w:w="775" w:type="pct"/>
                  <w:tcBorders>
                    <w:tl2br w:val="nil"/>
                    <w:tr2bl w:val="nil"/>
                  </w:tcBorders>
                  <w:noWrap w:val="0"/>
                  <w:vAlign w:val="center"/>
                </w:tcPr>
                <w:p w14:paraId="27304067">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0.21</w:t>
                  </w:r>
                </w:p>
              </w:tc>
              <w:tc>
                <w:tcPr>
                  <w:tcW w:w="775" w:type="pct"/>
                  <w:tcBorders>
                    <w:tl2br w:val="nil"/>
                    <w:tr2bl w:val="nil"/>
                  </w:tcBorders>
                  <w:noWrap w:val="0"/>
                  <w:vAlign w:val="center"/>
                </w:tcPr>
                <w:p w14:paraId="468F082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0.17</w:t>
                  </w:r>
                </w:p>
              </w:tc>
              <w:tc>
                <w:tcPr>
                  <w:tcW w:w="658" w:type="pct"/>
                  <w:tcBorders>
                    <w:tl2br w:val="nil"/>
                    <w:tr2bl w:val="nil"/>
                  </w:tcBorders>
                  <w:noWrap w:val="0"/>
                  <w:vAlign w:val="center"/>
                </w:tcPr>
                <w:p w14:paraId="3609F2D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0.2</w:t>
                  </w:r>
                </w:p>
              </w:tc>
              <w:tc>
                <w:tcPr>
                  <w:tcW w:w="523" w:type="pct"/>
                  <w:tcBorders>
                    <w:tl2br w:val="nil"/>
                    <w:tr2bl w:val="nil"/>
                  </w:tcBorders>
                  <w:noWrap w:val="0"/>
                  <w:vAlign w:val="center"/>
                </w:tcPr>
                <w:p w14:paraId="355A8E9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w:t>
                  </w:r>
                </w:p>
              </w:tc>
              <w:tc>
                <w:tcPr>
                  <w:tcW w:w="439" w:type="pct"/>
                  <w:tcBorders>
                    <w:tl2br w:val="nil"/>
                    <w:tr2bl w:val="nil"/>
                  </w:tcBorders>
                  <w:noWrap w:val="0"/>
                  <w:vAlign w:val="center"/>
                </w:tcPr>
                <w:p w14:paraId="40D1DE5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604226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6B6ADC5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硝酸盐</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2D361B8C">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0.5</w:t>
                  </w:r>
                </w:p>
              </w:tc>
              <w:tc>
                <w:tcPr>
                  <w:tcW w:w="775" w:type="pct"/>
                  <w:tcBorders>
                    <w:tl2br w:val="nil"/>
                    <w:tr2bl w:val="nil"/>
                  </w:tcBorders>
                  <w:noWrap w:val="0"/>
                  <w:vAlign w:val="center"/>
                </w:tcPr>
                <w:p w14:paraId="52B8CF0E">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0.87</w:t>
                  </w:r>
                </w:p>
              </w:tc>
              <w:tc>
                <w:tcPr>
                  <w:tcW w:w="775" w:type="pct"/>
                  <w:tcBorders>
                    <w:tl2br w:val="nil"/>
                    <w:tr2bl w:val="nil"/>
                  </w:tcBorders>
                  <w:noWrap w:val="0"/>
                  <w:vAlign w:val="center"/>
                </w:tcPr>
                <w:p w14:paraId="6C35B63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1.36</w:t>
                  </w:r>
                </w:p>
              </w:tc>
              <w:tc>
                <w:tcPr>
                  <w:tcW w:w="658" w:type="pct"/>
                  <w:tcBorders>
                    <w:tl2br w:val="nil"/>
                    <w:tr2bl w:val="nil"/>
                  </w:tcBorders>
                  <w:noWrap w:val="0"/>
                  <w:vAlign w:val="center"/>
                </w:tcPr>
                <w:p w14:paraId="53EC9892">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0.69</w:t>
                  </w:r>
                </w:p>
              </w:tc>
              <w:tc>
                <w:tcPr>
                  <w:tcW w:w="523" w:type="pct"/>
                  <w:tcBorders>
                    <w:tl2br w:val="nil"/>
                    <w:tr2bl w:val="nil"/>
                  </w:tcBorders>
                  <w:noWrap w:val="0"/>
                  <w:vAlign w:val="center"/>
                </w:tcPr>
                <w:p w14:paraId="04824EE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10</w:t>
                  </w:r>
                </w:p>
              </w:tc>
              <w:tc>
                <w:tcPr>
                  <w:tcW w:w="439" w:type="pct"/>
                  <w:tcBorders>
                    <w:tl2br w:val="nil"/>
                    <w:tr2bl w:val="nil"/>
                  </w:tcBorders>
                  <w:noWrap w:val="0"/>
                  <w:vAlign w:val="center"/>
                </w:tcPr>
                <w:p w14:paraId="19719A5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r w14:paraId="3A080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2AE794D">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硫酸盐</w:t>
                  </w:r>
                  <w:r>
                    <w:rPr>
                      <w:rStyle w:val="88"/>
                      <w:rFonts w:hint="default" w:ascii="Times New Roman" w:hAnsi="Times New Roman" w:eastAsia="宋体" w:cs="Times New Roman"/>
                      <w:b w:val="0"/>
                      <w:bCs w:val="0"/>
                      <w:color w:val="auto"/>
                      <w:sz w:val="18"/>
                      <w:szCs w:val="18"/>
                      <w:lang w:bidi="ar"/>
                    </w:rPr>
                    <w:t>mg/L</w:t>
                  </w:r>
                </w:p>
              </w:tc>
              <w:tc>
                <w:tcPr>
                  <w:tcW w:w="775" w:type="pct"/>
                  <w:tcBorders>
                    <w:tl2br w:val="nil"/>
                    <w:tr2bl w:val="nil"/>
                  </w:tcBorders>
                  <w:noWrap w:val="0"/>
                  <w:vAlign w:val="center"/>
                </w:tcPr>
                <w:p w14:paraId="0C19D7D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9</w:t>
                  </w:r>
                </w:p>
              </w:tc>
              <w:tc>
                <w:tcPr>
                  <w:tcW w:w="775" w:type="pct"/>
                  <w:tcBorders>
                    <w:tl2br w:val="nil"/>
                    <w:tr2bl w:val="nil"/>
                  </w:tcBorders>
                  <w:noWrap w:val="0"/>
                  <w:vAlign w:val="center"/>
                </w:tcPr>
                <w:p w14:paraId="5112376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16</w:t>
                  </w:r>
                </w:p>
              </w:tc>
              <w:tc>
                <w:tcPr>
                  <w:tcW w:w="775" w:type="pct"/>
                  <w:tcBorders>
                    <w:tl2br w:val="nil"/>
                    <w:tr2bl w:val="nil"/>
                  </w:tcBorders>
                  <w:noWrap w:val="0"/>
                  <w:vAlign w:val="center"/>
                </w:tcPr>
                <w:p w14:paraId="3D0F4AF9">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29</w:t>
                  </w:r>
                </w:p>
              </w:tc>
              <w:tc>
                <w:tcPr>
                  <w:tcW w:w="658" w:type="pct"/>
                  <w:tcBorders>
                    <w:tl2br w:val="nil"/>
                    <w:tr2bl w:val="nil"/>
                  </w:tcBorders>
                  <w:noWrap w:val="0"/>
                  <w:vAlign w:val="center"/>
                </w:tcPr>
                <w:p w14:paraId="3ADE3291">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12</w:t>
                  </w:r>
                </w:p>
              </w:tc>
              <w:tc>
                <w:tcPr>
                  <w:tcW w:w="523" w:type="pct"/>
                  <w:tcBorders>
                    <w:tl2br w:val="nil"/>
                    <w:tr2bl w:val="nil"/>
                  </w:tcBorders>
                  <w:noWrap w:val="0"/>
                  <w:vAlign w:val="center"/>
                </w:tcPr>
                <w:p w14:paraId="38E62373">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250</w:t>
                  </w:r>
                </w:p>
              </w:tc>
              <w:tc>
                <w:tcPr>
                  <w:tcW w:w="439" w:type="pct"/>
                  <w:tcBorders>
                    <w:tl2br w:val="nil"/>
                    <w:tr2bl w:val="nil"/>
                  </w:tcBorders>
                  <w:noWrap w:val="0"/>
                  <w:vAlign w:val="center"/>
                </w:tcPr>
                <w:p w14:paraId="40C60470">
                  <w:pPr>
                    <w:widowControl/>
                    <w:spacing w:line="240" w:lineRule="exact"/>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kern w:val="0"/>
                      <w:sz w:val="18"/>
                      <w:szCs w:val="18"/>
                      <w:lang w:bidi="ar"/>
                    </w:rPr>
                    <w:t>达标</w:t>
                  </w:r>
                </w:p>
              </w:tc>
            </w:tr>
          </w:tbl>
          <w:p w14:paraId="11DD7AE5">
            <w:pPr>
              <w:spacing w:line="360" w:lineRule="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drawing>
                <wp:inline distT="0" distB="0" distL="114300" distR="114300">
                  <wp:extent cx="4883150" cy="3719195"/>
                  <wp:effectExtent l="9525" t="9525" r="22225" b="24130"/>
                  <wp:docPr id="10" name="图片 10" descr="NRAL4(F`3ZDHBS5K({X{X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NRAL4(F`3ZDHBS5K({X{XUT"/>
                          <pic:cNvPicPr>
                            <a:picLocks noChangeAspect="1"/>
                          </pic:cNvPicPr>
                        </pic:nvPicPr>
                        <pic:blipFill>
                          <a:blip r:embed="rId14"/>
                          <a:stretch>
                            <a:fillRect/>
                          </a:stretch>
                        </pic:blipFill>
                        <pic:spPr>
                          <a:xfrm>
                            <a:off x="0" y="0"/>
                            <a:ext cx="4883150" cy="3719195"/>
                          </a:xfrm>
                          <a:prstGeom prst="rect">
                            <a:avLst/>
                          </a:prstGeom>
                          <a:ln>
                            <a:solidFill>
                              <a:schemeClr val="tx1"/>
                            </a:solidFill>
                          </a:ln>
                        </pic:spPr>
                      </pic:pic>
                    </a:graphicData>
                  </a:graphic>
                </wp:inline>
              </w:drawing>
            </w:r>
          </w:p>
          <w:p w14:paraId="18F5C1D2">
            <w:pPr>
              <w:adjustRightInd w:val="0"/>
              <w:snapToGrid w:val="0"/>
              <w:spacing w:line="360" w:lineRule="auto"/>
              <w:jc w:val="center"/>
              <w:rPr>
                <w:rFonts w:hint="default" w:ascii="Times New Roman" w:hAnsi="Times New Roman" w:eastAsia="黑体" w:cs="Times New Roman"/>
                <w:bCs/>
                <w:color w:val="auto"/>
                <w:kern w:val="0"/>
                <w:sz w:val="22"/>
                <w:szCs w:val="22"/>
                <w:highlight w:val="none"/>
                <w:lang w:val="en-US" w:eastAsia="zh-CN"/>
              </w:rPr>
            </w:pPr>
            <w:r>
              <w:rPr>
                <w:rFonts w:hint="default" w:ascii="Times New Roman" w:hAnsi="Times New Roman" w:eastAsia="黑体" w:cs="Times New Roman"/>
                <w:bCs/>
                <w:color w:val="auto"/>
                <w:kern w:val="0"/>
                <w:sz w:val="22"/>
                <w:szCs w:val="22"/>
                <w:highlight w:val="none"/>
                <w:lang w:val="en-US" w:eastAsia="zh-CN"/>
              </w:rPr>
              <w:t xml:space="preserve">图3-2 </w:t>
            </w:r>
            <w:r>
              <w:rPr>
                <w:rFonts w:hint="eastAsia" w:ascii="Times New Roman" w:hAnsi="Times New Roman" w:eastAsia="黑体" w:cs="Times New Roman"/>
                <w:bCs/>
                <w:color w:val="auto"/>
                <w:kern w:val="0"/>
                <w:sz w:val="22"/>
                <w:szCs w:val="22"/>
                <w:highlight w:val="none"/>
                <w:lang w:val="en-US" w:eastAsia="zh-CN"/>
              </w:rPr>
              <w:t xml:space="preserve"> </w:t>
            </w:r>
            <w:r>
              <w:rPr>
                <w:rFonts w:hint="default" w:ascii="Times New Roman" w:hAnsi="Times New Roman" w:eastAsia="黑体" w:cs="Times New Roman"/>
                <w:bCs/>
                <w:color w:val="auto"/>
                <w:kern w:val="0"/>
                <w:sz w:val="22"/>
                <w:szCs w:val="22"/>
                <w:highlight w:val="none"/>
                <w:lang w:val="en-US" w:eastAsia="zh-CN"/>
              </w:rPr>
              <w:t>地表水引用监测点位示意图</w:t>
            </w:r>
          </w:p>
          <w:p w14:paraId="26B2E40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根据检测结果，曼岗河、肥味河、困龙河地表水水质</w:t>
            </w:r>
            <w:r>
              <w:rPr>
                <w:rFonts w:hint="eastAsia" w:cs="Times New Roman"/>
                <w:color w:val="auto"/>
                <w:sz w:val="24"/>
                <w:highlight w:val="none"/>
                <w:lang w:val="en-US" w:eastAsia="zh-CN"/>
              </w:rPr>
              <w:t>均</w:t>
            </w:r>
            <w:r>
              <w:rPr>
                <w:rFonts w:hint="default" w:ascii="Times New Roman" w:hAnsi="Times New Roman" w:eastAsia="宋体" w:cs="Times New Roman"/>
                <w:color w:val="auto"/>
                <w:sz w:val="24"/>
                <w:highlight w:val="none"/>
                <w:lang w:val="en-US" w:eastAsia="zh-CN"/>
              </w:rPr>
              <w:t>满足《地表水环境质量标准》（GB3838-2002）Ⅲ类水质标准。</w:t>
            </w:r>
          </w:p>
          <w:p w14:paraId="395C936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本项目废水不直接排入外环境，不会改变地表水环境质量功能。</w:t>
            </w:r>
          </w:p>
          <w:p w14:paraId="28DB7A20">
            <w:pPr>
              <w:numPr>
                <w:ilvl w:val="0"/>
                <w:numId w:val="0"/>
              </w:num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3、声环境现状</w:t>
            </w:r>
          </w:p>
          <w:p w14:paraId="6B9F2694">
            <w:pPr>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lang w:val="en-US" w:eastAsia="zh-CN"/>
              </w:rPr>
              <w:t>（1）声环境质量</w:t>
            </w:r>
            <w:r>
              <w:rPr>
                <w:rFonts w:hint="default" w:ascii="Times New Roman" w:hAnsi="Times New Roman" w:eastAsia="宋体" w:cs="Times New Roman"/>
                <w:b/>
                <w:bCs/>
                <w:color w:val="auto"/>
                <w:sz w:val="24"/>
                <w:lang w:val="en-US" w:eastAsia="zh-CN"/>
              </w:rPr>
              <w:t>标准</w:t>
            </w:r>
          </w:p>
          <w:p w14:paraId="1604A2E3">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本项目位于云南省玉溪市新平县戛洒镇米尺莫村委会哈母白租村民小组，项目区域声环境执行《声环境质量标准》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GB3096-2008）</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类标准。</w:t>
            </w:r>
            <w:r>
              <w:rPr>
                <w:rFonts w:hint="eastAsia" w:ascii="Times New Roman" w:hAnsi="Times New Roman" w:eastAsia="宋体" w:cs="Times New Roman"/>
                <w:color w:val="auto"/>
                <w:sz w:val="24"/>
                <w:highlight w:val="none"/>
                <w:lang w:val="en-US" w:eastAsia="zh-CN"/>
              </w:rPr>
              <w:t>具体标准值见下表：</w:t>
            </w:r>
          </w:p>
          <w:p w14:paraId="53884357">
            <w:pPr>
              <w:spacing w:line="360" w:lineRule="auto"/>
              <w:jc w:val="center"/>
              <w:rPr>
                <w:rFonts w:hint="default" w:ascii="Times New Roman" w:hAnsi="Times New Roman" w:eastAsia="黑体" w:cs="Times New Roman"/>
                <w:color w:val="auto"/>
                <w:szCs w:val="21"/>
                <w:lang w:val="en-US" w:eastAsia="zh-CN"/>
              </w:rPr>
            </w:pPr>
            <w:r>
              <w:rPr>
                <w:rFonts w:hint="default" w:ascii="Times New Roman" w:hAnsi="Times New Roman" w:eastAsia="黑体" w:cs="Times New Roman"/>
                <w:color w:val="auto"/>
                <w:szCs w:val="21"/>
                <w:lang w:val="en-US" w:eastAsia="zh-CN"/>
              </w:rPr>
              <w:t>表3-</w:t>
            </w:r>
            <w:r>
              <w:rPr>
                <w:rFonts w:hint="eastAsia" w:eastAsia="黑体" w:cs="Times New Roman"/>
                <w:color w:val="auto"/>
                <w:szCs w:val="21"/>
                <w:lang w:val="en-US" w:eastAsia="zh-CN"/>
              </w:rPr>
              <w:t>7</w:t>
            </w:r>
            <w:r>
              <w:rPr>
                <w:rFonts w:hint="default" w:ascii="Times New Roman" w:hAnsi="Times New Roman" w:eastAsia="黑体" w:cs="Times New Roman"/>
                <w:color w:val="auto"/>
                <w:szCs w:val="21"/>
                <w:lang w:val="en-US" w:eastAsia="zh-CN"/>
              </w:rPr>
              <w:t xml:space="preserve"> </w:t>
            </w:r>
            <w:r>
              <w:rPr>
                <w:rFonts w:hint="eastAsia" w:ascii="Times New Roman" w:hAnsi="Times New Roman" w:eastAsia="黑体" w:cs="Times New Roman"/>
                <w:color w:val="auto"/>
                <w:szCs w:val="21"/>
                <w:lang w:val="en-US" w:eastAsia="zh-CN"/>
              </w:rPr>
              <w:t xml:space="preserve">  </w:t>
            </w:r>
            <w:r>
              <w:rPr>
                <w:rFonts w:hint="default" w:ascii="Times New Roman" w:hAnsi="Times New Roman" w:eastAsia="黑体" w:cs="Times New Roman"/>
                <w:color w:val="auto"/>
                <w:szCs w:val="21"/>
                <w:lang w:val="en-US" w:eastAsia="zh-CN"/>
              </w:rPr>
              <w:t>声环境质量标准限值</w:t>
            </w:r>
          </w:p>
          <w:tbl>
            <w:tblPr>
              <w:tblStyle w:val="37"/>
              <w:tblW w:w="4999"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63"/>
              <w:gridCol w:w="2563"/>
              <w:gridCol w:w="2565"/>
            </w:tblGrid>
            <w:tr w14:paraId="0E618D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vMerge w:val="restart"/>
                  <w:tcBorders>
                    <w:tl2br w:val="nil"/>
                    <w:tr2bl w:val="nil"/>
                  </w:tcBorders>
                  <w:noWrap w:val="0"/>
                  <w:vAlign w:val="center"/>
                </w:tcPr>
                <w:p w14:paraId="22D8B89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声环境功能区类别</w:t>
                  </w:r>
                </w:p>
              </w:tc>
              <w:tc>
                <w:tcPr>
                  <w:tcW w:w="3333" w:type="pct"/>
                  <w:gridSpan w:val="2"/>
                  <w:tcBorders>
                    <w:tl2br w:val="nil"/>
                    <w:tr2bl w:val="nil"/>
                  </w:tcBorders>
                  <w:noWrap w:val="0"/>
                  <w:vAlign w:val="center"/>
                </w:tcPr>
                <w:p w14:paraId="5427B48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时段</w:t>
                  </w:r>
                </w:p>
              </w:tc>
            </w:tr>
            <w:tr w14:paraId="140FF1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vMerge w:val="continue"/>
                  <w:tcBorders>
                    <w:tl2br w:val="nil"/>
                    <w:tr2bl w:val="nil"/>
                  </w:tcBorders>
                  <w:noWrap w:val="0"/>
                  <w:vAlign w:val="center"/>
                </w:tcPr>
                <w:p w14:paraId="778F422A">
                  <w:pPr>
                    <w:jc w:val="center"/>
                    <w:rPr>
                      <w:rFonts w:hint="default" w:ascii="Times New Roman" w:hAnsi="Times New Roman" w:eastAsia="宋体" w:cs="Times New Roman"/>
                      <w:color w:val="auto"/>
                      <w:sz w:val="18"/>
                      <w:szCs w:val="18"/>
                    </w:rPr>
                  </w:pPr>
                </w:p>
              </w:tc>
              <w:tc>
                <w:tcPr>
                  <w:tcW w:w="1666" w:type="pct"/>
                  <w:tcBorders>
                    <w:tl2br w:val="nil"/>
                    <w:tr2bl w:val="nil"/>
                  </w:tcBorders>
                  <w:noWrap w:val="0"/>
                  <w:vAlign w:val="center"/>
                </w:tcPr>
                <w:p w14:paraId="2D697C87">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昼间</w:t>
                  </w:r>
                </w:p>
              </w:tc>
              <w:tc>
                <w:tcPr>
                  <w:tcW w:w="1666" w:type="pct"/>
                  <w:tcBorders>
                    <w:tl2br w:val="nil"/>
                    <w:tr2bl w:val="nil"/>
                  </w:tcBorders>
                  <w:noWrap w:val="0"/>
                  <w:vAlign w:val="center"/>
                </w:tcPr>
                <w:p w14:paraId="2CC9B6C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夜间</w:t>
                  </w:r>
                </w:p>
              </w:tc>
            </w:tr>
            <w:tr w14:paraId="4F9B8A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tcBorders>
                    <w:tl2br w:val="nil"/>
                    <w:tr2bl w:val="nil"/>
                  </w:tcBorders>
                  <w:noWrap w:val="0"/>
                  <w:vAlign w:val="center"/>
                </w:tcPr>
                <w:p w14:paraId="5181C29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类</w:t>
                  </w:r>
                </w:p>
              </w:tc>
              <w:tc>
                <w:tcPr>
                  <w:tcW w:w="1666" w:type="pct"/>
                  <w:tcBorders>
                    <w:tl2br w:val="nil"/>
                    <w:tr2bl w:val="nil"/>
                  </w:tcBorders>
                  <w:noWrap w:val="0"/>
                  <w:vAlign w:val="center"/>
                </w:tcPr>
                <w:p w14:paraId="7FFD5B99">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r>
                    <w:rPr>
                      <w:rFonts w:hint="eastAsia" w:ascii="Times New Roman" w:hAnsi="Times New Roman" w:eastAsia="宋体" w:cs="Times New Roman"/>
                      <w:color w:val="auto"/>
                      <w:sz w:val="18"/>
                      <w:szCs w:val="18"/>
                      <w:lang w:val="en-US" w:eastAsia="zh-CN"/>
                    </w:rPr>
                    <w:t>0</w:t>
                  </w:r>
                </w:p>
              </w:tc>
              <w:tc>
                <w:tcPr>
                  <w:tcW w:w="1666" w:type="pct"/>
                  <w:tcBorders>
                    <w:tl2br w:val="nil"/>
                    <w:tr2bl w:val="nil"/>
                  </w:tcBorders>
                  <w:noWrap w:val="0"/>
                  <w:vAlign w:val="center"/>
                </w:tcPr>
                <w:p w14:paraId="0808301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0</w:t>
                  </w:r>
                </w:p>
              </w:tc>
            </w:tr>
          </w:tbl>
          <w:p w14:paraId="4E2A2592">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（2）声</w:t>
            </w:r>
            <w:r>
              <w:rPr>
                <w:rFonts w:hint="default" w:ascii="Times New Roman" w:hAnsi="Times New Roman" w:eastAsia="宋体" w:cs="Times New Roman"/>
                <w:b/>
                <w:bCs/>
                <w:color w:val="auto"/>
                <w:sz w:val="24"/>
                <w:lang w:val="en-US" w:eastAsia="zh-CN"/>
              </w:rPr>
              <w:t>环境质量现状</w:t>
            </w:r>
          </w:p>
          <w:p w14:paraId="18A06C67">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根据《建设项目环境影响报告表编制技术指南（污染影响类）（试行）》“厂界外周边50米范围内存在声环境保护目标的建设项目，应监测保护目标声环境质量现状并评价达标情况。各点位应监测昼夜间噪声，监测时间不少于1天，项目夜间不生产则仅监测昼间噪声”。</w:t>
            </w:r>
          </w:p>
          <w:p w14:paraId="2D4E7CB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项目区周边50m范围内无关心点分布，因此无需进行声环境质量现状监测。</w:t>
            </w:r>
          </w:p>
          <w:p w14:paraId="3714800E">
            <w:p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4、地下水</w:t>
            </w:r>
            <w:r>
              <w:rPr>
                <w:rFonts w:hint="eastAsia" w:eastAsia="黑体" w:cs="Times New Roman"/>
                <w:color w:val="auto"/>
                <w:sz w:val="24"/>
                <w:lang w:eastAsia="zh-CN"/>
              </w:rPr>
              <w:t>、</w:t>
            </w:r>
            <w:r>
              <w:rPr>
                <w:rFonts w:hint="eastAsia" w:eastAsia="黑体" w:cs="Times New Roman"/>
                <w:color w:val="auto"/>
                <w:sz w:val="24"/>
                <w:lang w:val="en-US" w:eastAsia="zh-CN"/>
              </w:rPr>
              <w:t>土壤</w:t>
            </w:r>
            <w:r>
              <w:rPr>
                <w:rFonts w:hint="default" w:ascii="Times New Roman" w:hAnsi="Times New Roman" w:eastAsia="黑体" w:cs="Times New Roman"/>
                <w:color w:val="auto"/>
                <w:sz w:val="24"/>
              </w:rPr>
              <w:t>环境现状</w:t>
            </w:r>
          </w:p>
          <w:p w14:paraId="58481DA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4D3CE598">
            <w:pPr>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本项目为民用爆炸物品储存库建设项目，</w:t>
            </w:r>
            <w:r>
              <w:rPr>
                <w:rFonts w:hint="eastAsia" w:cs="Times New Roman"/>
                <w:color w:val="auto"/>
                <w:sz w:val="24"/>
                <w:lang w:val="en-US" w:eastAsia="zh-CN"/>
              </w:rPr>
              <w:t>车间均进行硬化处理，不会对地下水及土壤造成污染，因此不开展土壤、地下水现状调查。</w:t>
            </w:r>
          </w:p>
          <w:p w14:paraId="705FE4AC">
            <w:pPr>
              <w:spacing w:line="360" w:lineRule="auto"/>
              <w:rPr>
                <w:rFonts w:hint="default" w:ascii="Times New Roman" w:hAnsi="Times New Roman" w:eastAsia="黑体" w:cs="Times New Roman"/>
                <w:color w:val="auto"/>
                <w:sz w:val="24"/>
              </w:rPr>
            </w:pPr>
            <w:r>
              <w:rPr>
                <w:rFonts w:hint="eastAsia" w:eastAsia="黑体" w:cs="Times New Roman"/>
                <w:color w:val="auto"/>
                <w:sz w:val="24"/>
                <w:lang w:val="en-US" w:eastAsia="zh-CN"/>
              </w:rPr>
              <w:t>5</w:t>
            </w:r>
            <w:r>
              <w:rPr>
                <w:rFonts w:hint="default" w:ascii="Times New Roman" w:hAnsi="Times New Roman" w:eastAsia="黑体" w:cs="Times New Roman"/>
                <w:color w:val="auto"/>
                <w:sz w:val="24"/>
              </w:rPr>
              <w:t>、生态环境现状</w:t>
            </w:r>
          </w:p>
          <w:p w14:paraId="038731BC">
            <w:pPr>
              <w:spacing w:line="360" w:lineRule="auto"/>
              <w:ind w:firstLine="480" w:firstLineChars="200"/>
              <w:rPr>
                <w:rFonts w:hint="default" w:cs="Times New Roman"/>
                <w:color w:val="auto"/>
                <w:sz w:val="24"/>
                <w:lang w:val="en-US" w:eastAsia="zh-CN"/>
              </w:rPr>
            </w:pPr>
            <w:bookmarkStart w:id="26" w:name="_Hlk220331856"/>
            <w:r>
              <w:rPr>
                <w:rFonts w:hint="eastAsia" w:cs="Times New Roman"/>
                <w:color w:val="auto"/>
                <w:sz w:val="24"/>
                <w:lang w:val="en-US" w:eastAsia="zh-CN"/>
              </w:rPr>
              <w:t>根据查阅大红山矿区已有资料，项目区周边植被如下：</w:t>
            </w:r>
          </w:p>
          <w:p w14:paraId="4E796E48">
            <w:pPr>
              <w:spacing w:line="360" w:lineRule="auto"/>
              <w:ind w:firstLine="514" w:firstLineChars="200"/>
              <w:rPr>
                <w:rFonts w:hint="default" w:ascii="Times New Roman" w:hAnsi="Times New Roman" w:eastAsia="宋体" w:cs="Times New Roman"/>
                <w:b/>
                <w:bCs/>
                <w:color w:val="auto"/>
                <w:spacing w:val="8"/>
                <w:position w:val="2"/>
                <w:sz w:val="24"/>
                <w:szCs w:val="24"/>
                <w:highlight w:val="none"/>
              </w:rPr>
            </w:pPr>
            <w:r>
              <w:rPr>
                <w:rFonts w:hint="eastAsia" w:cs="Times New Roman"/>
                <w:b/>
                <w:bCs/>
                <w:color w:val="auto"/>
                <w:spacing w:val="8"/>
                <w:position w:val="2"/>
                <w:sz w:val="24"/>
                <w:szCs w:val="24"/>
                <w:highlight w:val="none"/>
                <w:lang w:eastAsia="zh-CN"/>
              </w:rPr>
              <w:t>（</w:t>
            </w:r>
            <w:r>
              <w:rPr>
                <w:rFonts w:hint="eastAsia" w:ascii="Times New Roman" w:hAnsi="Times New Roman" w:eastAsia="宋体" w:cs="Times New Roman"/>
                <w:b/>
                <w:bCs/>
                <w:color w:val="auto"/>
                <w:spacing w:val="8"/>
                <w:position w:val="2"/>
                <w:sz w:val="24"/>
                <w:szCs w:val="24"/>
                <w:highlight w:val="none"/>
                <w:lang w:val="en-US" w:eastAsia="zh-CN"/>
              </w:rPr>
              <w:t>1</w:t>
            </w:r>
            <w:r>
              <w:rPr>
                <w:rFonts w:hint="eastAsia" w:cs="Times New Roman"/>
                <w:b/>
                <w:bCs/>
                <w:color w:val="auto"/>
                <w:spacing w:val="8"/>
                <w:position w:val="2"/>
                <w:sz w:val="24"/>
                <w:szCs w:val="24"/>
                <w:highlight w:val="none"/>
                <w:lang w:eastAsia="zh-CN"/>
              </w:rPr>
              <w:t>）</w:t>
            </w:r>
            <w:r>
              <w:rPr>
                <w:rFonts w:hint="default" w:ascii="Times New Roman" w:hAnsi="Times New Roman" w:eastAsia="宋体" w:cs="Times New Roman"/>
                <w:b/>
                <w:bCs/>
                <w:color w:val="auto"/>
                <w:spacing w:val="8"/>
                <w:position w:val="2"/>
                <w:sz w:val="24"/>
                <w:szCs w:val="24"/>
                <w:highlight w:val="none"/>
              </w:rPr>
              <w:t>落叶阔叶林</w:t>
            </w:r>
          </w:p>
          <w:p w14:paraId="29D792DA">
            <w:pPr>
              <w:spacing w:line="360" w:lineRule="auto"/>
              <w:ind w:firstLine="480" w:firstLineChars="200"/>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评价区该植被类型下有一种群落类型，栓皮栎群落</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QuercusvariabilisComm</w:t>
            </w:r>
            <w:r>
              <w:rPr>
                <w:rFonts w:hint="default" w:ascii="Times New Roman" w:hAnsi="Times New Roman" w:eastAsia="宋体" w:cs="Times New Roman"/>
                <w:b w:val="0"/>
                <w:bCs w:val="0"/>
                <w:color w:val="auto"/>
                <w:spacing w:val="0"/>
                <w:sz w:val="24"/>
                <w:szCs w:val="24"/>
                <w:highlight w:val="none"/>
              </w:rPr>
              <w:t>.</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，群落结构简单，种类组成亦不复杂，通常可明显地划分为三个层次：乔木层，一般高10~15米，层盖度为40%</w:t>
            </w:r>
            <w:r>
              <w:rPr>
                <w:rFonts w:hint="default" w:ascii="Times New Roman" w:hAnsi="Times New Roman"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60%，主要由栓皮栎</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Quercusvariabilis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构成，常混生有粗叶水锦树</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Wendlandiascabra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、豆腐果</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Buchananialatifolia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、毛叶柿</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Diospyrosphilippinensis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、思茅松</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Pinuskesiya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、小叶榕</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Ficusconcinna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、勃氏甜龙竹</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Dendrocalamusbrandisii</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、余甘子</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Phyllanthusemblic</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、毛叶青冈</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Quercuskerrii</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等混生。灌木层比较发达，高2</w:t>
            </w:r>
            <w:r>
              <w:rPr>
                <w:rFonts w:hint="default" w:ascii="Times New Roman" w:hAnsi="Times New Roman"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3米，平均盖度10%</w:t>
            </w:r>
            <w:r>
              <w:rPr>
                <w:rFonts w:hint="default" w:ascii="Times New Roman" w:hAnsi="Times New Roman"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40%不等。以粗叶水锦树</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Wendlandiascabra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、虾子花</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Woodfordiafruticos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、余甘子</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Phyllanthusemblica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、清香木</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Pistaciaweinmanniifolia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、毛叶柿</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Diospyrosphilippinensis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、算盘子属</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Glochidion</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等植物占优势。草本层主要由旱性的草类组成，如飞机草</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Chromolaenaodorata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、紫茎泽兰</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Ageratinaadenophora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、黄茅</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Heteropogoncontortus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、芸香草</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Cymbopogondistans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、野古草属</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Arundinella</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、芸香草</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Cymbopogondistans</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、千金子</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Leptochloachinensis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、鬼针草</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Bidenspilosa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、茅叶荩草</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Arthraxonprionodes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、狗尾草</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Setariaviridis</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、六棱菊</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Laggeraalata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、铁线蕨</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Adiantumsp.</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等种类。层间植物较少，偶尔出现槲寄生</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Viscumcoloratum</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、东京银背藤</w:t>
            </w:r>
            <w:r>
              <w:rPr>
                <w:rFonts w:hint="eastAsia" w:cs="Times New Roman"/>
                <w:b w:val="0"/>
                <w:bCs w:val="0"/>
                <w:color w:val="auto"/>
                <w:spacing w:val="0"/>
                <w:sz w:val="24"/>
                <w:szCs w:val="24"/>
                <w:highlight w:val="none"/>
                <w:lang w:eastAsia="zh-CN"/>
              </w:rPr>
              <w:t>（</w:t>
            </w:r>
            <w:r>
              <w:rPr>
                <w:rFonts w:hint="default" w:ascii="Times New Roman" w:hAnsi="Times New Roman" w:eastAsia="宋体" w:cs="Times New Roman"/>
                <w:b w:val="0"/>
                <w:bCs w:val="0"/>
                <w:i/>
                <w:iCs/>
                <w:color w:val="auto"/>
                <w:spacing w:val="0"/>
                <w:sz w:val="24"/>
                <w:szCs w:val="24"/>
                <w:highlight w:val="none"/>
              </w:rPr>
              <w:t>Argyreiapierreana</w:t>
            </w:r>
            <w:r>
              <w:rPr>
                <w:rFonts w:hint="eastAsia" w:cs="Times New Roman"/>
                <w:b w:val="0"/>
                <w:bCs w:val="0"/>
                <w:i/>
                <w:iCs/>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等。</w:t>
            </w:r>
          </w:p>
          <w:p w14:paraId="48B80E8E">
            <w:pPr>
              <w:spacing w:line="360" w:lineRule="auto"/>
              <w:ind w:firstLine="514" w:firstLineChars="200"/>
              <w:rPr>
                <w:rFonts w:hint="default" w:ascii="Times New Roman" w:hAnsi="Times New Roman" w:eastAsia="宋体" w:cs="Times New Roman"/>
                <w:b/>
                <w:bCs/>
                <w:color w:val="auto"/>
                <w:spacing w:val="8"/>
                <w:position w:val="2"/>
                <w:sz w:val="24"/>
                <w:szCs w:val="24"/>
                <w:highlight w:val="none"/>
              </w:rPr>
            </w:pPr>
            <w:r>
              <w:rPr>
                <w:rFonts w:hint="eastAsia" w:ascii="Times New Roman" w:hAnsi="Times New Roman" w:eastAsia="宋体" w:cs="Times New Roman"/>
                <w:b/>
                <w:bCs/>
                <w:color w:val="auto"/>
                <w:spacing w:val="8"/>
                <w:position w:val="2"/>
                <w:sz w:val="24"/>
                <w:szCs w:val="24"/>
                <w:highlight w:val="none"/>
                <w:lang w:eastAsia="zh-CN"/>
              </w:rPr>
              <w:t>（</w:t>
            </w:r>
            <w:r>
              <w:rPr>
                <w:rFonts w:hint="eastAsia" w:ascii="Times New Roman" w:hAnsi="Times New Roman" w:eastAsia="宋体" w:cs="Times New Roman"/>
                <w:b/>
                <w:bCs/>
                <w:color w:val="auto"/>
                <w:spacing w:val="8"/>
                <w:position w:val="2"/>
                <w:sz w:val="24"/>
                <w:szCs w:val="24"/>
                <w:highlight w:val="none"/>
                <w:lang w:val="en-US" w:eastAsia="zh-CN"/>
              </w:rPr>
              <w:t>2</w:t>
            </w:r>
            <w:r>
              <w:rPr>
                <w:rFonts w:hint="eastAsia" w:ascii="Times New Roman" w:hAnsi="Times New Roman" w:eastAsia="宋体" w:cs="Times New Roman"/>
                <w:b/>
                <w:bCs/>
                <w:color w:val="auto"/>
                <w:spacing w:val="8"/>
                <w:position w:val="2"/>
                <w:sz w:val="24"/>
                <w:szCs w:val="24"/>
                <w:highlight w:val="none"/>
                <w:lang w:eastAsia="zh-CN"/>
              </w:rPr>
              <w:t>）</w:t>
            </w:r>
            <w:r>
              <w:rPr>
                <w:rFonts w:hint="default" w:ascii="Times New Roman" w:hAnsi="Times New Roman" w:eastAsia="宋体" w:cs="Times New Roman"/>
                <w:b/>
                <w:bCs/>
                <w:color w:val="auto"/>
                <w:spacing w:val="8"/>
                <w:position w:val="2"/>
                <w:sz w:val="24"/>
                <w:szCs w:val="24"/>
                <w:highlight w:val="none"/>
              </w:rPr>
              <w:t>稀树灌木草丛</w:t>
            </w:r>
          </w:p>
          <w:p w14:paraId="3F19CA0B">
            <w:pPr>
              <w:spacing w:line="360" w:lineRule="auto"/>
              <w:ind w:firstLine="480" w:firstLineChars="200"/>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稀树灌木草丛在评价区有干热性稀树灌木草丛，共包括含厚皮树、豆腐果的中草草丛，含虾子花、浆果楝的中草草丛2个群系，分别含1个群落。</w:t>
            </w:r>
          </w:p>
          <w:p w14:paraId="10D9E5CB">
            <w:pPr>
              <w:spacing w:line="360" w:lineRule="auto"/>
              <w:ind w:firstLine="482" w:firstLineChars="200"/>
              <w:rPr>
                <w:rFonts w:hint="default" w:ascii="Times New Roman" w:hAnsi="Times New Roman" w:eastAsia="宋体" w:cs="Times New Roman"/>
                <w:b w:val="0"/>
                <w:bCs w:val="0"/>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lang w:val="en-US" w:eastAsia="zh-CN"/>
              </w:rPr>
              <w:t>1）</w:t>
            </w:r>
            <w:r>
              <w:rPr>
                <w:rFonts w:hint="default" w:ascii="Times New Roman" w:hAnsi="Times New Roman" w:eastAsia="宋体" w:cs="Times New Roman"/>
                <w:b/>
                <w:bCs/>
                <w:color w:val="auto"/>
                <w:spacing w:val="0"/>
                <w:position w:val="0"/>
                <w:sz w:val="24"/>
                <w:szCs w:val="24"/>
                <w:highlight w:val="none"/>
              </w:rPr>
              <w:t>含厚皮树、豆腐果的黄茅群落</w:t>
            </w:r>
          </w:p>
          <w:p w14:paraId="0338067A">
            <w:pPr>
              <w:keepNext w:val="0"/>
              <w:keepLines w:val="0"/>
              <w:pageBreakBefore w:val="0"/>
              <w:widowControl/>
              <w:numPr>
                <w:ilvl w:val="0"/>
                <w:numId w:val="0"/>
              </w:numPr>
              <w:kinsoku/>
              <w:wordWrap/>
              <w:overflowPunct w:val="0"/>
              <w:topLinePunct w:val="0"/>
              <w:autoSpaceDE/>
              <w:autoSpaceDN/>
              <w:bidi w:val="0"/>
              <w:adjustRightInd/>
              <w:snapToGrid/>
              <w:spacing w:line="360" w:lineRule="auto"/>
              <w:ind w:right="0" w:rightChars="0" w:firstLine="480" w:firstLineChars="200"/>
              <w:jc w:val="left"/>
              <w:textAlignment w:val="baseline"/>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群落高约10米，总盖度约90%。乔木层高约10米，盖度50%，主要组成物种有厚皮树</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Lanneacoromandelica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、豆腐果</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Buchananialatifoli</w:t>
            </w:r>
            <w:r>
              <w:rPr>
                <w:rFonts w:hint="default" w:ascii="Times New Roman" w:hAnsi="Times New Roman" w:eastAsia="宋体" w:cs="Times New Roman"/>
                <w:b w:val="0"/>
                <w:bCs w:val="0"/>
                <w:color w:val="auto"/>
                <w:spacing w:val="0"/>
                <w:position w:val="0"/>
                <w:sz w:val="24"/>
                <w:szCs w:val="24"/>
                <w:highlight w:val="none"/>
              </w:rPr>
              <w:t>a</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、毛叶青冈</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Quercuskerrii</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和山合欢</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Albiziakalkora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。灌木层高约4米，层盖度35%，主要种类有算盘子</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Glochidionpuberum</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、马尿</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Campylotropistrigonocladavar.bonatiana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、一叶萩</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Flueggeasufruticosa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和浆果楝</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Cipadessabaccifera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。草本层比较发达，高0.4~1.5米，层盖度达70%，主要优势种类为黄茅</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Heteropogoncontortus</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和飞机草</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Chromolaenaodorata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，其他的草本植物种类还包括鬼针草</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Bidenspilosa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等。</w:t>
            </w:r>
          </w:p>
          <w:p w14:paraId="12AE987A">
            <w:pPr>
              <w:keepNext w:val="0"/>
              <w:keepLines w:val="0"/>
              <w:pageBreakBefore w:val="0"/>
              <w:widowControl/>
              <w:numPr>
                <w:ilvl w:val="0"/>
                <w:numId w:val="0"/>
              </w:numPr>
              <w:kinsoku/>
              <w:wordWrap/>
              <w:overflowPunct w:val="0"/>
              <w:topLinePunct w:val="0"/>
              <w:autoSpaceDE/>
              <w:autoSpaceDN/>
              <w:bidi w:val="0"/>
              <w:adjustRightInd w:val="0"/>
              <w:snapToGrid w:val="0"/>
              <w:spacing w:before="1" w:line="356" w:lineRule="auto"/>
              <w:ind w:leftChars="200" w:right="89" w:rightChars="0"/>
              <w:jc w:val="left"/>
              <w:textAlignment w:val="baseline"/>
              <w:rPr>
                <w:rFonts w:hint="default" w:ascii="Times New Roman" w:hAnsi="Times New Roman" w:eastAsia="宋体" w:cs="Times New Roman"/>
                <w:b w:val="0"/>
                <w:bCs w:val="0"/>
                <w:color w:val="auto"/>
                <w:spacing w:val="0"/>
                <w:position w:val="0"/>
                <w:sz w:val="24"/>
                <w:szCs w:val="24"/>
                <w:highlight w:val="none"/>
              </w:rPr>
            </w:pPr>
            <w:r>
              <w:rPr>
                <w:rFonts w:hint="eastAsia" w:ascii="Times New Roman" w:hAnsi="Times New Roman" w:eastAsia="宋体" w:cs="Times New Roman"/>
                <w:b/>
                <w:bCs/>
                <w:color w:val="auto"/>
                <w:spacing w:val="0"/>
                <w:position w:val="0"/>
                <w:sz w:val="24"/>
                <w:szCs w:val="24"/>
                <w:highlight w:val="none"/>
                <w:lang w:val="en-US" w:eastAsia="zh-CN"/>
              </w:rPr>
              <w:t>2）</w:t>
            </w:r>
            <w:r>
              <w:rPr>
                <w:rFonts w:hint="default" w:ascii="Times New Roman" w:hAnsi="Times New Roman" w:eastAsia="宋体" w:cs="Times New Roman"/>
                <w:b/>
                <w:bCs/>
                <w:color w:val="auto"/>
                <w:spacing w:val="0"/>
                <w:position w:val="0"/>
                <w:sz w:val="24"/>
                <w:szCs w:val="24"/>
                <w:highlight w:val="none"/>
                <w:lang w:val="en-US" w:eastAsia="zh-CN"/>
              </w:rPr>
              <w:t>含虾子花、浆果楝的黄茅群落</w:t>
            </w:r>
          </w:p>
          <w:p w14:paraId="20F6A964">
            <w:pPr>
              <w:keepNext w:val="0"/>
              <w:keepLines w:val="0"/>
              <w:pageBreakBefore w:val="0"/>
              <w:widowControl/>
              <w:numPr>
                <w:ilvl w:val="0"/>
                <w:numId w:val="0"/>
              </w:numPr>
              <w:kinsoku/>
              <w:wordWrap/>
              <w:overflowPunct w:val="0"/>
              <w:topLinePunct w:val="0"/>
              <w:autoSpaceDE/>
              <w:autoSpaceDN/>
              <w:bidi w:val="0"/>
              <w:adjustRightInd w:val="0"/>
              <w:snapToGrid w:val="0"/>
              <w:spacing w:before="1" w:line="356" w:lineRule="auto"/>
              <w:ind w:right="89" w:rightChars="0" w:firstLine="480" w:firstLineChars="200"/>
              <w:textAlignment w:val="baseline"/>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群落高约2.4米，总盖度约85%。该群落无乔木层，灌木层发达，高约2.5米，层盖度85%，主要种类有虾子花</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Woodfordiafruticosa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、浆果楝</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Cipadessabaccifera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、白枪杆</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Fraxinusmalacophylla</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、一叶萩</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Flueggeasufruticosa</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、大叶千斤拔</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Flemingiamacrophylla</w:t>
            </w:r>
            <w:r>
              <w:rPr>
                <w:rFonts w:hint="eastAsia" w:ascii="Times New Roman" w:hAnsi="Times New Roman" w:eastAsia="宋体"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和马尿藤</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Campylotropistrigonoclada</w:t>
            </w:r>
            <w:r>
              <w:rPr>
                <w:rFonts w:hint="default" w:ascii="Times New Roman" w:hAnsi="Times New Roman" w:eastAsia="宋体" w:cs="Times New Roman"/>
                <w:b w:val="0"/>
                <w:bCs w:val="0"/>
                <w:color w:val="auto"/>
                <w:spacing w:val="0"/>
                <w:position w:val="0"/>
                <w:sz w:val="24"/>
                <w:szCs w:val="24"/>
                <w:highlight w:val="none"/>
              </w:rPr>
              <w:t>var.</w:t>
            </w:r>
            <w:r>
              <w:rPr>
                <w:rFonts w:hint="default" w:ascii="Times New Roman" w:hAnsi="Times New Roman" w:eastAsia="宋体" w:cs="Times New Roman"/>
                <w:b w:val="0"/>
                <w:bCs w:val="0"/>
                <w:i/>
                <w:iCs/>
                <w:color w:val="auto"/>
                <w:spacing w:val="0"/>
                <w:position w:val="0"/>
                <w:sz w:val="24"/>
                <w:szCs w:val="24"/>
                <w:highlight w:val="none"/>
              </w:rPr>
              <w:t>bonatiana</w:t>
            </w:r>
            <w:r>
              <w:rPr>
                <w:rFonts w:hint="eastAsia" w:ascii="Times New Roman" w:hAnsi="Times New Roman" w:eastAsia="宋体"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等。草本层相对发达，高0.4~1.5米，层盖度达50%，主要优势种类为黄茅</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Heteropogoncontortus</w:t>
            </w:r>
            <w:r>
              <w:rPr>
                <w:rFonts w:hint="eastAsia"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，其他的草本植物种类还包括茅叶荩草</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i/>
                <w:iCs/>
                <w:color w:val="auto"/>
                <w:spacing w:val="0"/>
                <w:position w:val="0"/>
                <w:sz w:val="24"/>
                <w:szCs w:val="24"/>
                <w:highlight w:val="none"/>
              </w:rPr>
              <w:t>Arthraxonprionodes</w:t>
            </w:r>
            <w:r>
              <w:rPr>
                <w:rFonts w:hint="eastAsia" w:ascii="Times New Roman" w:hAnsi="Times New Roman" w:eastAsia="宋体" w:cs="Times New Roman"/>
                <w:b w:val="0"/>
                <w:bCs w:val="0"/>
                <w:i/>
                <w:iCs/>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等。</w:t>
            </w:r>
          </w:p>
          <w:p w14:paraId="72C49E5F">
            <w:pPr>
              <w:spacing w:line="360" w:lineRule="auto"/>
              <w:ind w:firstLine="514" w:firstLineChars="200"/>
              <w:rPr>
                <w:rFonts w:hint="default" w:ascii="Times New Roman" w:hAnsi="Times New Roman" w:eastAsia="宋体" w:cs="Times New Roman"/>
                <w:b/>
                <w:bCs/>
                <w:color w:val="auto"/>
                <w:spacing w:val="8"/>
                <w:position w:val="2"/>
                <w:sz w:val="24"/>
                <w:szCs w:val="24"/>
                <w:highlight w:val="none"/>
                <w:lang w:val="en-US" w:eastAsia="zh-CN"/>
              </w:rPr>
            </w:pPr>
            <w:r>
              <w:rPr>
                <w:rFonts w:hint="eastAsia" w:ascii="Times New Roman" w:hAnsi="Times New Roman" w:eastAsia="宋体" w:cs="Times New Roman"/>
                <w:b/>
                <w:bCs/>
                <w:color w:val="auto"/>
                <w:spacing w:val="8"/>
                <w:position w:val="2"/>
                <w:sz w:val="24"/>
                <w:szCs w:val="24"/>
                <w:highlight w:val="none"/>
                <w:lang w:val="en-US" w:eastAsia="zh-CN"/>
              </w:rPr>
              <w:t>（3）</w:t>
            </w:r>
            <w:r>
              <w:rPr>
                <w:rFonts w:hint="default" w:ascii="Times New Roman" w:hAnsi="Times New Roman" w:eastAsia="宋体" w:cs="Times New Roman"/>
                <w:b/>
                <w:bCs/>
                <w:color w:val="auto"/>
                <w:spacing w:val="8"/>
                <w:position w:val="2"/>
                <w:sz w:val="24"/>
                <w:szCs w:val="24"/>
                <w:highlight w:val="none"/>
                <w:lang w:val="en-US" w:eastAsia="zh-CN"/>
              </w:rPr>
              <w:t>竹林</w:t>
            </w:r>
          </w:p>
          <w:p w14:paraId="3477E26A">
            <w:pPr>
              <w:keepNext w:val="0"/>
              <w:keepLines w:val="0"/>
              <w:pageBreakBefore w:val="0"/>
              <w:widowControl/>
              <w:numPr>
                <w:ilvl w:val="0"/>
                <w:numId w:val="0"/>
              </w:numPr>
              <w:kinsoku/>
              <w:wordWrap/>
              <w:overflowPunct w:val="0"/>
              <w:topLinePunct w:val="0"/>
              <w:autoSpaceDE/>
              <w:autoSpaceDN/>
              <w:bidi w:val="0"/>
              <w:adjustRightInd w:val="0"/>
              <w:snapToGrid w:val="0"/>
              <w:spacing w:before="1" w:line="356" w:lineRule="auto"/>
              <w:ind w:right="89" w:rightChars="0" w:firstLine="480" w:firstLineChars="200"/>
              <w:textAlignment w:val="baseline"/>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评价区的竹林仅见暖温性的勃氏甜龙竹林1个群系，为人工栽种。</w:t>
            </w:r>
          </w:p>
          <w:p w14:paraId="71CE4DE3">
            <w:pPr>
              <w:keepNext w:val="0"/>
              <w:keepLines w:val="0"/>
              <w:pageBreakBefore w:val="0"/>
              <w:widowControl/>
              <w:numPr>
                <w:ilvl w:val="0"/>
                <w:numId w:val="0"/>
              </w:numPr>
              <w:kinsoku/>
              <w:wordWrap/>
              <w:overflowPunct w:val="0"/>
              <w:topLinePunct w:val="0"/>
              <w:autoSpaceDE/>
              <w:autoSpaceDN/>
              <w:bidi w:val="0"/>
              <w:adjustRightInd w:val="0"/>
              <w:snapToGrid w:val="0"/>
              <w:spacing w:before="1" w:line="356" w:lineRule="auto"/>
              <w:ind w:right="89" w:rightChars="0" w:firstLine="480" w:firstLineChars="200"/>
              <w:textAlignment w:val="baseline"/>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pacing w:val="0"/>
                <w:position w:val="0"/>
                <w:sz w:val="24"/>
                <w:szCs w:val="24"/>
                <w:highlight w:val="none"/>
              </w:rPr>
              <w:t>群落高10~15米。群落结构可分为三层，竹丛高约10米，盖度80%，仅有勃氏甜龙竹</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Dendrocalamusbrandisii</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一种，杆茎6</w:t>
            </w:r>
            <w:r>
              <w:rPr>
                <w:rFonts w:hint="eastAsia" w:cs="Times New Roman"/>
                <w:b w:val="0"/>
                <w:bCs w:val="0"/>
                <w:color w:val="auto"/>
                <w:spacing w:val="0"/>
                <w:position w:val="0"/>
                <w:sz w:val="24"/>
                <w:szCs w:val="24"/>
                <w:highlight w:val="none"/>
                <w:lang w:val="en-US" w:eastAsia="zh-CN"/>
              </w:rPr>
              <w:t>-</w:t>
            </w:r>
            <w:r>
              <w:rPr>
                <w:rFonts w:hint="default" w:ascii="Times New Roman" w:hAnsi="Times New Roman" w:eastAsia="宋体" w:cs="Times New Roman"/>
                <w:b w:val="0"/>
                <w:bCs w:val="0"/>
                <w:color w:val="auto"/>
                <w:spacing w:val="0"/>
                <w:position w:val="0"/>
                <w:sz w:val="24"/>
                <w:szCs w:val="24"/>
                <w:highlight w:val="none"/>
              </w:rPr>
              <w:t>8厘米。灌木层一般高0.8m，层盖度2%，主要是竹林边缘的矮小灌木，种类包括蛇婆子</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Waltheriaindica</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、地桃花</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Urenalobata</w:t>
            </w:r>
            <w:r>
              <w:rPr>
                <w:rFonts w:hint="eastAsia"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、黄花稔</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Sidaszechuensis</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等，调查的样地草本种类稀少，仅在边缘见到鬼针草</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Bidenspilosa</w:t>
            </w:r>
            <w:r>
              <w:rPr>
                <w:rFonts w:hint="eastAsia" w:ascii="Times New Roman" w:hAnsi="Times New Roman" w:eastAsia="宋体" w:cs="Times New Roman"/>
                <w:b w:val="0"/>
                <w:bCs w:val="0"/>
                <w:color w:val="auto"/>
                <w:spacing w:val="0"/>
                <w:position w:val="0"/>
                <w:sz w:val="24"/>
                <w:szCs w:val="24"/>
                <w:highlight w:val="none"/>
                <w:lang w:eastAsia="zh-CN"/>
              </w:rPr>
              <w:t>）</w:t>
            </w:r>
            <w:r>
              <w:rPr>
                <w:rFonts w:hint="default" w:ascii="Times New Roman" w:hAnsi="Times New Roman" w:eastAsia="宋体" w:cs="Times New Roman"/>
                <w:b w:val="0"/>
                <w:bCs w:val="0"/>
                <w:color w:val="auto"/>
                <w:spacing w:val="0"/>
                <w:position w:val="0"/>
                <w:sz w:val="24"/>
                <w:szCs w:val="24"/>
                <w:highlight w:val="none"/>
              </w:rPr>
              <w:t>一种，高约0.5米，盖度不到5%。</w:t>
            </w:r>
          </w:p>
          <w:p w14:paraId="1982371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项目未占用永久基本农田、不涉及自然保护区、风景名胜区、饮用水源保护区等敏感区域，项目所在区域未发现国家、云南省规定需要保护的植物分布，</w:t>
            </w:r>
            <w:r>
              <w:rPr>
                <w:rFonts w:hint="eastAsia" w:cs="Times New Roman"/>
                <w:color w:val="auto"/>
                <w:sz w:val="24"/>
                <w:lang w:val="en-US" w:eastAsia="zh-CN"/>
              </w:rPr>
              <w:t>无古树名木，</w:t>
            </w:r>
            <w:r>
              <w:rPr>
                <w:rFonts w:hint="default" w:ascii="Times New Roman" w:hAnsi="Times New Roman" w:cs="Times New Roman"/>
                <w:color w:val="auto"/>
                <w:sz w:val="24"/>
              </w:rPr>
              <w:t>生态环境状况一般。</w:t>
            </w:r>
          </w:p>
          <w:p w14:paraId="29D48ACE">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动物以适应人类活动区域生存的常见种为主。评价区域内生物多样性简单，常见动物有鸟类、爬行类及一些小型哺乳类动物，大型野生动物已难见踪影，未发现有国家及地方保护动植物。项目所在区域生态环境较好。</w:t>
            </w:r>
            <w:bookmarkEnd w:id="26"/>
          </w:p>
        </w:tc>
      </w:tr>
      <w:tr w14:paraId="7A689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8" w:type="dxa"/>
            <w:vAlign w:val="center"/>
          </w:tcPr>
          <w:p w14:paraId="2AF9201D">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14:paraId="3251BFF1">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保护</w:t>
            </w:r>
          </w:p>
          <w:p w14:paraId="053D5E5D">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目标</w:t>
            </w:r>
          </w:p>
        </w:tc>
        <w:tc>
          <w:tcPr>
            <w:tcW w:w="7909" w:type="dxa"/>
            <w:vAlign w:val="center"/>
          </w:tcPr>
          <w:p w14:paraId="1E59D926">
            <w:pPr>
              <w:spacing w:before="120" w:beforeLines="5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根据《建设项目环境影响报告表编制技术指南》（污染影响类），项目保护目标主要设置如下：</w:t>
            </w:r>
          </w:p>
          <w:p w14:paraId="6E424520">
            <w:pPr>
              <w:numPr>
                <w:ilvl w:val="0"/>
                <w:numId w:val="5"/>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大气环境</w:t>
            </w:r>
          </w:p>
          <w:p w14:paraId="77EC459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经调查，项目厂界外500m范围内无自然保护区、风景名胜区、居住区、文化区和农村地区人群较为集中的区域，因此项目无大气环境保护目标。</w:t>
            </w:r>
          </w:p>
          <w:p w14:paraId="262DE06B">
            <w:pPr>
              <w:numPr>
                <w:ilvl w:val="0"/>
                <w:numId w:val="5"/>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地表水环境</w:t>
            </w:r>
          </w:p>
          <w:p w14:paraId="3E36BA4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经调查，周边较近水体为西北侧约585m处的曼岗河</w:t>
            </w:r>
            <w:r>
              <w:rPr>
                <w:rFonts w:hint="eastAsia" w:cs="Times New Roman"/>
                <w:color w:val="auto"/>
                <w:sz w:val="24"/>
                <w:lang w:eastAsia="zh-CN"/>
              </w:rPr>
              <w:t>、</w:t>
            </w:r>
            <w:r>
              <w:rPr>
                <w:rFonts w:hint="eastAsia" w:cs="Times New Roman"/>
                <w:color w:val="auto"/>
                <w:sz w:val="24"/>
                <w:lang w:val="en-US" w:eastAsia="zh-CN"/>
              </w:rPr>
              <w:t>南侧约2060m处的肥味河及西南侧约2300m处的困龙河</w:t>
            </w:r>
            <w:r>
              <w:rPr>
                <w:rFonts w:hint="default" w:ascii="Times New Roman" w:hAnsi="Times New Roman" w:cs="Times New Roman"/>
                <w:color w:val="auto"/>
                <w:sz w:val="24"/>
              </w:rPr>
              <w:t>，执行《地表水环境质量标准》（GB3838-2002）III类标准。</w:t>
            </w:r>
          </w:p>
          <w:p w14:paraId="5A7B3DED">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w:t>
            </w:r>
            <w:r>
              <w:rPr>
                <w:rFonts w:hint="eastAsia" w:eastAsia="黑体" w:cs="Times New Roman"/>
                <w:color w:val="auto"/>
                <w:szCs w:val="21"/>
                <w:lang w:val="en-US" w:eastAsia="zh-CN"/>
              </w:rPr>
              <w:t>8</w:t>
            </w:r>
            <w:r>
              <w:rPr>
                <w:rFonts w:hint="default" w:ascii="Times New Roman" w:hAnsi="Times New Roman" w:eastAsia="黑体" w:cs="Times New Roman"/>
                <w:color w:val="auto"/>
                <w:szCs w:val="21"/>
              </w:rPr>
              <w:t xml:space="preserve">  地表水环境保护目标一览表</w:t>
            </w:r>
          </w:p>
          <w:tbl>
            <w:tblPr>
              <w:tblStyle w:val="37"/>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1179"/>
              <w:gridCol w:w="2336"/>
              <w:gridCol w:w="1488"/>
              <w:gridCol w:w="1610"/>
            </w:tblGrid>
            <w:tr w14:paraId="6F584D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0" w:type="pct"/>
                  <w:tcBorders>
                    <w:tl2br w:val="nil"/>
                    <w:tr2bl w:val="nil"/>
                  </w:tcBorders>
                  <w:vAlign w:val="center"/>
                </w:tcPr>
                <w:p w14:paraId="6C9BF900">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类别</w:t>
                  </w:r>
                </w:p>
              </w:tc>
              <w:tc>
                <w:tcPr>
                  <w:tcW w:w="766" w:type="pct"/>
                  <w:tcBorders>
                    <w:tl2br w:val="nil"/>
                    <w:tr2bl w:val="nil"/>
                  </w:tcBorders>
                  <w:vAlign w:val="center"/>
                </w:tcPr>
                <w:p w14:paraId="766ACFB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保护对象</w:t>
                  </w:r>
                </w:p>
              </w:tc>
              <w:tc>
                <w:tcPr>
                  <w:tcW w:w="1518" w:type="pct"/>
                  <w:tcBorders>
                    <w:tl2br w:val="nil"/>
                    <w:tr2bl w:val="nil"/>
                  </w:tcBorders>
                  <w:vAlign w:val="center"/>
                </w:tcPr>
                <w:p w14:paraId="4847D622">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环境功能区</w:t>
                  </w:r>
                </w:p>
              </w:tc>
              <w:tc>
                <w:tcPr>
                  <w:tcW w:w="967" w:type="pct"/>
                  <w:tcBorders>
                    <w:tl2br w:val="nil"/>
                    <w:tr2bl w:val="nil"/>
                  </w:tcBorders>
                  <w:vAlign w:val="center"/>
                </w:tcPr>
                <w:p w14:paraId="67003D54">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相对厂址方位</w:t>
                  </w:r>
                </w:p>
              </w:tc>
              <w:tc>
                <w:tcPr>
                  <w:tcW w:w="1046" w:type="pct"/>
                  <w:tcBorders>
                    <w:tl2br w:val="nil"/>
                    <w:tr2bl w:val="nil"/>
                  </w:tcBorders>
                  <w:vAlign w:val="center"/>
                </w:tcPr>
                <w:p w14:paraId="4C184D4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相对厂界距离</w:t>
                  </w:r>
                </w:p>
              </w:tc>
            </w:tr>
            <w:tr w14:paraId="28EB70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0" w:type="pct"/>
                  <w:vMerge w:val="restart"/>
                  <w:tcBorders>
                    <w:tl2br w:val="nil"/>
                    <w:tr2bl w:val="nil"/>
                  </w:tcBorders>
                  <w:vAlign w:val="center"/>
                </w:tcPr>
                <w:p w14:paraId="12FEE880">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地表水</w:t>
                  </w:r>
                </w:p>
              </w:tc>
              <w:tc>
                <w:tcPr>
                  <w:tcW w:w="766" w:type="pct"/>
                  <w:tcBorders>
                    <w:tl2br w:val="nil"/>
                    <w:tr2bl w:val="nil"/>
                  </w:tcBorders>
                  <w:vAlign w:val="center"/>
                </w:tcPr>
                <w:p w14:paraId="04721DE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曼岗河</w:t>
                  </w:r>
                </w:p>
              </w:tc>
              <w:tc>
                <w:tcPr>
                  <w:tcW w:w="1518" w:type="pct"/>
                  <w:vMerge w:val="restart"/>
                  <w:tcBorders>
                    <w:tl2br w:val="nil"/>
                    <w:tr2bl w:val="nil"/>
                  </w:tcBorders>
                  <w:vAlign w:val="center"/>
                </w:tcPr>
                <w:p w14:paraId="7719AFD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《地表水环境质量标准》（GB3838-2002）III类标准</w:t>
                  </w:r>
                </w:p>
              </w:tc>
              <w:tc>
                <w:tcPr>
                  <w:tcW w:w="967" w:type="pct"/>
                  <w:tcBorders>
                    <w:tl2br w:val="nil"/>
                    <w:tr2bl w:val="nil"/>
                  </w:tcBorders>
                  <w:vAlign w:val="center"/>
                </w:tcPr>
                <w:p w14:paraId="4E551EDD">
                  <w:pPr>
                    <w:spacing w:line="280" w:lineRule="exact"/>
                    <w:jc w:val="center"/>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val="en-US" w:eastAsia="zh-CN"/>
                    </w:rPr>
                    <w:t>西北</w:t>
                  </w:r>
                </w:p>
              </w:tc>
              <w:tc>
                <w:tcPr>
                  <w:tcW w:w="1046" w:type="pct"/>
                  <w:tcBorders>
                    <w:tl2br w:val="nil"/>
                    <w:tr2bl w:val="nil"/>
                  </w:tcBorders>
                  <w:vAlign w:val="center"/>
                </w:tcPr>
                <w:p w14:paraId="12E16CC0">
                  <w:pPr>
                    <w:spacing w:line="280" w:lineRule="exact"/>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585</w:t>
                  </w:r>
                  <w:r>
                    <w:rPr>
                      <w:rFonts w:hint="default" w:ascii="Times New Roman" w:hAnsi="Times New Roman" w:cs="Times New Roman"/>
                      <w:color w:val="auto"/>
                      <w:kern w:val="0"/>
                      <w:sz w:val="18"/>
                      <w:szCs w:val="18"/>
                    </w:rPr>
                    <w:t>m</w:t>
                  </w:r>
                </w:p>
              </w:tc>
            </w:tr>
            <w:tr w14:paraId="12F536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0" w:type="pct"/>
                  <w:vMerge w:val="continue"/>
                  <w:tcBorders>
                    <w:tl2br w:val="nil"/>
                    <w:tr2bl w:val="nil"/>
                  </w:tcBorders>
                  <w:vAlign w:val="center"/>
                </w:tcPr>
                <w:p w14:paraId="40767A45">
                  <w:pPr>
                    <w:spacing w:line="280" w:lineRule="exact"/>
                    <w:jc w:val="center"/>
                    <w:rPr>
                      <w:rFonts w:hint="default" w:ascii="Times New Roman" w:hAnsi="Times New Roman" w:cs="Times New Roman"/>
                      <w:color w:val="auto"/>
                      <w:kern w:val="0"/>
                      <w:sz w:val="18"/>
                      <w:szCs w:val="18"/>
                    </w:rPr>
                  </w:pPr>
                </w:p>
              </w:tc>
              <w:tc>
                <w:tcPr>
                  <w:tcW w:w="766" w:type="pct"/>
                  <w:tcBorders>
                    <w:tl2br w:val="nil"/>
                    <w:tr2bl w:val="nil"/>
                  </w:tcBorders>
                  <w:vAlign w:val="center"/>
                </w:tcPr>
                <w:p w14:paraId="1074BBEC">
                  <w:pPr>
                    <w:spacing w:line="280" w:lineRule="exact"/>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肥味河</w:t>
                  </w:r>
                </w:p>
              </w:tc>
              <w:tc>
                <w:tcPr>
                  <w:tcW w:w="1518" w:type="pct"/>
                  <w:vMerge w:val="continue"/>
                  <w:tcBorders>
                    <w:tl2br w:val="nil"/>
                    <w:tr2bl w:val="nil"/>
                  </w:tcBorders>
                  <w:vAlign w:val="center"/>
                </w:tcPr>
                <w:p w14:paraId="4335BA15">
                  <w:pPr>
                    <w:spacing w:line="280" w:lineRule="exact"/>
                    <w:jc w:val="center"/>
                    <w:rPr>
                      <w:rFonts w:hint="default" w:ascii="Times New Roman" w:hAnsi="Times New Roman" w:cs="Times New Roman"/>
                      <w:color w:val="auto"/>
                      <w:kern w:val="0"/>
                      <w:sz w:val="18"/>
                      <w:szCs w:val="18"/>
                    </w:rPr>
                  </w:pPr>
                </w:p>
              </w:tc>
              <w:tc>
                <w:tcPr>
                  <w:tcW w:w="967" w:type="pct"/>
                  <w:tcBorders>
                    <w:tl2br w:val="nil"/>
                    <w:tr2bl w:val="nil"/>
                  </w:tcBorders>
                  <w:vAlign w:val="center"/>
                </w:tcPr>
                <w:p w14:paraId="30992A76">
                  <w:pPr>
                    <w:spacing w:line="280" w:lineRule="exact"/>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南</w:t>
                  </w:r>
                </w:p>
              </w:tc>
              <w:tc>
                <w:tcPr>
                  <w:tcW w:w="1046" w:type="pct"/>
                  <w:tcBorders>
                    <w:tl2br w:val="nil"/>
                    <w:tr2bl w:val="nil"/>
                  </w:tcBorders>
                  <w:vAlign w:val="center"/>
                </w:tcPr>
                <w:p w14:paraId="7859AB72">
                  <w:pPr>
                    <w:spacing w:line="280" w:lineRule="exact"/>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2060</w:t>
                  </w:r>
                </w:p>
              </w:tc>
            </w:tr>
            <w:tr w14:paraId="4851CD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0" w:type="pct"/>
                  <w:vMerge w:val="continue"/>
                  <w:tcBorders>
                    <w:tl2br w:val="nil"/>
                    <w:tr2bl w:val="nil"/>
                  </w:tcBorders>
                  <w:vAlign w:val="center"/>
                </w:tcPr>
                <w:p w14:paraId="731379E5">
                  <w:pPr>
                    <w:spacing w:line="280" w:lineRule="exact"/>
                    <w:jc w:val="center"/>
                    <w:rPr>
                      <w:rFonts w:hint="default" w:ascii="Times New Roman" w:hAnsi="Times New Roman" w:cs="Times New Roman"/>
                      <w:color w:val="auto"/>
                      <w:kern w:val="0"/>
                      <w:sz w:val="18"/>
                      <w:szCs w:val="18"/>
                    </w:rPr>
                  </w:pPr>
                </w:p>
              </w:tc>
              <w:tc>
                <w:tcPr>
                  <w:tcW w:w="766" w:type="pct"/>
                  <w:tcBorders>
                    <w:tl2br w:val="nil"/>
                    <w:tr2bl w:val="nil"/>
                  </w:tcBorders>
                  <w:vAlign w:val="center"/>
                </w:tcPr>
                <w:p w14:paraId="7D27A151">
                  <w:pPr>
                    <w:spacing w:line="280" w:lineRule="exact"/>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困龙河</w:t>
                  </w:r>
                </w:p>
              </w:tc>
              <w:tc>
                <w:tcPr>
                  <w:tcW w:w="1518" w:type="pct"/>
                  <w:vMerge w:val="continue"/>
                  <w:tcBorders>
                    <w:tl2br w:val="nil"/>
                    <w:tr2bl w:val="nil"/>
                  </w:tcBorders>
                  <w:vAlign w:val="center"/>
                </w:tcPr>
                <w:p w14:paraId="45D21472">
                  <w:pPr>
                    <w:spacing w:line="280" w:lineRule="exact"/>
                    <w:jc w:val="center"/>
                    <w:rPr>
                      <w:rFonts w:hint="default" w:ascii="Times New Roman" w:hAnsi="Times New Roman" w:cs="Times New Roman"/>
                      <w:color w:val="auto"/>
                      <w:kern w:val="0"/>
                      <w:sz w:val="18"/>
                      <w:szCs w:val="18"/>
                    </w:rPr>
                  </w:pPr>
                </w:p>
              </w:tc>
              <w:tc>
                <w:tcPr>
                  <w:tcW w:w="967" w:type="pct"/>
                  <w:tcBorders>
                    <w:tl2br w:val="nil"/>
                    <w:tr2bl w:val="nil"/>
                  </w:tcBorders>
                  <w:vAlign w:val="center"/>
                </w:tcPr>
                <w:p w14:paraId="755C4E9B">
                  <w:pPr>
                    <w:spacing w:line="280" w:lineRule="exact"/>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西南</w:t>
                  </w:r>
                </w:p>
              </w:tc>
              <w:tc>
                <w:tcPr>
                  <w:tcW w:w="1046" w:type="pct"/>
                  <w:tcBorders>
                    <w:tl2br w:val="nil"/>
                    <w:tr2bl w:val="nil"/>
                  </w:tcBorders>
                  <w:vAlign w:val="center"/>
                </w:tcPr>
                <w:p w14:paraId="6559BA61">
                  <w:pPr>
                    <w:spacing w:line="280" w:lineRule="exact"/>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2300</w:t>
                  </w:r>
                </w:p>
              </w:tc>
            </w:tr>
          </w:tbl>
          <w:p w14:paraId="70439AB7">
            <w:pPr>
              <w:numPr>
                <w:ilvl w:val="0"/>
                <w:numId w:val="5"/>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声环境</w:t>
            </w:r>
          </w:p>
          <w:p w14:paraId="5495ECF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经调查，项目厂界50m范围没有居民点，因此无声环境保护目标。</w:t>
            </w:r>
          </w:p>
          <w:p w14:paraId="02446AEF">
            <w:pPr>
              <w:numPr>
                <w:ilvl w:val="0"/>
                <w:numId w:val="5"/>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地下水环境</w:t>
            </w:r>
          </w:p>
          <w:p w14:paraId="16B0CD7F">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经调查，厂界外500m范围内无集中式饮用水水源和热水、矿泉水、温泉等特殊的地下水资源。</w:t>
            </w:r>
          </w:p>
          <w:p w14:paraId="73586F8A">
            <w:pPr>
              <w:numPr>
                <w:ilvl w:val="0"/>
                <w:numId w:val="5"/>
              </w:numPr>
              <w:spacing w:line="360" w:lineRule="auto"/>
              <w:ind w:firstLine="482" w:firstLineChars="200"/>
              <w:jc w:val="left"/>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风险环境</w:t>
            </w:r>
          </w:p>
          <w:p w14:paraId="7749BA0E">
            <w:pPr>
              <w:spacing w:line="360" w:lineRule="auto"/>
              <w:ind w:firstLine="480" w:firstLineChars="200"/>
              <w:jc w:val="left"/>
              <w:rPr>
                <w:rFonts w:hint="eastAsia" w:cs="Times New Roman"/>
                <w:color w:val="auto"/>
                <w:sz w:val="24"/>
                <w:lang w:val="en-US" w:eastAsia="zh-CN"/>
              </w:rPr>
            </w:pPr>
            <w:r>
              <w:rPr>
                <w:rFonts w:hint="default" w:cs="Times New Roman"/>
                <w:color w:val="auto"/>
                <w:sz w:val="24"/>
                <w:lang w:val="en-US" w:eastAsia="zh-CN"/>
              </w:rPr>
              <w:t>根据《建设项目环境风险评价技术导则》（HJ169-2018）中相关要求，结合项目特点，本次风险评价范围确定为厂界外</w:t>
            </w:r>
            <w:r>
              <w:rPr>
                <w:rFonts w:hint="eastAsia" w:cs="Times New Roman"/>
                <w:color w:val="auto"/>
                <w:sz w:val="24"/>
                <w:lang w:val="en-US" w:eastAsia="zh-CN"/>
              </w:rPr>
              <w:t>3</w:t>
            </w:r>
            <w:r>
              <w:rPr>
                <w:rFonts w:hint="default" w:cs="Times New Roman"/>
                <w:color w:val="auto"/>
                <w:sz w:val="24"/>
                <w:lang w:val="en-US" w:eastAsia="zh-CN"/>
              </w:rPr>
              <w:t>km范围。</w:t>
            </w:r>
            <w:r>
              <w:rPr>
                <w:rFonts w:hint="eastAsia" w:cs="Times New Roman"/>
                <w:color w:val="auto"/>
                <w:sz w:val="24"/>
                <w:lang w:val="en-US" w:eastAsia="zh-CN"/>
              </w:rPr>
              <w:t>其关心点分布如下：</w:t>
            </w:r>
          </w:p>
          <w:p w14:paraId="1D721530">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w:t>
            </w:r>
            <w:r>
              <w:rPr>
                <w:rFonts w:hint="eastAsia" w:eastAsia="黑体" w:cs="Times New Roman"/>
                <w:color w:val="auto"/>
                <w:szCs w:val="21"/>
                <w:lang w:val="en-US" w:eastAsia="zh-CN"/>
              </w:rPr>
              <w:t>9</w:t>
            </w:r>
            <w:r>
              <w:rPr>
                <w:rFonts w:hint="default" w:ascii="Times New Roman" w:hAnsi="Times New Roman" w:eastAsia="黑体" w:cs="Times New Roman"/>
                <w:color w:val="auto"/>
                <w:szCs w:val="21"/>
              </w:rPr>
              <w:t xml:space="preserve"> </w:t>
            </w:r>
            <w:r>
              <w:rPr>
                <w:rFonts w:hint="eastAsia" w:eastAsia="黑体" w:cs="Times New Roman"/>
                <w:color w:val="auto"/>
                <w:szCs w:val="21"/>
                <w:lang w:val="en-US" w:eastAsia="zh-CN"/>
              </w:rPr>
              <w:t xml:space="preserve">  环境风险</w:t>
            </w:r>
            <w:r>
              <w:rPr>
                <w:rFonts w:hint="default" w:ascii="Times New Roman" w:hAnsi="Times New Roman" w:eastAsia="黑体" w:cs="Times New Roman"/>
                <w:color w:val="auto"/>
                <w:szCs w:val="21"/>
              </w:rPr>
              <w:t>保护目标一览表</w:t>
            </w:r>
          </w:p>
          <w:tbl>
            <w:tblPr>
              <w:tblStyle w:val="36"/>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5"/>
              <w:gridCol w:w="1246"/>
              <w:gridCol w:w="1024"/>
              <w:gridCol w:w="1229"/>
              <w:gridCol w:w="1080"/>
              <w:gridCol w:w="399"/>
              <w:gridCol w:w="1209"/>
              <w:gridCol w:w="32"/>
            </w:tblGrid>
            <w:tr w14:paraId="4CC7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restart"/>
                  <w:tcBorders>
                    <w:top w:val="single" w:color="000000" w:sz="4" w:space="0"/>
                    <w:left w:val="nil"/>
                    <w:bottom w:val="single" w:color="000000" w:sz="4" w:space="0"/>
                    <w:right w:val="single" w:color="000000" w:sz="4" w:space="0"/>
                  </w:tcBorders>
                  <w:noWrap w:val="0"/>
                  <w:vAlign w:val="center"/>
                </w:tcPr>
                <w:p w14:paraId="1FEDB2EE">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类别</w:t>
                  </w:r>
                </w:p>
              </w:tc>
              <w:tc>
                <w:tcPr>
                  <w:tcW w:w="4527" w:type="pct"/>
                  <w:gridSpan w:val="8"/>
                  <w:tcBorders>
                    <w:top w:val="single" w:color="000000" w:sz="4" w:space="0"/>
                    <w:left w:val="single" w:color="000000" w:sz="4" w:space="0"/>
                    <w:bottom w:val="single" w:color="000000" w:sz="4" w:space="0"/>
                    <w:right w:val="nil"/>
                  </w:tcBorders>
                  <w:noWrap w:val="0"/>
                  <w:vAlign w:val="center"/>
                </w:tcPr>
                <w:p w14:paraId="12E0FC4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环境敏感特征</w:t>
                  </w:r>
                </w:p>
              </w:tc>
            </w:tr>
            <w:tr w14:paraId="527A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top w:val="single" w:color="000000" w:sz="4" w:space="0"/>
                    <w:left w:val="nil"/>
                    <w:bottom w:val="single" w:color="000000" w:sz="4" w:space="0"/>
                    <w:right w:val="single" w:color="000000" w:sz="4" w:space="0"/>
                  </w:tcBorders>
                  <w:noWrap w:val="0"/>
                  <w:vAlign w:val="center"/>
                </w:tcPr>
                <w:p w14:paraId="2EFB3B73">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4527" w:type="pct"/>
                  <w:gridSpan w:val="8"/>
                  <w:tcBorders>
                    <w:top w:val="single" w:color="000000" w:sz="4" w:space="0"/>
                    <w:left w:val="single" w:color="000000" w:sz="4" w:space="0"/>
                    <w:bottom w:val="single" w:color="000000" w:sz="4" w:space="0"/>
                    <w:right w:val="nil"/>
                  </w:tcBorders>
                  <w:noWrap w:val="0"/>
                  <w:vAlign w:val="center"/>
                </w:tcPr>
                <w:p w14:paraId="09B183F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厂址周边</w:t>
                  </w:r>
                  <w:r>
                    <w:rPr>
                      <w:rFonts w:hint="eastAsia" w:ascii="Times New Roman" w:hAnsi="Times New Roman" w:eastAsia="宋体" w:cs="Times New Roman"/>
                      <w:color w:val="auto"/>
                      <w:kern w:val="0"/>
                      <w:sz w:val="18"/>
                      <w:szCs w:val="18"/>
                      <w:highlight w:val="none"/>
                      <w:lang w:val="en-US" w:eastAsia="zh-CN"/>
                    </w:rPr>
                    <w:t>3</w:t>
                  </w:r>
                  <w:r>
                    <w:rPr>
                      <w:rFonts w:hint="default" w:ascii="Times New Roman" w:hAnsi="Times New Roman" w:eastAsia="宋体" w:cs="Times New Roman"/>
                      <w:color w:val="auto"/>
                      <w:kern w:val="0"/>
                      <w:sz w:val="18"/>
                      <w:szCs w:val="18"/>
                      <w:highlight w:val="none"/>
                      <w:lang w:val="en-US" w:eastAsia="zh-CN"/>
                    </w:rPr>
                    <w:t>km范围内</w:t>
                  </w:r>
                </w:p>
              </w:tc>
            </w:tr>
            <w:tr w14:paraId="23CE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top w:val="single" w:color="000000" w:sz="4" w:space="0"/>
                    <w:left w:val="nil"/>
                    <w:bottom w:val="single" w:color="000000" w:sz="4" w:space="0"/>
                    <w:right w:val="single" w:color="000000" w:sz="4" w:space="0"/>
                  </w:tcBorders>
                  <w:noWrap w:val="0"/>
                  <w:vAlign w:val="center"/>
                </w:tcPr>
                <w:p w14:paraId="06FBCDB6">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290C37E">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序号</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459B4D0E">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敏感目标名称</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806D25F">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相对方位</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14:paraId="4B1E9D58">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相对厂界距离/m</w:t>
                  </w:r>
                </w:p>
              </w:tc>
              <w:tc>
                <w:tcPr>
                  <w:tcW w:w="968" w:type="pct"/>
                  <w:gridSpan w:val="2"/>
                  <w:tcBorders>
                    <w:top w:val="single" w:color="000000" w:sz="4" w:space="0"/>
                    <w:left w:val="single" w:color="000000" w:sz="4" w:space="0"/>
                    <w:bottom w:val="single" w:color="000000" w:sz="4" w:space="0"/>
                    <w:right w:val="single" w:color="000000" w:sz="4" w:space="0"/>
                  </w:tcBorders>
                  <w:noWrap w:val="0"/>
                  <w:vAlign w:val="center"/>
                </w:tcPr>
                <w:p w14:paraId="10856D5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与风险源距离</w:t>
                  </w:r>
                </w:p>
              </w:tc>
              <w:tc>
                <w:tcPr>
                  <w:tcW w:w="812" w:type="pct"/>
                  <w:gridSpan w:val="2"/>
                  <w:tcBorders>
                    <w:top w:val="single" w:color="000000" w:sz="4" w:space="0"/>
                    <w:left w:val="single" w:color="000000" w:sz="4" w:space="0"/>
                    <w:bottom w:val="single" w:color="000000" w:sz="4" w:space="0"/>
                    <w:right w:val="nil"/>
                  </w:tcBorders>
                  <w:noWrap w:val="0"/>
                  <w:vAlign w:val="center"/>
                </w:tcPr>
                <w:p w14:paraId="43885061">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功能、人口</w:t>
                  </w:r>
                </w:p>
              </w:tc>
            </w:tr>
            <w:tr w14:paraId="6A94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restart"/>
                  <w:tcBorders>
                    <w:top w:val="single" w:color="000000" w:sz="4" w:space="0"/>
                    <w:left w:val="nil"/>
                    <w:right w:val="single" w:color="000000" w:sz="4" w:space="0"/>
                  </w:tcBorders>
                  <w:noWrap w:val="0"/>
                  <w:vAlign w:val="center"/>
                </w:tcPr>
                <w:p w14:paraId="6312B584">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大气</w:t>
                  </w:r>
                </w:p>
                <w:p w14:paraId="117BBF61">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7C4EAF5">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0335A5E">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左思孔</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79032D97">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东</w:t>
                  </w:r>
                  <w:r>
                    <w:rPr>
                      <w:rFonts w:hint="default" w:ascii="Times New Roman" w:hAnsi="Times New Roman" w:eastAsia="宋体" w:cs="Times New Roman"/>
                      <w:color w:val="auto"/>
                      <w:kern w:val="0"/>
                      <w:sz w:val="18"/>
                      <w:szCs w:val="18"/>
                      <w:highlight w:val="none"/>
                      <w:lang w:val="en-US" w:eastAsia="zh-CN"/>
                    </w:rPr>
                    <w:t>北侧</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14:paraId="3798926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2955</w:t>
                  </w:r>
                </w:p>
              </w:tc>
              <w:tc>
                <w:tcPr>
                  <w:tcW w:w="968" w:type="pct"/>
                  <w:gridSpan w:val="2"/>
                  <w:tcBorders>
                    <w:top w:val="single" w:color="000000" w:sz="4" w:space="0"/>
                    <w:left w:val="single" w:color="000000" w:sz="4" w:space="0"/>
                    <w:bottom w:val="single" w:color="000000" w:sz="4" w:space="0"/>
                    <w:right w:val="single" w:color="000000" w:sz="4" w:space="0"/>
                  </w:tcBorders>
                  <w:noWrap w:val="0"/>
                  <w:vAlign w:val="center"/>
                </w:tcPr>
                <w:p w14:paraId="45A03230">
                  <w:pPr>
                    <w:widowControl/>
                    <w:wordWrap/>
                    <w:spacing w:line="240" w:lineRule="auto"/>
                    <w:ind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库区</w:t>
                  </w: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3000</w:t>
                  </w:r>
                  <w:r>
                    <w:rPr>
                      <w:rFonts w:hint="default" w:ascii="Times New Roman" w:hAnsi="Times New Roman" w:eastAsia="宋体" w:cs="Times New Roman"/>
                      <w:color w:val="auto"/>
                      <w:kern w:val="0"/>
                      <w:sz w:val="18"/>
                      <w:szCs w:val="18"/>
                      <w:highlight w:val="none"/>
                      <w:lang w:val="en-US" w:eastAsia="zh-CN"/>
                    </w:rPr>
                    <w:t>m</w:t>
                  </w:r>
                </w:p>
              </w:tc>
              <w:tc>
                <w:tcPr>
                  <w:tcW w:w="812" w:type="pct"/>
                  <w:gridSpan w:val="2"/>
                  <w:tcBorders>
                    <w:top w:val="single" w:color="000000" w:sz="4" w:space="0"/>
                    <w:left w:val="single" w:color="000000" w:sz="4" w:space="0"/>
                    <w:bottom w:val="single" w:color="000000" w:sz="4" w:space="0"/>
                    <w:right w:val="nil"/>
                  </w:tcBorders>
                  <w:noWrap w:val="0"/>
                  <w:vAlign w:val="center"/>
                </w:tcPr>
                <w:p w14:paraId="7EEC6BB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25户8</w:t>
                  </w:r>
                  <w:r>
                    <w:rPr>
                      <w:rFonts w:hint="default" w:ascii="Times New Roman" w:hAnsi="Times New Roman" w:eastAsia="宋体" w:cs="Times New Roman"/>
                      <w:color w:val="auto"/>
                      <w:kern w:val="0"/>
                      <w:sz w:val="18"/>
                      <w:szCs w:val="18"/>
                      <w:highlight w:val="none"/>
                      <w:lang w:val="en-US" w:eastAsia="zh-CN"/>
                    </w:rPr>
                    <w:t>4人</w:t>
                  </w:r>
                </w:p>
              </w:tc>
            </w:tr>
            <w:tr w14:paraId="5450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left w:val="nil"/>
                    <w:right w:val="single" w:color="000000" w:sz="4" w:space="0"/>
                  </w:tcBorders>
                  <w:noWrap w:val="0"/>
                  <w:vAlign w:val="center"/>
                </w:tcPr>
                <w:p w14:paraId="6741B944">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047000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43757F20">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上良田</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6D5DA2D2">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南</w:t>
                  </w:r>
                  <w:r>
                    <w:rPr>
                      <w:rFonts w:hint="default" w:ascii="Times New Roman" w:hAnsi="Times New Roman" w:eastAsia="宋体" w:cs="Times New Roman"/>
                      <w:color w:val="auto"/>
                      <w:kern w:val="0"/>
                      <w:sz w:val="18"/>
                      <w:szCs w:val="18"/>
                      <w:highlight w:val="none"/>
                      <w:lang w:val="en-US" w:eastAsia="zh-CN"/>
                    </w:rPr>
                    <w:t>侧</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14:paraId="7900DDBE">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2460</w:t>
                  </w:r>
                </w:p>
              </w:tc>
              <w:tc>
                <w:tcPr>
                  <w:tcW w:w="968" w:type="pct"/>
                  <w:gridSpan w:val="2"/>
                  <w:tcBorders>
                    <w:top w:val="single" w:color="000000" w:sz="4" w:space="0"/>
                    <w:left w:val="single" w:color="000000" w:sz="4" w:space="0"/>
                    <w:bottom w:val="single" w:color="000000" w:sz="4" w:space="0"/>
                    <w:right w:val="single" w:color="000000" w:sz="4" w:space="0"/>
                  </w:tcBorders>
                  <w:noWrap w:val="0"/>
                  <w:vAlign w:val="center"/>
                </w:tcPr>
                <w:p w14:paraId="0ACDA5AE">
                  <w:pPr>
                    <w:widowControl/>
                    <w:wordWrap/>
                    <w:spacing w:line="240" w:lineRule="auto"/>
                    <w:ind w:firstLine="0" w:firstLine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库区</w:t>
                  </w: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2500</w:t>
                  </w:r>
                  <w:r>
                    <w:rPr>
                      <w:rFonts w:hint="default" w:ascii="Times New Roman" w:hAnsi="Times New Roman" w:eastAsia="宋体" w:cs="Times New Roman"/>
                      <w:color w:val="auto"/>
                      <w:kern w:val="0"/>
                      <w:sz w:val="18"/>
                      <w:szCs w:val="18"/>
                      <w:highlight w:val="none"/>
                      <w:lang w:val="en-US" w:eastAsia="zh-CN"/>
                    </w:rPr>
                    <w:t>m</w:t>
                  </w:r>
                </w:p>
              </w:tc>
              <w:tc>
                <w:tcPr>
                  <w:tcW w:w="812" w:type="pct"/>
                  <w:gridSpan w:val="2"/>
                  <w:tcBorders>
                    <w:top w:val="single" w:color="000000" w:sz="4" w:space="0"/>
                    <w:left w:val="single" w:color="000000" w:sz="4" w:space="0"/>
                    <w:bottom w:val="single" w:color="000000" w:sz="4" w:space="0"/>
                    <w:right w:val="nil"/>
                  </w:tcBorders>
                  <w:noWrap w:val="0"/>
                  <w:vAlign w:val="center"/>
                </w:tcPr>
                <w:p w14:paraId="78235B8B">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15户46</w:t>
                  </w:r>
                  <w:r>
                    <w:rPr>
                      <w:rFonts w:hint="default" w:ascii="Times New Roman" w:hAnsi="Times New Roman" w:eastAsia="宋体" w:cs="Times New Roman"/>
                      <w:color w:val="auto"/>
                      <w:kern w:val="0"/>
                      <w:sz w:val="18"/>
                      <w:szCs w:val="18"/>
                      <w:highlight w:val="none"/>
                      <w:lang w:val="en-US" w:eastAsia="zh-CN"/>
                    </w:rPr>
                    <w:t>人</w:t>
                  </w:r>
                </w:p>
              </w:tc>
            </w:tr>
            <w:tr w14:paraId="1A01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left w:val="nil"/>
                    <w:right w:val="single" w:color="000000" w:sz="4" w:space="0"/>
                  </w:tcBorders>
                  <w:noWrap w:val="0"/>
                  <w:vAlign w:val="center"/>
                </w:tcPr>
                <w:p w14:paraId="670BD7AD">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5622E3">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0C7C395C">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大田</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6986061">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西</w:t>
                  </w:r>
                  <w:r>
                    <w:rPr>
                      <w:rFonts w:hint="eastAsia" w:ascii="Times New Roman" w:hAnsi="Times New Roman" w:eastAsia="宋体" w:cs="Times New Roman"/>
                      <w:color w:val="auto"/>
                      <w:kern w:val="0"/>
                      <w:sz w:val="18"/>
                      <w:szCs w:val="18"/>
                      <w:highlight w:val="none"/>
                      <w:lang w:val="en-US" w:eastAsia="zh-CN"/>
                    </w:rPr>
                    <w:t>南</w:t>
                  </w:r>
                  <w:r>
                    <w:rPr>
                      <w:rFonts w:hint="default" w:ascii="Times New Roman" w:hAnsi="Times New Roman" w:eastAsia="宋体" w:cs="Times New Roman"/>
                      <w:color w:val="auto"/>
                      <w:kern w:val="0"/>
                      <w:sz w:val="18"/>
                      <w:szCs w:val="18"/>
                      <w:highlight w:val="none"/>
                      <w:lang w:val="en-US" w:eastAsia="zh-CN"/>
                    </w:rPr>
                    <w:t>侧</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14:paraId="7666C9D0">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2335</w:t>
                  </w:r>
                </w:p>
              </w:tc>
              <w:tc>
                <w:tcPr>
                  <w:tcW w:w="968" w:type="pct"/>
                  <w:gridSpan w:val="2"/>
                  <w:tcBorders>
                    <w:top w:val="single" w:color="000000" w:sz="4" w:space="0"/>
                    <w:left w:val="single" w:color="000000" w:sz="4" w:space="0"/>
                    <w:bottom w:val="single" w:color="000000" w:sz="4" w:space="0"/>
                    <w:right w:val="single" w:color="000000" w:sz="4" w:space="0"/>
                  </w:tcBorders>
                  <w:noWrap w:val="0"/>
                  <w:vAlign w:val="center"/>
                </w:tcPr>
                <w:p w14:paraId="47603614">
                  <w:pPr>
                    <w:widowControl/>
                    <w:wordWrap/>
                    <w:spacing w:line="240" w:lineRule="auto"/>
                    <w:ind w:firstLine="0" w:firstLine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库区</w:t>
                  </w: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2385</w:t>
                  </w:r>
                  <w:r>
                    <w:rPr>
                      <w:rFonts w:hint="default" w:ascii="Times New Roman" w:hAnsi="Times New Roman" w:eastAsia="宋体" w:cs="Times New Roman"/>
                      <w:color w:val="auto"/>
                      <w:kern w:val="0"/>
                      <w:sz w:val="18"/>
                      <w:szCs w:val="18"/>
                      <w:highlight w:val="none"/>
                      <w:lang w:val="en-US" w:eastAsia="zh-CN"/>
                    </w:rPr>
                    <w:t>m</w:t>
                  </w:r>
                </w:p>
              </w:tc>
              <w:tc>
                <w:tcPr>
                  <w:tcW w:w="812" w:type="pct"/>
                  <w:gridSpan w:val="2"/>
                  <w:tcBorders>
                    <w:top w:val="single" w:color="000000" w:sz="4" w:space="0"/>
                    <w:left w:val="single" w:color="000000" w:sz="4" w:space="0"/>
                    <w:bottom w:val="single" w:color="000000" w:sz="4" w:space="0"/>
                    <w:right w:val="nil"/>
                  </w:tcBorders>
                  <w:noWrap w:val="0"/>
                  <w:vAlign w:val="center"/>
                </w:tcPr>
                <w:p w14:paraId="66CB9A05">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6户21</w:t>
                  </w:r>
                  <w:r>
                    <w:rPr>
                      <w:rFonts w:hint="default" w:ascii="Times New Roman" w:hAnsi="Times New Roman" w:eastAsia="宋体" w:cs="Times New Roman"/>
                      <w:color w:val="auto"/>
                      <w:kern w:val="0"/>
                      <w:sz w:val="18"/>
                      <w:szCs w:val="18"/>
                      <w:highlight w:val="none"/>
                      <w:lang w:val="en-US" w:eastAsia="zh-CN"/>
                    </w:rPr>
                    <w:t>人</w:t>
                  </w:r>
                </w:p>
              </w:tc>
            </w:tr>
            <w:tr w14:paraId="1D5A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left w:val="nil"/>
                    <w:right w:val="single" w:color="000000" w:sz="4" w:space="0"/>
                  </w:tcBorders>
                  <w:noWrap w:val="0"/>
                  <w:vAlign w:val="center"/>
                </w:tcPr>
                <w:p w14:paraId="787A9CDC">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33B583E">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C537E52">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小红山</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14:paraId="11D8821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西</w:t>
                  </w:r>
                  <w:r>
                    <w:rPr>
                      <w:rFonts w:hint="eastAsia" w:ascii="Times New Roman" w:hAnsi="Times New Roman" w:eastAsia="宋体" w:cs="Times New Roman"/>
                      <w:color w:val="auto"/>
                      <w:kern w:val="0"/>
                      <w:sz w:val="18"/>
                      <w:szCs w:val="18"/>
                      <w:highlight w:val="none"/>
                      <w:lang w:val="en-US" w:eastAsia="zh-CN"/>
                    </w:rPr>
                    <w:t>南</w:t>
                  </w:r>
                  <w:r>
                    <w:rPr>
                      <w:rFonts w:hint="default" w:ascii="Times New Roman" w:hAnsi="Times New Roman" w:eastAsia="宋体" w:cs="Times New Roman"/>
                      <w:color w:val="auto"/>
                      <w:kern w:val="0"/>
                      <w:sz w:val="18"/>
                      <w:szCs w:val="18"/>
                      <w:highlight w:val="none"/>
                      <w:lang w:val="en-US" w:eastAsia="zh-CN"/>
                    </w:rPr>
                    <w:t>侧</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14:paraId="42FCBA14">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2842</w:t>
                  </w:r>
                </w:p>
              </w:tc>
              <w:tc>
                <w:tcPr>
                  <w:tcW w:w="968" w:type="pct"/>
                  <w:gridSpan w:val="2"/>
                  <w:tcBorders>
                    <w:top w:val="single" w:color="000000" w:sz="4" w:space="0"/>
                    <w:left w:val="single" w:color="000000" w:sz="4" w:space="0"/>
                    <w:bottom w:val="single" w:color="000000" w:sz="4" w:space="0"/>
                    <w:right w:val="single" w:color="000000" w:sz="4" w:space="0"/>
                  </w:tcBorders>
                  <w:noWrap w:val="0"/>
                  <w:vAlign w:val="center"/>
                </w:tcPr>
                <w:p w14:paraId="3B10CCA5">
                  <w:pPr>
                    <w:widowControl/>
                    <w:wordWrap/>
                    <w:spacing w:line="240" w:lineRule="auto"/>
                    <w:ind w:firstLine="0" w:firstLine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库区</w:t>
                  </w: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2900</w:t>
                  </w:r>
                  <w:r>
                    <w:rPr>
                      <w:rFonts w:hint="default" w:ascii="Times New Roman" w:hAnsi="Times New Roman" w:eastAsia="宋体" w:cs="Times New Roman"/>
                      <w:color w:val="auto"/>
                      <w:kern w:val="0"/>
                      <w:sz w:val="18"/>
                      <w:szCs w:val="18"/>
                      <w:highlight w:val="none"/>
                      <w:lang w:val="en-US" w:eastAsia="zh-CN"/>
                    </w:rPr>
                    <w:t>m</w:t>
                  </w:r>
                </w:p>
              </w:tc>
              <w:tc>
                <w:tcPr>
                  <w:tcW w:w="812" w:type="pct"/>
                  <w:gridSpan w:val="2"/>
                  <w:tcBorders>
                    <w:top w:val="single" w:color="000000" w:sz="4" w:space="0"/>
                    <w:left w:val="single" w:color="000000" w:sz="4" w:space="0"/>
                    <w:bottom w:val="single" w:color="000000" w:sz="4" w:space="0"/>
                    <w:right w:val="nil"/>
                  </w:tcBorders>
                  <w:noWrap w:val="0"/>
                  <w:vAlign w:val="center"/>
                </w:tcPr>
                <w:p w14:paraId="1131A43B">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58户186</w:t>
                  </w:r>
                  <w:r>
                    <w:rPr>
                      <w:rFonts w:hint="default" w:ascii="Times New Roman" w:hAnsi="Times New Roman" w:eastAsia="宋体" w:cs="Times New Roman"/>
                      <w:color w:val="auto"/>
                      <w:kern w:val="0"/>
                      <w:sz w:val="18"/>
                      <w:szCs w:val="18"/>
                      <w:highlight w:val="none"/>
                      <w:lang w:val="en-US" w:eastAsia="zh-CN"/>
                    </w:rPr>
                    <w:t>人</w:t>
                  </w:r>
                </w:p>
              </w:tc>
            </w:tr>
            <w:tr w14:paraId="1787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left w:val="nil"/>
                    <w:right w:val="single" w:color="000000" w:sz="4" w:space="0"/>
                  </w:tcBorders>
                  <w:noWrap w:val="0"/>
                  <w:vAlign w:val="center"/>
                </w:tcPr>
                <w:p w14:paraId="141684E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2746" w:type="pct"/>
                  <w:gridSpan w:val="4"/>
                  <w:tcBorders>
                    <w:top w:val="single" w:color="000000" w:sz="4" w:space="0"/>
                    <w:left w:val="single" w:color="000000" w:sz="4" w:space="0"/>
                    <w:bottom w:val="single" w:color="000000" w:sz="4" w:space="0"/>
                    <w:right w:val="single" w:color="000000" w:sz="4" w:space="0"/>
                  </w:tcBorders>
                  <w:noWrap w:val="0"/>
                  <w:vAlign w:val="center"/>
                </w:tcPr>
                <w:p w14:paraId="3502C4E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厂址周边500m范围内人口小计</w:t>
                  </w:r>
                </w:p>
              </w:tc>
              <w:tc>
                <w:tcPr>
                  <w:tcW w:w="1781" w:type="pct"/>
                  <w:gridSpan w:val="4"/>
                  <w:tcBorders>
                    <w:top w:val="single" w:color="000000" w:sz="4" w:space="0"/>
                    <w:left w:val="single" w:color="000000" w:sz="4" w:space="0"/>
                    <w:bottom w:val="single" w:color="000000" w:sz="4" w:space="0"/>
                    <w:right w:val="nil"/>
                  </w:tcBorders>
                  <w:noWrap w:val="0"/>
                  <w:vAlign w:val="center"/>
                </w:tcPr>
                <w:p w14:paraId="0A3835F2">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val="en-US" w:eastAsia="zh-CN"/>
                    </w:rPr>
                    <w:t>人</w:t>
                  </w:r>
                </w:p>
              </w:tc>
            </w:tr>
            <w:tr w14:paraId="016B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 w:type="pct"/>
                  <w:vMerge w:val="continue"/>
                  <w:tcBorders>
                    <w:left w:val="nil"/>
                    <w:right w:val="single" w:color="000000" w:sz="4" w:space="0"/>
                  </w:tcBorders>
                  <w:noWrap w:val="0"/>
                  <w:vAlign w:val="center"/>
                </w:tcPr>
                <w:p w14:paraId="7C404FAB">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2746" w:type="pct"/>
                  <w:gridSpan w:val="4"/>
                  <w:tcBorders>
                    <w:top w:val="single" w:color="000000" w:sz="4" w:space="0"/>
                    <w:left w:val="single" w:color="000000" w:sz="4" w:space="0"/>
                    <w:bottom w:val="single" w:color="000000" w:sz="4" w:space="0"/>
                    <w:right w:val="single" w:color="000000" w:sz="4" w:space="0"/>
                  </w:tcBorders>
                  <w:noWrap w:val="0"/>
                  <w:vAlign w:val="center"/>
                </w:tcPr>
                <w:p w14:paraId="2D01B4C7">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厂址周边</w:t>
                  </w:r>
                  <w:r>
                    <w:rPr>
                      <w:rFonts w:hint="eastAsia" w:ascii="Times New Roman" w:hAnsi="Times New Roman" w:eastAsia="宋体" w:cs="Times New Roman"/>
                      <w:color w:val="auto"/>
                      <w:kern w:val="0"/>
                      <w:sz w:val="18"/>
                      <w:szCs w:val="18"/>
                      <w:highlight w:val="none"/>
                      <w:lang w:val="en-US" w:eastAsia="zh-CN"/>
                    </w:rPr>
                    <w:t>3</w:t>
                  </w:r>
                  <w:r>
                    <w:rPr>
                      <w:rFonts w:hint="default" w:ascii="Times New Roman" w:hAnsi="Times New Roman" w:eastAsia="宋体" w:cs="Times New Roman"/>
                      <w:color w:val="auto"/>
                      <w:kern w:val="0"/>
                      <w:sz w:val="18"/>
                      <w:szCs w:val="18"/>
                      <w:highlight w:val="none"/>
                      <w:lang w:val="en-US" w:eastAsia="zh-CN"/>
                    </w:rPr>
                    <w:t>km范围内人口小计</w:t>
                  </w:r>
                </w:p>
              </w:tc>
              <w:tc>
                <w:tcPr>
                  <w:tcW w:w="1781" w:type="pct"/>
                  <w:gridSpan w:val="4"/>
                  <w:tcBorders>
                    <w:top w:val="single" w:color="000000" w:sz="4" w:space="0"/>
                    <w:left w:val="single" w:color="000000" w:sz="4" w:space="0"/>
                    <w:bottom w:val="single" w:color="000000" w:sz="4" w:space="0"/>
                    <w:right w:val="nil"/>
                  </w:tcBorders>
                  <w:noWrap w:val="0"/>
                  <w:vAlign w:val="center"/>
                </w:tcPr>
                <w:p w14:paraId="6BF889D2">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4891</w:t>
                  </w:r>
                  <w:r>
                    <w:rPr>
                      <w:rFonts w:hint="default" w:ascii="Times New Roman" w:hAnsi="Times New Roman" w:eastAsia="宋体" w:cs="Times New Roman"/>
                      <w:color w:val="auto"/>
                      <w:kern w:val="0"/>
                      <w:sz w:val="18"/>
                      <w:szCs w:val="18"/>
                      <w:highlight w:val="none"/>
                      <w:lang w:val="en-US" w:eastAsia="zh-CN"/>
                    </w:rPr>
                    <w:t>人</w:t>
                  </w:r>
                </w:p>
              </w:tc>
            </w:tr>
            <w:tr w14:paraId="18F4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pct"/>
                <w:trHeight w:val="340" w:hRule="atLeast"/>
              </w:trPr>
              <w:tc>
                <w:tcPr>
                  <w:tcW w:w="472" w:type="pct"/>
                  <w:vMerge w:val="restart"/>
                  <w:tcBorders>
                    <w:top w:val="single" w:color="000000" w:sz="4" w:space="0"/>
                    <w:left w:val="nil"/>
                    <w:bottom w:val="single" w:color="000000" w:sz="4" w:space="0"/>
                    <w:right w:val="single" w:color="000000" w:sz="4" w:space="0"/>
                  </w:tcBorders>
                  <w:noWrap w:val="0"/>
                  <w:vAlign w:val="center"/>
                </w:tcPr>
                <w:p w14:paraId="0E963C2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地表水</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D57B018">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名称</w:t>
                  </w:r>
                </w:p>
              </w:tc>
              <w:tc>
                <w:tcPr>
                  <w:tcW w:w="2291" w:type="pct"/>
                  <w:gridSpan w:val="3"/>
                  <w:tcBorders>
                    <w:top w:val="single" w:color="000000" w:sz="4" w:space="0"/>
                    <w:left w:val="single" w:color="000000" w:sz="4" w:space="0"/>
                    <w:bottom w:val="single" w:color="000000" w:sz="4" w:space="0"/>
                    <w:right w:val="single" w:color="000000" w:sz="4" w:space="0"/>
                  </w:tcBorders>
                  <w:noWrap w:val="0"/>
                  <w:vAlign w:val="center"/>
                </w:tcPr>
                <w:p w14:paraId="3DF61F58">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方位及距离</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64AFD52D">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24h内流经范围/km</w:t>
                  </w:r>
                </w:p>
              </w:tc>
              <w:tc>
                <w:tcPr>
                  <w:tcW w:w="1052" w:type="pct"/>
                  <w:gridSpan w:val="2"/>
                  <w:tcBorders>
                    <w:top w:val="single" w:color="000000" w:sz="4" w:space="0"/>
                    <w:left w:val="single" w:color="000000" w:sz="4" w:space="0"/>
                    <w:bottom w:val="single" w:color="000000" w:sz="4" w:space="0"/>
                    <w:right w:val="nil"/>
                  </w:tcBorders>
                  <w:noWrap w:val="0"/>
                  <w:vAlign w:val="center"/>
                </w:tcPr>
                <w:p w14:paraId="778BB657">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水环境功能</w:t>
                  </w:r>
                </w:p>
              </w:tc>
            </w:tr>
            <w:tr w14:paraId="2752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pct"/>
                <w:trHeight w:val="340" w:hRule="atLeast"/>
              </w:trPr>
              <w:tc>
                <w:tcPr>
                  <w:tcW w:w="472" w:type="pct"/>
                  <w:vMerge w:val="continue"/>
                  <w:tcBorders>
                    <w:top w:val="single" w:color="000000" w:sz="4" w:space="0"/>
                    <w:left w:val="nil"/>
                    <w:bottom w:val="single" w:color="000000" w:sz="4" w:space="0"/>
                    <w:right w:val="single" w:color="000000" w:sz="4" w:space="0"/>
                  </w:tcBorders>
                  <w:noWrap w:val="0"/>
                  <w:vAlign w:val="center"/>
                </w:tcPr>
                <w:p w14:paraId="46A93BE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8AA4E3C">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rPr>
                    <w:t>曼岗河</w:t>
                  </w:r>
                </w:p>
              </w:tc>
              <w:tc>
                <w:tcPr>
                  <w:tcW w:w="2291" w:type="pct"/>
                  <w:gridSpan w:val="3"/>
                  <w:tcBorders>
                    <w:top w:val="single" w:color="000000" w:sz="4" w:space="0"/>
                    <w:left w:val="single" w:color="000000" w:sz="4" w:space="0"/>
                    <w:bottom w:val="single" w:color="000000" w:sz="4" w:space="0"/>
                    <w:right w:val="single" w:color="000000" w:sz="4" w:space="0"/>
                  </w:tcBorders>
                  <w:noWrap w:val="0"/>
                  <w:vAlign w:val="center"/>
                </w:tcPr>
                <w:p w14:paraId="41A7A0D8">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位于</w:t>
                  </w:r>
                  <w:r>
                    <w:rPr>
                      <w:rFonts w:hint="eastAsia" w:cs="Times New Roman"/>
                      <w:color w:val="auto"/>
                      <w:kern w:val="0"/>
                      <w:sz w:val="18"/>
                      <w:szCs w:val="18"/>
                      <w:highlight w:val="none"/>
                      <w:lang w:val="en-US" w:eastAsia="zh-CN"/>
                    </w:rPr>
                    <w:t>库</w:t>
                  </w:r>
                  <w:r>
                    <w:rPr>
                      <w:rFonts w:hint="eastAsia" w:ascii="Times New Roman" w:hAnsi="Times New Roman" w:eastAsia="宋体" w:cs="Times New Roman"/>
                      <w:color w:val="auto"/>
                      <w:kern w:val="0"/>
                      <w:sz w:val="18"/>
                      <w:szCs w:val="18"/>
                      <w:highlight w:val="none"/>
                      <w:lang w:val="en-US" w:eastAsia="zh-CN"/>
                    </w:rPr>
                    <w:t>区西北</w:t>
                  </w:r>
                  <w:r>
                    <w:rPr>
                      <w:rFonts w:hint="default" w:ascii="Times New Roman" w:hAnsi="Times New Roman" w:eastAsia="宋体" w:cs="Times New Roman"/>
                      <w:color w:val="auto"/>
                      <w:kern w:val="0"/>
                      <w:sz w:val="18"/>
                      <w:szCs w:val="18"/>
                      <w:highlight w:val="none"/>
                      <w:lang w:eastAsia="zh-CN"/>
                    </w:rPr>
                    <w:t>侧</w:t>
                  </w:r>
                  <w:r>
                    <w:rPr>
                      <w:rFonts w:hint="eastAsia" w:ascii="Times New Roman" w:hAnsi="Times New Roman" w:eastAsia="宋体" w:cs="Times New Roman"/>
                      <w:color w:val="auto"/>
                      <w:kern w:val="0"/>
                      <w:sz w:val="18"/>
                      <w:szCs w:val="18"/>
                      <w:highlight w:val="none"/>
                      <w:lang w:val="en-US" w:eastAsia="zh-CN"/>
                    </w:rPr>
                    <w:t>585</w:t>
                  </w:r>
                  <w:r>
                    <w:rPr>
                      <w:rFonts w:hint="default" w:ascii="Times New Roman" w:hAnsi="Times New Roman" w:eastAsia="宋体" w:cs="Times New Roman"/>
                      <w:color w:val="auto"/>
                      <w:kern w:val="0"/>
                      <w:sz w:val="18"/>
                      <w:szCs w:val="18"/>
                      <w:highlight w:val="none"/>
                      <w:lang w:eastAsia="zh-CN"/>
                    </w:rPr>
                    <w:t>m处，由东北向西南流入</w:t>
                  </w:r>
                  <w:r>
                    <w:rPr>
                      <w:rFonts w:hint="eastAsia" w:ascii="Times New Roman" w:hAnsi="Times New Roman" w:eastAsia="宋体" w:cs="Times New Roman"/>
                      <w:color w:val="auto"/>
                      <w:kern w:val="0"/>
                      <w:sz w:val="18"/>
                      <w:szCs w:val="18"/>
                      <w:highlight w:val="none"/>
                      <w:lang w:val="en-US" w:eastAsia="zh-CN"/>
                    </w:rPr>
                    <w:t>困龙河</w:t>
                  </w:r>
                  <w:r>
                    <w:rPr>
                      <w:rFonts w:hint="default" w:ascii="Times New Roman" w:hAnsi="Times New Roman" w:eastAsia="宋体" w:cs="Times New Roman"/>
                      <w:color w:val="auto"/>
                      <w:kern w:val="0"/>
                      <w:sz w:val="18"/>
                      <w:szCs w:val="18"/>
                      <w:highlight w:val="none"/>
                      <w:lang w:eastAsia="zh-CN"/>
                    </w:rPr>
                    <w:t>，最终进入戛洒江</w:t>
                  </w:r>
                  <w:r>
                    <w:rPr>
                      <w:rFonts w:hint="eastAsia" w:ascii="Times New Roman" w:hAnsi="Times New Roman" w:eastAsia="宋体" w:cs="Times New Roman"/>
                      <w:color w:val="auto"/>
                      <w:kern w:val="0"/>
                      <w:sz w:val="18"/>
                      <w:szCs w:val="18"/>
                      <w:highlight w:val="none"/>
                      <w:lang w:eastAsia="zh-CN"/>
                    </w:rPr>
                    <w:t>。</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618BC014">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w:t>
                  </w:r>
                </w:p>
              </w:tc>
              <w:tc>
                <w:tcPr>
                  <w:tcW w:w="1052" w:type="pct"/>
                  <w:gridSpan w:val="2"/>
                  <w:vMerge w:val="restart"/>
                  <w:tcBorders>
                    <w:top w:val="single" w:color="000000" w:sz="4" w:space="0"/>
                    <w:left w:val="single" w:color="000000" w:sz="4" w:space="0"/>
                    <w:bottom w:val="single" w:color="000000" w:sz="4" w:space="0"/>
                    <w:right w:val="nil"/>
                  </w:tcBorders>
                  <w:noWrap w:val="0"/>
                  <w:vAlign w:val="center"/>
                </w:tcPr>
                <w:p w14:paraId="058B97BF">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《地表水环境质量标准》（GB3838-2002）Ⅲ类标准</w:t>
                  </w:r>
                </w:p>
              </w:tc>
            </w:tr>
            <w:tr w14:paraId="72F9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pct"/>
                <w:trHeight w:val="340" w:hRule="atLeast"/>
              </w:trPr>
              <w:tc>
                <w:tcPr>
                  <w:tcW w:w="472" w:type="pct"/>
                  <w:vMerge w:val="continue"/>
                  <w:tcBorders>
                    <w:top w:val="single" w:color="000000" w:sz="4" w:space="0"/>
                    <w:left w:val="nil"/>
                    <w:bottom w:val="single" w:color="000000" w:sz="4" w:space="0"/>
                    <w:right w:val="single" w:color="000000" w:sz="4" w:space="0"/>
                  </w:tcBorders>
                  <w:noWrap w:val="0"/>
                  <w:vAlign w:val="center"/>
                </w:tcPr>
                <w:p w14:paraId="3A83EF7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78A08">
                  <w:pPr>
                    <w:widowControl/>
                    <w:wordWrap/>
                    <w:spacing w:line="240" w:lineRule="auto"/>
                    <w:ind w:firstLine="0" w:firstLine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肥味河</w:t>
                  </w:r>
                </w:p>
              </w:tc>
              <w:tc>
                <w:tcPr>
                  <w:tcW w:w="2291"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0722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eastAsia="zh-CN"/>
                    </w:rPr>
                    <w:t>位于</w:t>
                  </w:r>
                  <w:r>
                    <w:rPr>
                      <w:rFonts w:hint="eastAsia" w:cs="Times New Roman"/>
                      <w:color w:val="auto"/>
                      <w:kern w:val="0"/>
                      <w:sz w:val="18"/>
                      <w:szCs w:val="18"/>
                      <w:highlight w:val="none"/>
                      <w:lang w:val="en-US" w:eastAsia="zh-CN"/>
                    </w:rPr>
                    <w:t>库</w:t>
                  </w:r>
                  <w:r>
                    <w:rPr>
                      <w:rFonts w:hint="eastAsia" w:ascii="Times New Roman" w:hAnsi="Times New Roman" w:eastAsia="宋体" w:cs="Times New Roman"/>
                      <w:color w:val="auto"/>
                      <w:kern w:val="0"/>
                      <w:sz w:val="18"/>
                      <w:szCs w:val="18"/>
                      <w:highlight w:val="none"/>
                      <w:lang w:val="en-US" w:eastAsia="zh-CN"/>
                    </w:rPr>
                    <w:t>区</w:t>
                  </w:r>
                  <w:r>
                    <w:rPr>
                      <w:rFonts w:hint="default" w:ascii="Times New Roman" w:hAnsi="Times New Roman" w:eastAsia="宋体" w:cs="Times New Roman"/>
                      <w:color w:val="auto"/>
                      <w:kern w:val="0"/>
                      <w:sz w:val="18"/>
                      <w:szCs w:val="18"/>
                      <w:highlight w:val="none"/>
                      <w:lang w:eastAsia="zh-CN"/>
                    </w:rPr>
                    <w:t>南侧</w:t>
                  </w:r>
                  <w:r>
                    <w:rPr>
                      <w:rFonts w:hint="eastAsia" w:ascii="Times New Roman" w:hAnsi="Times New Roman" w:eastAsia="宋体" w:cs="Times New Roman"/>
                      <w:color w:val="auto"/>
                      <w:kern w:val="0"/>
                      <w:sz w:val="18"/>
                      <w:szCs w:val="18"/>
                      <w:highlight w:val="none"/>
                      <w:lang w:val="en-US" w:eastAsia="zh-CN"/>
                    </w:rPr>
                    <w:t>2</w:t>
                  </w:r>
                  <w:r>
                    <w:rPr>
                      <w:rFonts w:hint="eastAsia" w:cs="Times New Roman"/>
                      <w:color w:val="auto"/>
                      <w:kern w:val="0"/>
                      <w:sz w:val="18"/>
                      <w:szCs w:val="18"/>
                      <w:highlight w:val="none"/>
                      <w:lang w:val="en-US" w:eastAsia="zh-CN"/>
                    </w:rPr>
                    <w:t>06</w:t>
                  </w: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eastAsia="zh-CN"/>
                    </w:rPr>
                    <w:t>m处</w:t>
                  </w:r>
                  <w:r>
                    <w:rPr>
                      <w:rFonts w:hint="eastAsia" w:ascii="Times New Roman" w:hAnsi="Times New Roman" w:eastAsia="宋体"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lang w:eastAsia="zh-CN"/>
                    </w:rPr>
                    <w:t>由东</w:t>
                  </w:r>
                  <w:r>
                    <w:rPr>
                      <w:rFonts w:hint="eastAsia" w:ascii="Times New Roman" w:hAnsi="Times New Roman" w:eastAsia="宋体" w:cs="Times New Roman"/>
                      <w:color w:val="auto"/>
                      <w:kern w:val="0"/>
                      <w:sz w:val="18"/>
                      <w:szCs w:val="18"/>
                      <w:highlight w:val="none"/>
                      <w:lang w:val="en-US" w:eastAsia="zh-CN"/>
                    </w:rPr>
                    <w:t>南</w:t>
                  </w:r>
                  <w:r>
                    <w:rPr>
                      <w:rFonts w:hint="default" w:ascii="Times New Roman" w:hAnsi="Times New Roman" w:eastAsia="宋体" w:cs="Times New Roman"/>
                      <w:color w:val="auto"/>
                      <w:kern w:val="0"/>
                      <w:sz w:val="18"/>
                      <w:szCs w:val="18"/>
                      <w:highlight w:val="none"/>
                      <w:lang w:eastAsia="zh-CN"/>
                    </w:rPr>
                    <w:t>向西</w:t>
                  </w:r>
                  <w:r>
                    <w:rPr>
                      <w:rFonts w:hint="eastAsia" w:ascii="Times New Roman" w:hAnsi="Times New Roman" w:eastAsia="宋体" w:cs="Times New Roman"/>
                      <w:color w:val="auto"/>
                      <w:kern w:val="0"/>
                      <w:sz w:val="18"/>
                      <w:szCs w:val="18"/>
                      <w:highlight w:val="none"/>
                      <w:lang w:val="en-US" w:eastAsia="zh-CN"/>
                    </w:rPr>
                    <w:t>北</w:t>
                  </w:r>
                  <w:r>
                    <w:rPr>
                      <w:rFonts w:hint="default" w:ascii="Times New Roman" w:hAnsi="Times New Roman" w:eastAsia="宋体" w:cs="Times New Roman"/>
                      <w:color w:val="auto"/>
                      <w:kern w:val="0"/>
                      <w:sz w:val="18"/>
                      <w:szCs w:val="18"/>
                      <w:highlight w:val="none"/>
                      <w:lang w:eastAsia="zh-CN"/>
                    </w:rPr>
                    <w:t>流入</w:t>
                  </w:r>
                  <w:r>
                    <w:rPr>
                      <w:rFonts w:hint="eastAsia" w:ascii="Times New Roman" w:hAnsi="Times New Roman" w:eastAsia="宋体" w:cs="Times New Roman"/>
                      <w:color w:val="auto"/>
                      <w:kern w:val="0"/>
                      <w:sz w:val="18"/>
                      <w:szCs w:val="18"/>
                      <w:highlight w:val="none"/>
                      <w:lang w:val="en-US" w:eastAsia="zh-CN"/>
                    </w:rPr>
                    <w:t>困龙河</w:t>
                  </w:r>
                  <w:r>
                    <w:rPr>
                      <w:rFonts w:hint="default" w:ascii="Times New Roman" w:hAnsi="Times New Roman" w:eastAsia="宋体" w:cs="Times New Roman"/>
                      <w:color w:val="auto"/>
                      <w:kern w:val="0"/>
                      <w:sz w:val="18"/>
                      <w:szCs w:val="18"/>
                      <w:highlight w:val="none"/>
                      <w:lang w:eastAsia="zh-CN"/>
                    </w:rPr>
                    <w:t>，最终进入戛洒江</w:t>
                  </w:r>
                  <w:r>
                    <w:rPr>
                      <w:rFonts w:hint="eastAsia" w:ascii="Times New Roman" w:hAnsi="Times New Roman" w:eastAsia="宋体" w:cs="Times New Roman"/>
                      <w:color w:val="auto"/>
                      <w:kern w:val="0"/>
                      <w:sz w:val="18"/>
                      <w:szCs w:val="18"/>
                      <w:highlight w:val="none"/>
                      <w:lang w:eastAsia="zh-CN"/>
                    </w:rPr>
                    <w:t>。</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E8EA8">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eastAsia="zh-CN"/>
                    </w:rPr>
                    <w:t>/</w:t>
                  </w:r>
                </w:p>
              </w:tc>
              <w:tc>
                <w:tcPr>
                  <w:tcW w:w="1052" w:type="pct"/>
                  <w:gridSpan w:val="2"/>
                  <w:vMerge w:val="continue"/>
                  <w:tcBorders>
                    <w:top w:val="single" w:color="000000" w:sz="4" w:space="0"/>
                    <w:left w:val="single" w:color="000000" w:sz="4" w:space="0"/>
                    <w:bottom w:val="single" w:color="000000" w:sz="4" w:space="0"/>
                    <w:right w:val="nil"/>
                  </w:tcBorders>
                  <w:noWrap w:val="0"/>
                  <w:vAlign w:val="center"/>
                </w:tcPr>
                <w:p w14:paraId="19633553">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r>
            <w:tr w14:paraId="5DA0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pct"/>
                <w:trHeight w:val="340" w:hRule="atLeast"/>
              </w:trPr>
              <w:tc>
                <w:tcPr>
                  <w:tcW w:w="472" w:type="pct"/>
                  <w:vMerge w:val="continue"/>
                  <w:tcBorders>
                    <w:top w:val="single" w:color="000000" w:sz="4" w:space="0"/>
                    <w:left w:val="nil"/>
                    <w:bottom w:val="single" w:color="000000" w:sz="4" w:space="0"/>
                    <w:right w:val="single" w:color="000000" w:sz="4" w:space="0"/>
                  </w:tcBorders>
                  <w:noWrap w:val="0"/>
                  <w:vAlign w:val="center"/>
                </w:tcPr>
                <w:p w14:paraId="789BD347">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CF4BFC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困龙河</w:t>
                  </w:r>
                </w:p>
              </w:tc>
              <w:tc>
                <w:tcPr>
                  <w:tcW w:w="2291" w:type="pct"/>
                  <w:gridSpan w:val="3"/>
                  <w:tcBorders>
                    <w:top w:val="single" w:color="000000" w:sz="4" w:space="0"/>
                    <w:left w:val="single" w:color="000000" w:sz="4" w:space="0"/>
                    <w:bottom w:val="single" w:color="000000" w:sz="4" w:space="0"/>
                    <w:right w:val="single" w:color="000000" w:sz="4" w:space="0"/>
                  </w:tcBorders>
                  <w:noWrap w:val="0"/>
                  <w:vAlign w:val="center"/>
                </w:tcPr>
                <w:p w14:paraId="38BEB88A">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位于</w:t>
                  </w:r>
                  <w:r>
                    <w:rPr>
                      <w:rFonts w:hint="eastAsia" w:cs="Times New Roman"/>
                      <w:color w:val="auto"/>
                      <w:kern w:val="0"/>
                      <w:sz w:val="18"/>
                      <w:szCs w:val="18"/>
                      <w:highlight w:val="none"/>
                      <w:lang w:val="en-US" w:eastAsia="zh-CN"/>
                    </w:rPr>
                    <w:t>库</w:t>
                  </w:r>
                  <w:r>
                    <w:rPr>
                      <w:rFonts w:hint="eastAsia" w:ascii="Times New Roman" w:hAnsi="Times New Roman" w:eastAsia="宋体" w:cs="Times New Roman"/>
                      <w:color w:val="auto"/>
                      <w:kern w:val="0"/>
                      <w:sz w:val="18"/>
                      <w:szCs w:val="18"/>
                      <w:highlight w:val="none"/>
                      <w:lang w:val="en-US" w:eastAsia="zh-CN"/>
                    </w:rPr>
                    <w:t>区</w:t>
                  </w:r>
                  <w:r>
                    <w:rPr>
                      <w:rFonts w:hint="eastAsia" w:cs="Times New Roman"/>
                      <w:color w:val="auto"/>
                      <w:kern w:val="0"/>
                      <w:sz w:val="18"/>
                      <w:szCs w:val="18"/>
                      <w:highlight w:val="none"/>
                      <w:lang w:val="en-US" w:eastAsia="zh-CN"/>
                    </w:rPr>
                    <w:t>西</w:t>
                  </w:r>
                  <w:r>
                    <w:rPr>
                      <w:rFonts w:hint="default" w:ascii="Times New Roman" w:hAnsi="Times New Roman" w:eastAsia="宋体" w:cs="Times New Roman"/>
                      <w:color w:val="auto"/>
                      <w:kern w:val="0"/>
                      <w:sz w:val="18"/>
                      <w:szCs w:val="18"/>
                      <w:highlight w:val="none"/>
                      <w:lang w:eastAsia="zh-CN"/>
                    </w:rPr>
                    <w:t>南侧</w:t>
                  </w:r>
                  <w:r>
                    <w:rPr>
                      <w:rFonts w:hint="eastAsia" w:ascii="Times New Roman" w:hAnsi="Times New Roman" w:eastAsia="宋体" w:cs="Times New Roman"/>
                      <w:color w:val="auto"/>
                      <w:kern w:val="0"/>
                      <w:sz w:val="18"/>
                      <w:szCs w:val="18"/>
                      <w:highlight w:val="none"/>
                      <w:lang w:val="en-US" w:eastAsia="zh-CN"/>
                    </w:rPr>
                    <w:t>2</w:t>
                  </w:r>
                  <w:r>
                    <w:rPr>
                      <w:rFonts w:hint="eastAsia" w:cs="Times New Roman"/>
                      <w:color w:val="auto"/>
                      <w:kern w:val="0"/>
                      <w:sz w:val="18"/>
                      <w:szCs w:val="18"/>
                      <w:highlight w:val="none"/>
                      <w:lang w:val="en-US" w:eastAsia="zh-CN"/>
                    </w:rPr>
                    <w:t>30</w:t>
                  </w: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eastAsia="zh-CN"/>
                    </w:rPr>
                    <w:t>m处</w:t>
                  </w:r>
                  <w:r>
                    <w:rPr>
                      <w:rFonts w:hint="eastAsia" w:ascii="Times New Roman" w:hAnsi="Times New Roman" w:eastAsia="宋体"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lang w:eastAsia="zh-CN"/>
                    </w:rPr>
                    <w:t>由东向西流入戛洒江</w:t>
                  </w:r>
                  <w:r>
                    <w:rPr>
                      <w:rFonts w:hint="eastAsia" w:ascii="Times New Roman" w:hAnsi="Times New Roman" w:eastAsia="宋体" w:cs="Times New Roman"/>
                      <w:color w:val="auto"/>
                      <w:kern w:val="0"/>
                      <w:sz w:val="18"/>
                      <w:szCs w:val="18"/>
                      <w:highlight w:val="none"/>
                      <w:lang w:eastAsia="zh-CN"/>
                    </w:rPr>
                    <w:t>。</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12EACB39">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1052" w:type="pct"/>
                  <w:gridSpan w:val="2"/>
                  <w:vMerge w:val="continue"/>
                  <w:tcBorders>
                    <w:top w:val="single" w:color="000000" w:sz="4" w:space="0"/>
                    <w:left w:val="single" w:color="000000" w:sz="4" w:space="0"/>
                    <w:bottom w:val="single" w:color="000000" w:sz="4" w:space="0"/>
                    <w:right w:val="nil"/>
                  </w:tcBorders>
                  <w:noWrap w:val="0"/>
                  <w:vAlign w:val="center"/>
                </w:tcPr>
                <w:p w14:paraId="6C568FCC">
                  <w:pPr>
                    <w:widowControl/>
                    <w:wordWrap/>
                    <w:spacing w:line="240" w:lineRule="auto"/>
                    <w:ind w:firstLine="0" w:firstLineChars="0"/>
                    <w:jc w:val="center"/>
                    <w:rPr>
                      <w:rFonts w:hint="default" w:ascii="Times New Roman" w:hAnsi="Times New Roman" w:eastAsia="宋体" w:cs="Times New Roman"/>
                      <w:color w:val="auto"/>
                      <w:kern w:val="0"/>
                      <w:sz w:val="18"/>
                      <w:szCs w:val="18"/>
                      <w:highlight w:val="none"/>
                      <w:lang w:eastAsia="zh-CN"/>
                    </w:rPr>
                  </w:pPr>
                </w:p>
              </w:tc>
            </w:tr>
          </w:tbl>
          <w:p w14:paraId="17C84E17">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项目区周边关系图详见附图4。</w:t>
            </w:r>
          </w:p>
        </w:tc>
      </w:tr>
      <w:tr w14:paraId="427E7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08" w:type="dxa"/>
            <w:tcMar>
              <w:left w:w="28" w:type="dxa"/>
              <w:right w:w="28" w:type="dxa"/>
            </w:tcMar>
            <w:vAlign w:val="center"/>
          </w:tcPr>
          <w:p w14:paraId="188567F9">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w:t>
            </w:r>
          </w:p>
          <w:p w14:paraId="50F26FAE">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物排</w:t>
            </w:r>
          </w:p>
          <w:p w14:paraId="7FB35733">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放控</w:t>
            </w:r>
          </w:p>
          <w:p w14:paraId="1E253C6F">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制标</w:t>
            </w:r>
          </w:p>
          <w:p w14:paraId="158C4060">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准</w:t>
            </w:r>
          </w:p>
        </w:tc>
        <w:tc>
          <w:tcPr>
            <w:tcW w:w="7909" w:type="dxa"/>
            <w:vAlign w:val="center"/>
          </w:tcPr>
          <w:p w14:paraId="408E5261">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1、废气排放标准</w:t>
            </w:r>
          </w:p>
          <w:p w14:paraId="2EFB3339">
            <w:pPr>
              <w:pStyle w:val="4"/>
              <w:snapToGrid w:val="0"/>
              <w:spacing w:line="360" w:lineRule="auto"/>
              <w:ind w:left="34" w:leftChars="16" w:firstLine="448" w:firstLineChars="187"/>
              <w:rPr>
                <w:rFonts w:hint="default" w:ascii="Times New Roman" w:hAnsi="Times New Roman" w:cs="Times New Roman"/>
                <w:color w:val="auto"/>
                <w:sz w:val="24"/>
              </w:rPr>
            </w:pPr>
            <w:r>
              <w:rPr>
                <w:rFonts w:hint="default" w:ascii="Times New Roman" w:hAnsi="Times New Roman" w:cs="Times New Roman"/>
                <w:color w:val="auto"/>
                <w:sz w:val="24"/>
              </w:rPr>
              <w:t>施工期间产生的施工粉尘执行《大气污染物综合排放标准》（GB16297-1996）中表2中的1.0mg/m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浓度限值。</w:t>
            </w:r>
          </w:p>
          <w:p w14:paraId="75E8DF54">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w:t>
            </w:r>
            <w:r>
              <w:rPr>
                <w:rFonts w:hint="eastAsia" w:cs="Times New Roman"/>
                <w:color w:val="auto"/>
                <w:sz w:val="24"/>
                <w:lang w:val="en-US" w:eastAsia="zh-CN"/>
              </w:rPr>
              <w:t>废气主要为运输扬尘，</w:t>
            </w:r>
            <w:r>
              <w:rPr>
                <w:rFonts w:hint="default" w:ascii="Times New Roman" w:hAnsi="Times New Roman" w:cs="Times New Roman"/>
                <w:color w:val="auto"/>
                <w:sz w:val="24"/>
              </w:rPr>
              <w:t>其厂界无组织粉尘执行《大气污染物综合排放标准》（GB16297-1996）表2限值。</w:t>
            </w:r>
          </w:p>
          <w:p w14:paraId="01CCA09E">
            <w:pPr>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表3-1</w:t>
            </w:r>
            <w:r>
              <w:rPr>
                <w:rFonts w:hint="eastAsia" w:eastAsia="黑体" w:cs="Times New Roman"/>
                <w:bCs/>
                <w:color w:val="auto"/>
                <w:szCs w:val="21"/>
                <w:lang w:val="en-US" w:eastAsia="zh-CN"/>
              </w:rPr>
              <w:t>0</w:t>
            </w:r>
            <w:r>
              <w:rPr>
                <w:rFonts w:hint="default" w:ascii="Times New Roman" w:hAnsi="Times New Roman" w:eastAsia="黑体" w:cs="Times New Roman"/>
                <w:bCs/>
                <w:color w:val="auto"/>
                <w:szCs w:val="21"/>
              </w:rPr>
              <w:t xml:space="preserve">  大气污染物综合排放标准  单位：mg/m</w:t>
            </w:r>
            <w:r>
              <w:rPr>
                <w:rFonts w:hint="default" w:ascii="Times New Roman" w:hAnsi="Times New Roman" w:eastAsia="黑体" w:cs="Times New Roman"/>
                <w:bCs/>
                <w:color w:val="auto"/>
                <w:szCs w:val="21"/>
                <w:vertAlign w:val="superscript"/>
              </w:rPr>
              <w:t>3</w:t>
            </w:r>
          </w:p>
          <w:tbl>
            <w:tblPr>
              <w:tblStyle w:val="3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3176"/>
              <w:gridCol w:w="2101"/>
            </w:tblGrid>
            <w:tr w14:paraId="279F4F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vMerge w:val="restart"/>
                  <w:tcBorders>
                    <w:tl2br w:val="nil"/>
                    <w:tr2bl w:val="nil"/>
                  </w:tcBorders>
                  <w:vAlign w:val="center"/>
                </w:tcPr>
                <w:p w14:paraId="223A6DB2">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污染物项目</w:t>
                  </w:r>
                </w:p>
              </w:tc>
              <w:tc>
                <w:tcPr>
                  <w:tcW w:w="3430" w:type="pct"/>
                  <w:gridSpan w:val="2"/>
                  <w:tcBorders>
                    <w:tl2br w:val="nil"/>
                    <w:tr2bl w:val="nil"/>
                  </w:tcBorders>
                  <w:vAlign w:val="center"/>
                </w:tcPr>
                <w:p w14:paraId="368F042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无组织排放浓度监控限值</w:t>
                  </w:r>
                </w:p>
              </w:tc>
            </w:tr>
            <w:tr w14:paraId="5EC1B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vMerge w:val="continue"/>
                  <w:tcBorders>
                    <w:tl2br w:val="nil"/>
                    <w:tr2bl w:val="nil"/>
                  </w:tcBorders>
                  <w:vAlign w:val="center"/>
                </w:tcPr>
                <w:p w14:paraId="25C3045E">
                  <w:pPr>
                    <w:widowControl/>
                    <w:jc w:val="left"/>
                    <w:rPr>
                      <w:rFonts w:hint="default" w:ascii="Times New Roman" w:hAnsi="Times New Roman" w:cs="Times New Roman"/>
                      <w:color w:val="auto"/>
                      <w:kern w:val="0"/>
                      <w:sz w:val="18"/>
                      <w:szCs w:val="18"/>
                    </w:rPr>
                  </w:pPr>
                </w:p>
              </w:tc>
              <w:tc>
                <w:tcPr>
                  <w:tcW w:w="2064" w:type="pct"/>
                  <w:tcBorders>
                    <w:tl2br w:val="nil"/>
                    <w:tr2bl w:val="nil"/>
                  </w:tcBorders>
                  <w:vAlign w:val="center"/>
                </w:tcPr>
                <w:p w14:paraId="458B438B">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监控点</w:t>
                  </w:r>
                </w:p>
              </w:tc>
              <w:tc>
                <w:tcPr>
                  <w:tcW w:w="1365" w:type="pct"/>
                  <w:tcBorders>
                    <w:tl2br w:val="nil"/>
                    <w:tr2bl w:val="nil"/>
                  </w:tcBorders>
                  <w:vAlign w:val="center"/>
                </w:tcPr>
                <w:p w14:paraId="0AAB0A95">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浓度</w:t>
                  </w:r>
                </w:p>
              </w:tc>
            </w:tr>
            <w:tr w14:paraId="18055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tcBorders>
                    <w:tl2br w:val="nil"/>
                    <w:tr2bl w:val="nil"/>
                  </w:tcBorders>
                  <w:vAlign w:val="center"/>
                </w:tcPr>
                <w:p w14:paraId="49772FBE">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颗粒物</w:t>
                  </w:r>
                </w:p>
              </w:tc>
              <w:tc>
                <w:tcPr>
                  <w:tcW w:w="2064" w:type="pct"/>
                  <w:tcBorders>
                    <w:tl2br w:val="nil"/>
                    <w:tr2bl w:val="nil"/>
                  </w:tcBorders>
                  <w:vAlign w:val="center"/>
                </w:tcPr>
                <w:p w14:paraId="7C6F747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周界外浓度最高点</w:t>
                  </w:r>
                </w:p>
              </w:tc>
              <w:tc>
                <w:tcPr>
                  <w:tcW w:w="1365" w:type="pct"/>
                  <w:tcBorders>
                    <w:tl2br w:val="nil"/>
                    <w:tr2bl w:val="nil"/>
                  </w:tcBorders>
                  <w:vAlign w:val="center"/>
                </w:tcPr>
                <w:p w14:paraId="5AD427BD">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r>
          </w:tbl>
          <w:p w14:paraId="2039D854">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2、水污染物排放标准</w:t>
            </w:r>
          </w:p>
          <w:p w14:paraId="662CD9F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施工废水、施工人员清洗废水引入临时沉淀池澄清后回用于施工现场洒水降尘或施工用水，不外排，因此不设废水排放标准。</w:t>
            </w:r>
          </w:p>
          <w:p w14:paraId="3F01ACD5">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项目无生产废水产生及排放，生活污水化粪池收集后运至玉溪大红山矿业有限公司现有的生活污水处理站处理达《城市污水再生利用  城市杂用水水质》（GB/T18920-2020）表1中绿化、道路清扫标准限值要求后回用于矿山洒水降尘，不外排。由于该生活污水处理站已验收且达标排放，因此本项目不设废水排放标准。</w:t>
            </w:r>
          </w:p>
          <w:p w14:paraId="7B685764">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3、噪声排放标准</w:t>
            </w:r>
          </w:p>
          <w:p w14:paraId="6CED8B0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项目施工噪声排放执行《建筑施工噪声排放标准》（GB12523-2025），标准值见下表。</w:t>
            </w:r>
          </w:p>
          <w:p w14:paraId="6FFB03AC">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表3-1</w:t>
            </w:r>
            <w:r>
              <w:rPr>
                <w:rFonts w:hint="eastAsia" w:ascii="Times New Roman" w:hAnsi="Times New Roman" w:eastAsia="黑体" w:cs="Times New Roman"/>
                <w:color w:val="auto"/>
                <w:sz w:val="21"/>
                <w:szCs w:val="21"/>
                <w:lang w:val="en-US" w:eastAsia="zh-CN"/>
              </w:rPr>
              <w:t>1</w:t>
            </w:r>
            <w:r>
              <w:rPr>
                <w:rFonts w:hint="default" w:ascii="Times New Roman" w:hAnsi="Times New Roman" w:eastAsia="黑体" w:cs="Times New Roman"/>
                <w:color w:val="auto"/>
                <w:sz w:val="21"/>
                <w:szCs w:val="21"/>
              </w:rPr>
              <w:t xml:space="preserve">   建筑施工场界环境噪声排放限值   单位：dB（A）</w:t>
            </w:r>
          </w:p>
          <w:tbl>
            <w:tblPr>
              <w:tblStyle w:val="3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7"/>
              <w:gridCol w:w="3706"/>
            </w:tblGrid>
            <w:tr w14:paraId="36A18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vAlign w:val="center"/>
                </w:tcPr>
                <w:p w14:paraId="0BC8DA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2408" w:type="pct"/>
                  <w:tcBorders>
                    <w:tl2br w:val="nil"/>
                    <w:tr2bl w:val="nil"/>
                  </w:tcBorders>
                  <w:vAlign w:val="center"/>
                </w:tcPr>
                <w:p w14:paraId="3385FF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r>
            <w:tr w14:paraId="7EFDDF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vAlign w:val="center"/>
                </w:tcPr>
                <w:p w14:paraId="6DE632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2408" w:type="pct"/>
                  <w:tcBorders>
                    <w:tl2br w:val="nil"/>
                    <w:tr2bl w:val="nil"/>
                  </w:tcBorders>
                  <w:vAlign w:val="center"/>
                </w:tcPr>
                <w:p w14:paraId="3331224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r>
          </w:tbl>
          <w:p w14:paraId="6C7AEBC7">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项目位于云南省玉溪市新平县戛洒镇米尺莫村委会哈母白租村民小组，</w:t>
            </w:r>
            <w:r>
              <w:rPr>
                <w:rFonts w:hint="eastAsia" w:cs="Times New Roman"/>
                <w:color w:val="auto"/>
                <w:sz w:val="24"/>
                <w:lang w:val="en-US" w:eastAsia="zh-CN"/>
              </w:rPr>
              <w:t>厂界</w:t>
            </w:r>
            <w:r>
              <w:rPr>
                <w:rFonts w:hint="default" w:ascii="Times New Roman" w:hAnsi="Times New Roman" w:cs="Times New Roman"/>
                <w:color w:val="auto"/>
                <w:sz w:val="24"/>
              </w:rPr>
              <w:t>噪声执行《工业企业厂界环境噪声排放标准》（GB12348-2008）中的</w:t>
            </w:r>
            <w:r>
              <w:rPr>
                <w:rFonts w:hint="eastAsia" w:cs="Times New Roman"/>
                <w:color w:val="auto"/>
                <w:sz w:val="24"/>
                <w:lang w:val="en-US" w:eastAsia="zh-CN"/>
              </w:rPr>
              <w:t>2</w:t>
            </w:r>
            <w:r>
              <w:rPr>
                <w:rFonts w:hint="default" w:ascii="Times New Roman" w:hAnsi="Times New Roman" w:cs="Times New Roman"/>
                <w:color w:val="auto"/>
                <w:sz w:val="24"/>
              </w:rPr>
              <w:t>类标准。</w:t>
            </w:r>
          </w:p>
          <w:p w14:paraId="42B41BEB">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表3-1</w:t>
            </w:r>
            <w:r>
              <w:rPr>
                <w:rFonts w:hint="eastAsia"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 xml:space="preserve">   工业企业厂界环境噪声排放标准  单位：Leq〔dB(A)〕</w:t>
            </w:r>
          </w:p>
          <w:tbl>
            <w:tblPr>
              <w:tblStyle w:val="3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608"/>
              <w:gridCol w:w="1734"/>
              <w:gridCol w:w="2348"/>
            </w:tblGrid>
            <w:tr w14:paraId="696E9D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2346" w:type="pct"/>
                  <w:tcBorders>
                    <w:tl2br w:val="nil"/>
                    <w:tr2bl w:val="nil"/>
                  </w:tcBorders>
                  <w:vAlign w:val="center"/>
                </w:tcPr>
                <w:p w14:paraId="129FCC22">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时段厂界外</w:t>
                  </w:r>
                </w:p>
                <w:p w14:paraId="1766EBF3">
                  <w:pPr>
                    <w:pStyle w:val="18"/>
                    <w:widowControl/>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声环境功能区类别</w:t>
                  </w:r>
                </w:p>
              </w:tc>
              <w:tc>
                <w:tcPr>
                  <w:tcW w:w="1127" w:type="pct"/>
                  <w:tcBorders>
                    <w:tl2br w:val="nil"/>
                    <w:tr2bl w:val="nil"/>
                  </w:tcBorders>
                  <w:vAlign w:val="center"/>
                </w:tcPr>
                <w:p w14:paraId="62769A9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1526" w:type="pct"/>
                  <w:tcBorders>
                    <w:tl2br w:val="nil"/>
                    <w:tr2bl w:val="nil"/>
                  </w:tcBorders>
                  <w:vAlign w:val="center"/>
                </w:tcPr>
                <w:p w14:paraId="7B14D6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r>
            <w:tr w14:paraId="089614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46" w:type="pct"/>
                  <w:tcBorders>
                    <w:tl2br w:val="nil"/>
                    <w:tr2bl w:val="nil"/>
                  </w:tcBorders>
                  <w:vAlign w:val="center"/>
                </w:tcPr>
                <w:p w14:paraId="53AC2425">
                  <w:pPr>
                    <w:widowControl/>
                    <w:spacing w:line="34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1127" w:type="pct"/>
                  <w:tcBorders>
                    <w:tl2br w:val="nil"/>
                    <w:tr2bl w:val="nil"/>
                  </w:tcBorders>
                  <w:vAlign w:val="center"/>
                </w:tcPr>
                <w:p w14:paraId="0DF38400">
                  <w:pPr>
                    <w:widowControl/>
                    <w:spacing w:line="34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w:t>
                  </w:r>
                </w:p>
              </w:tc>
              <w:tc>
                <w:tcPr>
                  <w:tcW w:w="1526" w:type="pct"/>
                  <w:tcBorders>
                    <w:tl2br w:val="nil"/>
                    <w:tr2bl w:val="nil"/>
                  </w:tcBorders>
                  <w:vAlign w:val="center"/>
                </w:tcPr>
                <w:p w14:paraId="521B9E55">
                  <w:pPr>
                    <w:widowControl/>
                    <w:spacing w:line="34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w:t>
                  </w:r>
                </w:p>
              </w:tc>
            </w:tr>
          </w:tbl>
          <w:p w14:paraId="3CCFBC88">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4、固废</w:t>
            </w:r>
          </w:p>
          <w:p w14:paraId="08807112">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rPr>
              <w:t>运营期一般固体废物处理执行《一般工业固体废物贮存和填埋污染控制标准》（GB18599-2020）中的相关要求；危险废物储存执行《危险废物贮存污染控制标准》（GB18597-2023）中的相关要求。</w:t>
            </w:r>
          </w:p>
        </w:tc>
      </w:tr>
      <w:tr w14:paraId="045F4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08" w:type="dxa"/>
            <w:vAlign w:val="center"/>
          </w:tcPr>
          <w:p w14:paraId="082ED0B5">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总量</w:t>
            </w:r>
          </w:p>
          <w:p w14:paraId="07095BD1">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控制</w:t>
            </w:r>
          </w:p>
          <w:p w14:paraId="0D140CEA">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指标</w:t>
            </w:r>
          </w:p>
        </w:tc>
        <w:tc>
          <w:tcPr>
            <w:tcW w:w="7909" w:type="dxa"/>
            <w:vAlign w:val="center"/>
          </w:tcPr>
          <w:p w14:paraId="1FF698B3">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根据项目工艺特征和排污特点，本项目产生废气主要为厂内运输车辆产生的运输扬尘和燃油废气，</w:t>
            </w:r>
            <w:r>
              <w:rPr>
                <w:rFonts w:hint="eastAsia" w:cs="Times New Roman"/>
                <w:color w:val="auto"/>
                <w:sz w:val="24"/>
                <w:lang w:val="en-US" w:eastAsia="zh-CN"/>
              </w:rPr>
              <w:t>产生量较小，不设总量控制指标。运营过程中废水主要为生活污水，化粪池收集后运至玉溪大红山矿业有限公司现有的生活污水处理站处理达《城市污水再生利用  城市杂用水水质》（GB/T18920-2020）表1中绿化、道路清扫标准限值要求后回用于矿山洒水降尘，不外排，也不设总量控制指标。</w:t>
            </w:r>
          </w:p>
          <w:p w14:paraId="4FBF990C">
            <w:pPr>
              <w:spacing w:line="360" w:lineRule="auto"/>
              <w:ind w:firstLine="480" w:firstLineChars="200"/>
              <w:jc w:val="left"/>
              <w:rPr>
                <w:rFonts w:hint="default" w:ascii="Times New Roman" w:hAnsi="Times New Roman" w:cs="Times New Roman"/>
                <w:color w:val="auto"/>
              </w:rPr>
            </w:pPr>
            <w:r>
              <w:rPr>
                <w:rFonts w:hint="eastAsia" w:cs="Times New Roman"/>
                <w:color w:val="auto"/>
                <w:sz w:val="24"/>
                <w:lang w:val="en-US" w:eastAsia="zh-CN"/>
              </w:rPr>
              <w:t>综上所述，</w:t>
            </w:r>
            <w:r>
              <w:rPr>
                <w:rFonts w:hint="default" w:ascii="Times New Roman" w:hAnsi="Times New Roman" w:cs="Times New Roman"/>
                <w:color w:val="auto"/>
                <w:sz w:val="24"/>
              </w:rPr>
              <w:t>本项目不</w:t>
            </w:r>
            <w:r>
              <w:rPr>
                <w:rFonts w:hint="eastAsia" w:cs="Times New Roman"/>
                <w:color w:val="auto"/>
                <w:sz w:val="24"/>
                <w:lang w:val="en-US" w:eastAsia="zh-CN"/>
              </w:rPr>
              <w:t>设置总量控制指标。</w:t>
            </w:r>
          </w:p>
        </w:tc>
      </w:tr>
    </w:tbl>
    <w:p w14:paraId="5696CC5E">
      <w:pPr>
        <w:pStyle w:val="32"/>
        <w:spacing w:before="0" w:beforeAutospacing="0" w:after="0" w:afterAutospacing="0" w:line="360" w:lineRule="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7" w:name="_Toc68870552"/>
      <w:bookmarkStart w:id="28" w:name="_Toc5241"/>
      <w:bookmarkStart w:id="29" w:name="_Toc70692547"/>
      <w:r>
        <w:rPr>
          <w:rFonts w:hint="default" w:ascii="Times New Roman" w:hAnsi="Times New Roman" w:eastAsia="黑体" w:cs="Times New Roman"/>
          <w:color w:val="auto"/>
          <w:sz w:val="28"/>
          <w:szCs w:val="28"/>
        </w:rPr>
        <w:t>四、主要环境影响和保护措施</w:t>
      </w:r>
      <w:bookmarkEnd w:id="27"/>
      <w:bookmarkEnd w:id="28"/>
      <w:bookmarkEnd w:id="29"/>
    </w:p>
    <w:tbl>
      <w:tblPr>
        <w:tblStyle w:val="36"/>
        <w:tblW w:w="52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355"/>
      </w:tblGrid>
      <w:tr w14:paraId="180F5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71" w:type="pct"/>
            <w:tcMar>
              <w:left w:w="28" w:type="dxa"/>
              <w:right w:w="28" w:type="dxa"/>
            </w:tcMar>
            <w:vAlign w:val="center"/>
          </w:tcPr>
          <w:p w14:paraId="722B19EC">
            <w:pPr>
              <w:pStyle w:val="32"/>
              <w:adjustRightInd w:val="0"/>
              <w:snapToGrid w:val="0"/>
              <w:spacing w:before="0" w:beforeAutospacing="0" w:after="0" w:afterAutospacing="0" w:line="360" w:lineRule="auto"/>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Cs w:val="24"/>
              </w:rPr>
              <w:t>施工期环境保护措施</w:t>
            </w:r>
          </w:p>
        </w:tc>
        <w:tc>
          <w:tcPr>
            <w:tcW w:w="4728" w:type="pct"/>
            <w:vAlign w:val="center"/>
          </w:tcPr>
          <w:p w14:paraId="4366AF2F">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1、施工废气处置措施</w:t>
            </w:r>
          </w:p>
          <w:p w14:paraId="555B655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施工过程中的空气污染主要源于两方面：一是车辆运输中产生的地表扬尘，以及施工建筑垃圾的堆放现场，都呈无组织排放；二是运输车辆、施工机械产生的汽车尾气，主要污染物为粉尘、CO、HC和NO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等。</w:t>
            </w:r>
          </w:p>
          <w:p w14:paraId="1B3F5F72">
            <w:pPr>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1）施工扬尘</w:t>
            </w:r>
          </w:p>
          <w:p w14:paraId="6C5DD45A">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1"/>
                <w:highlight w:val="none"/>
                <w:lang w:val="en-US" w:eastAsia="zh-CN"/>
              </w:rPr>
              <w:t>施工期废气主要为设施设备安装粉尘、焊接烟尘、设施设备车辆运输</w:t>
            </w:r>
            <w:r>
              <w:rPr>
                <w:rFonts w:hint="eastAsia" w:cs="Times New Roman"/>
                <w:color w:val="auto"/>
                <w:sz w:val="24"/>
                <w:szCs w:val="21"/>
                <w:highlight w:val="none"/>
                <w:lang w:val="en-US" w:eastAsia="zh-CN"/>
              </w:rPr>
              <w:t>扬尘</w:t>
            </w:r>
            <w:r>
              <w:rPr>
                <w:rFonts w:hint="default" w:ascii="Times New Roman" w:hAnsi="Times New Roman" w:eastAsia="宋体" w:cs="Times New Roman"/>
                <w:color w:val="auto"/>
                <w:sz w:val="24"/>
                <w:szCs w:val="21"/>
                <w:highlight w:val="none"/>
                <w:lang w:val="en-US" w:eastAsia="zh-CN"/>
              </w:rPr>
              <w:t>、运输车辆废气等，排放的主要污染物为CO、烟尘和烃类等。</w:t>
            </w:r>
          </w:p>
          <w:p w14:paraId="477FF8F0">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根据类比调查资料可知，施工场地扬尘浓度约为1.75～0.29mg/m</w:t>
            </w:r>
            <w:r>
              <w:rPr>
                <w:rFonts w:hint="eastAsia" w:cs="Times New Roman"/>
                <w:color w:val="auto"/>
                <w:sz w:val="24"/>
                <w:szCs w:val="21"/>
                <w:highlight w:val="none"/>
                <w:vertAlign w:val="superscript"/>
                <w:lang w:val="en-US" w:eastAsia="zh-CN"/>
              </w:rPr>
              <w:t>3</w:t>
            </w:r>
            <w:r>
              <w:rPr>
                <w:rFonts w:hint="default" w:ascii="Times New Roman" w:hAnsi="Times New Roman" w:eastAsia="宋体" w:cs="Times New Roman"/>
                <w:color w:val="auto"/>
                <w:sz w:val="24"/>
                <w:szCs w:val="21"/>
                <w:highlight w:val="none"/>
                <w:lang w:val="en-US" w:eastAsia="zh-CN"/>
              </w:rPr>
              <w:t>，在10m范围内浓度较大约1.75mg/m</w:t>
            </w:r>
            <w:r>
              <w:rPr>
                <w:rFonts w:hint="eastAsia" w:cs="Times New Roman"/>
                <w:color w:val="auto"/>
                <w:sz w:val="24"/>
                <w:szCs w:val="21"/>
                <w:highlight w:val="none"/>
                <w:vertAlign w:val="superscript"/>
                <w:lang w:val="en-US" w:eastAsia="zh-CN"/>
              </w:rPr>
              <w:t>3</w:t>
            </w:r>
            <w:r>
              <w:rPr>
                <w:rFonts w:hint="default" w:ascii="Times New Roman" w:hAnsi="Times New Roman" w:eastAsia="宋体" w:cs="Times New Roman"/>
                <w:color w:val="auto"/>
                <w:sz w:val="24"/>
                <w:szCs w:val="21"/>
                <w:highlight w:val="none"/>
                <w:lang w:val="en-US" w:eastAsia="zh-CN"/>
              </w:rPr>
              <w:t>，在200m处浓度约为0.29mg/m</w:t>
            </w:r>
            <w:r>
              <w:rPr>
                <w:rFonts w:hint="eastAsia" w:cs="Times New Roman"/>
                <w:color w:val="auto"/>
                <w:sz w:val="24"/>
                <w:szCs w:val="21"/>
                <w:highlight w:val="none"/>
                <w:vertAlign w:val="superscript"/>
                <w:lang w:val="en-US" w:eastAsia="zh-CN"/>
              </w:rPr>
              <w:t>3</w:t>
            </w:r>
            <w:r>
              <w:rPr>
                <w:rFonts w:hint="default" w:ascii="Times New Roman" w:hAnsi="Times New Roman" w:eastAsia="宋体" w:cs="Times New Roman"/>
                <w:color w:val="auto"/>
                <w:sz w:val="24"/>
                <w:szCs w:val="21"/>
                <w:highlight w:val="none"/>
                <w:lang w:val="en-US" w:eastAsia="zh-CN"/>
              </w:rPr>
              <w:t>；施工及运输车辆引起的扬尘对路边30m范围以内影响较大，路边的TSP浓度可达10mg/m</w:t>
            </w:r>
            <w:r>
              <w:rPr>
                <w:rFonts w:hint="eastAsia" w:ascii="Times New Roman" w:hAnsi="Times New Roman" w:eastAsia="宋体" w:cs="Times New Roman"/>
                <w:color w:val="auto"/>
                <w:sz w:val="24"/>
                <w:szCs w:val="21"/>
                <w:highlight w:val="none"/>
                <w:vertAlign w:val="superscript"/>
                <w:lang w:val="en-US" w:eastAsia="zh-CN"/>
              </w:rPr>
              <w:t>3</w:t>
            </w:r>
            <w:r>
              <w:rPr>
                <w:rFonts w:hint="default" w:ascii="Times New Roman" w:hAnsi="Times New Roman" w:eastAsia="宋体" w:cs="Times New Roman"/>
                <w:color w:val="auto"/>
                <w:sz w:val="24"/>
                <w:szCs w:val="21"/>
                <w:highlight w:val="none"/>
                <w:lang w:val="en-US" w:eastAsia="zh-CN"/>
              </w:rPr>
              <w:t>以上。施工期间扬尘影响范围较小，针对施工阶段的施工安排随机性较强等情况，本环评要求建设单位采取以下措施以减轻其影响：</w:t>
            </w:r>
          </w:p>
          <w:p w14:paraId="4D282BCB">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①项目施工时应加强管理、文明施工，建筑材料轻装轻卸；</w:t>
            </w:r>
          </w:p>
          <w:p w14:paraId="2D062EF7">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②合理安排工期，尽量使场地清理等对土层扰动大的作业期避开大风季节，以减轻扬尘影响；</w:t>
            </w:r>
          </w:p>
          <w:p w14:paraId="371F4C87">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③施工场地定期洒水，防止扬尘产生，有风日加大洒水量及洒水次数；</w:t>
            </w:r>
          </w:p>
          <w:p w14:paraId="4BB45FA7">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④运输车辆进入施工场地应低速或限速行驶，减少产尘量；施工场地内运输通道及时清扫、洒水，以减少汽车行驶扬尘；</w:t>
            </w:r>
          </w:p>
          <w:p w14:paraId="6F079B57">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⑤运输车辆经过村庄时要求减速慢行；</w:t>
            </w:r>
          </w:p>
          <w:p w14:paraId="550377C7">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⑥施工期间对大型运输车辆严格管理，要求车辆禁止超载，燃料采用合格产品，同时对车辆尾气进行监督管理，严格执行汽车排污监管制度。</w:t>
            </w:r>
          </w:p>
          <w:p w14:paraId="44321AC6">
            <w:pPr>
              <w:spacing w:line="360" w:lineRule="auto"/>
              <w:ind w:firstLine="482" w:firstLineChars="200"/>
              <w:jc w:val="left"/>
              <w:rPr>
                <w:rFonts w:hint="default" w:ascii="Times New Roman" w:hAnsi="Times New Roman" w:eastAsia="宋体" w:cs="Times New Roman"/>
                <w:b/>
                <w:bCs/>
                <w:color w:val="auto"/>
                <w:sz w:val="24"/>
                <w:szCs w:val="21"/>
                <w:highlight w:val="none"/>
                <w:lang w:val="en-US" w:eastAsia="zh-CN"/>
              </w:rPr>
            </w:pPr>
            <w:r>
              <w:rPr>
                <w:rFonts w:hint="eastAsia" w:ascii="Times New Roman" w:hAnsi="Times New Roman" w:eastAsia="宋体" w:cs="Times New Roman"/>
                <w:b/>
                <w:bCs/>
                <w:color w:val="auto"/>
                <w:sz w:val="24"/>
                <w:szCs w:val="21"/>
                <w:highlight w:val="none"/>
                <w:lang w:val="en-US" w:eastAsia="zh-CN"/>
              </w:rPr>
              <w:t>（</w:t>
            </w:r>
            <w:r>
              <w:rPr>
                <w:rFonts w:hint="default" w:ascii="Times New Roman" w:hAnsi="Times New Roman" w:eastAsia="宋体" w:cs="Times New Roman"/>
                <w:b/>
                <w:bCs/>
                <w:color w:val="auto"/>
                <w:sz w:val="24"/>
                <w:szCs w:val="21"/>
                <w:highlight w:val="none"/>
                <w:lang w:val="en-US" w:eastAsia="zh-CN"/>
              </w:rPr>
              <w:t>2）施工机械废气</w:t>
            </w:r>
          </w:p>
          <w:p w14:paraId="1A62BAFB">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施工机械废气主要来自各种施工燃油机械的燃油废气排放，运输车辆的尾气排放。施工机械及汽车大多以柴油作为燃料，燃料燃烧过程中会产生CO、SO</w:t>
            </w:r>
            <w:r>
              <w:rPr>
                <w:rFonts w:hint="default" w:ascii="Times New Roman" w:hAnsi="Times New Roman" w:eastAsia="宋体" w:cs="Times New Roman"/>
                <w:color w:val="auto"/>
                <w:sz w:val="24"/>
                <w:szCs w:val="21"/>
                <w:highlight w:val="none"/>
                <w:vertAlign w:val="subscript"/>
                <w:lang w:val="en-US" w:eastAsia="zh-CN"/>
              </w:rPr>
              <w:t>2</w:t>
            </w:r>
            <w:r>
              <w:rPr>
                <w:rFonts w:hint="default" w:ascii="Times New Roman" w:hAnsi="Times New Roman" w:eastAsia="宋体" w:cs="Times New Roman"/>
                <w:color w:val="auto"/>
                <w:sz w:val="24"/>
                <w:szCs w:val="21"/>
                <w:highlight w:val="none"/>
                <w:lang w:val="en-US" w:eastAsia="zh-CN"/>
              </w:rPr>
              <w:t>、烟尘和烃类等，产生量较小。各类施工机械流动性较强，且燃料用量不大，在易于扩散的气象条件下，该废气对周围环境的影响不大，且随着施工期的结束，污染也随即消失，对周围环境影响较小。通过限制车辆、设备怠速运转等措施后对该区域环境空气质量影响小。</w:t>
            </w:r>
          </w:p>
          <w:p w14:paraId="3359C16B">
            <w:pPr>
              <w:spacing w:line="360" w:lineRule="auto"/>
              <w:ind w:firstLine="480" w:firstLineChars="200"/>
              <w:jc w:val="left"/>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项目施工期采取上述措施后，可显著减轻施工活动对环境空气质量带来的不良影响。而且随着工程施工活动的结束，施工期对大气环境的影响也随之消失。采取上述措施的情况下，对周边大气环境影响较小，环保措施可行。</w:t>
            </w:r>
          </w:p>
          <w:p w14:paraId="1E9ABC09">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2、施工废水处置措施</w:t>
            </w:r>
          </w:p>
          <w:p w14:paraId="312C5E4B">
            <w:pPr>
              <w:autoSpaceDE w:val="0"/>
              <w:autoSpaceDN w:val="0"/>
              <w:spacing w:line="360" w:lineRule="auto"/>
              <w:ind w:firstLine="48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 w:val="24"/>
                <w:szCs w:val="21"/>
              </w:rPr>
              <w:t>施工废水主要包括施工人员生活污水、施工废水。</w:t>
            </w:r>
          </w:p>
          <w:p w14:paraId="0E2A1F7E">
            <w:pPr>
              <w:spacing w:line="360" w:lineRule="auto"/>
              <w:ind w:firstLine="482" w:firstLineChars="200"/>
              <w:rPr>
                <w:rFonts w:hint="default" w:ascii="Times New Roman" w:hAnsi="Times New Roman" w:cs="Times New Roman"/>
                <w:b/>
                <w:bCs/>
                <w:color w:val="auto"/>
                <w:sz w:val="24"/>
                <w:szCs w:val="21"/>
              </w:rPr>
            </w:pPr>
            <w:r>
              <w:rPr>
                <w:rFonts w:hint="default" w:ascii="Times New Roman" w:hAnsi="Times New Roman" w:cs="Times New Roman"/>
                <w:b/>
                <w:bCs/>
                <w:color w:val="auto"/>
                <w:sz w:val="24"/>
                <w:szCs w:val="21"/>
              </w:rPr>
              <w:t>（1）施工废水</w:t>
            </w:r>
          </w:p>
          <w:p w14:paraId="0106D9C0">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项目施工废水主要为</w:t>
            </w:r>
            <w:r>
              <w:rPr>
                <w:rFonts w:hint="default" w:ascii="Times New Roman" w:hAnsi="Times New Roman" w:cs="Times New Roman"/>
                <w:color w:val="auto"/>
                <w:kern w:val="0"/>
                <w:sz w:val="24"/>
                <w:szCs w:val="21"/>
              </w:rPr>
              <w:t>机械设备、工具清洗等用水，用水量约为0.3m</w:t>
            </w:r>
            <w:r>
              <w:rPr>
                <w:rFonts w:hint="default" w:ascii="Times New Roman" w:hAnsi="Times New Roman" w:cs="Times New Roman"/>
                <w:color w:val="auto"/>
                <w:kern w:val="0"/>
                <w:sz w:val="24"/>
                <w:szCs w:val="21"/>
                <w:vertAlign w:val="superscript"/>
              </w:rPr>
              <w:t>3</w:t>
            </w:r>
            <w:r>
              <w:rPr>
                <w:rFonts w:hint="default" w:ascii="Times New Roman" w:hAnsi="Times New Roman" w:cs="Times New Roman"/>
                <w:color w:val="auto"/>
                <w:kern w:val="0"/>
                <w:sz w:val="24"/>
                <w:szCs w:val="21"/>
              </w:rPr>
              <w:t>/d，废水产生量约为0.18m</w:t>
            </w:r>
            <w:r>
              <w:rPr>
                <w:rFonts w:hint="default" w:ascii="Times New Roman" w:hAnsi="Times New Roman" w:cs="Times New Roman"/>
                <w:color w:val="auto"/>
                <w:kern w:val="0"/>
                <w:sz w:val="24"/>
                <w:szCs w:val="21"/>
                <w:vertAlign w:val="superscript"/>
              </w:rPr>
              <w:t>3</w:t>
            </w:r>
            <w:r>
              <w:rPr>
                <w:rFonts w:hint="default" w:ascii="Times New Roman" w:hAnsi="Times New Roman" w:cs="Times New Roman"/>
                <w:color w:val="auto"/>
                <w:kern w:val="0"/>
                <w:sz w:val="24"/>
                <w:szCs w:val="21"/>
              </w:rPr>
              <w:t>/d。</w:t>
            </w:r>
            <w:r>
              <w:rPr>
                <w:rFonts w:hint="default" w:ascii="Times New Roman" w:hAnsi="Times New Roman" w:cs="Times New Roman"/>
                <w:color w:val="auto"/>
                <w:sz w:val="24"/>
                <w:szCs w:val="21"/>
              </w:rPr>
              <w:t>废水中的污染物主要为SS，为减少废水的肆意乱排，</w:t>
            </w:r>
            <w:r>
              <w:rPr>
                <w:rFonts w:hint="eastAsia" w:cs="Times New Roman"/>
                <w:color w:val="auto"/>
                <w:sz w:val="24"/>
                <w:szCs w:val="21"/>
                <w:lang w:val="en-US" w:eastAsia="zh-CN"/>
              </w:rPr>
              <w:t>本环评要求</w:t>
            </w:r>
            <w:r>
              <w:rPr>
                <w:rFonts w:hint="default" w:ascii="Times New Roman" w:hAnsi="Times New Roman" w:cs="Times New Roman"/>
                <w:color w:val="auto"/>
                <w:sz w:val="24"/>
                <w:szCs w:val="21"/>
              </w:rPr>
              <w:t>项目</w:t>
            </w:r>
            <w:r>
              <w:rPr>
                <w:rFonts w:hint="eastAsia" w:cs="Times New Roman"/>
                <w:color w:val="auto"/>
                <w:sz w:val="24"/>
                <w:szCs w:val="21"/>
                <w:lang w:val="en-US" w:eastAsia="zh-CN"/>
              </w:rPr>
              <w:t>在</w:t>
            </w:r>
            <w:r>
              <w:rPr>
                <w:rFonts w:hint="default" w:ascii="Times New Roman" w:hAnsi="Times New Roman" w:cs="Times New Roman"/>
                <w:color w:val="auto"/>
                <w:sz w:val="24"/>
                <w:szCs w:val="21"/>
              </w:rPr>
              <w:t>施工期间</w:t>
            </w:r>
            <w:r>
              <w:rPr>
                <w:rFonts w:hint="eastAsia" w:cs="Times New Roman"/>
                <w:color w:val="auto"/>
                <w:sz w:val="24"/>
                <w:szCs w:val="21"/>
                <w:lang w:val="en-US" w:eastAsia="zh-CN"/>
              </w:rPr>
              <w:t>应</w:t>
            </w:r>
            <w:r>
              <w:rPr>
                <w:rFonts w:hint="default" w:ascii="Times New Roman" w:hAnsi="Times New Roman" w:cs="Times New Roman"/>
                <w:color w:val="auto"/>
                <w:sz w:val="24"/>
                <w:szCs w:val="21"/>
              </w:rPr>
              <w:t>建设1座0.</w:t>
            </w:r>
            <w:r>
              <w:rPr>
                <w:rFonts w:hint="eastAsia" w:cs="Times New Roman"/>
                <w:color w:val="auto"/>
                <w:sz w:val="24"/>
                <w:szCs w:val="21"/>
                <w:lang w:val="en-US" w:eastAsia="zh-CN"/>
              </w:rPr>
              <w:t>3</w:t>
            </w:r>
            <w:r>
              <w:rPr>
                <w:rFonts w:hint="default" w:ascii="Times New Roman" w:hAnsi="Times New Roman" w:cs="Times New Roman"/>
                <w:color w:val="auto"/>
                <w:kern w:val="0"/>
                <w:sz w:val="24"/>
                <w:szCs w:val="21"/>
              </w:rPr>
              <w:t>m</w:t>
            </w:r>
            <w:r>
              <w:rPr>
                <w:rFonts w:hint="default" w:ascii="Times New Roman" w:hAnsi="Times New Roman" w:cs="Times New Roman"/>
                <w:color w:val="auto"/>
                <w:kern w:val="0"/>
                <w:sz w:val="24"/>
                <w:szCs w:val="21"/>
                <w:vertAlign w:val="superscript"/>
              </w:rPr>
              <w:t>3</w:t>
            </w:r>
            <w:r>
              <w:rPr>
                <w:rFonts w:hint="default" w:ascii="Times New Roman" w:hAnsi="Times New Roman" w:cs="Times New Roman"/>
                <w:color w:val="auto"/>
                <w:sz w:val="24"/>
                <w:szCs w:val="21"/>
              </w:rPr>
              <w:t>的临时沉淀池，废水经沉淀处理后用于场地洒水降尘，不外排。</w:t>
            </w:r>
          </w:p>
          <w:p w14:paraId="7EDC5E55">
            <w:pPr>
              <w:spacing w:line="360" w:lineRule="auto"/>
              <w:ind w:firstLine="482" w:firstLineChars="200"/>
              <w:rPr>
                <w:rFonts w:hint="default" w:ascii="Times New Roman" w:hAnsi="Times New Roman" w:cs="Times New Roman"/>
                <w:b/>
                <w:bCs/>
                <w:color w:val="auto"/>
                <w:sz w:val="24"/>
                <w:szCs w:val="21"/>
              </w:rPr>
            </w:pPr>
            <w:r>
              <w:rPr>
                <w:rFonts w:hint="default" w:ascii="Times New Roman" w:hAnsi="Times New Roman" w:cs="Times New Roman"/>
                <w:b/>
                <w:bCs/>
                <w:color w:val="auto"/>
                <w:sz w:val="24"/>
                <w:szCs w:val="21"/>
              </w:rPr>
              <w:t>（2）施工</w:t>
            </w:r>
            <w:r>
              <w:rPr>
                <w:rFonts w:hint="eastAsia" w:cs="Times New Roman"/>
                <w:b/>
                <w:bCs/>
                <w:color w:val="auto"/>
                <w:sz w:val="24"/>
                <w:szCs w:val="21"/>
                <w:lang w:val="en-US" w:eastAsia="zh-CN"/>
              </w:rPr>
              <w:t>人员</w:t>
            </w:r>
            <w:r>
              <w:rPr>
                <w:rFonts w:hint="default" w:ascii="Times New Roman" w:hAnsi="Times New Roman" w:cs="Times New Roman"/>
                <w:b/>
                <w:bCs/>
                <w:color w:val="auto"/>
                <w:sz w:val="24"/>
                <w:szCs w:val="21"/>
              </w:rPr>
              <w:t>生活污水</w:t>
            </w:r>
          </w:p>
          <w:p w14:paraId="671BDCF0">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项目</w:t>
            </w:r>
            <w:r>
              <w:rPr>
                <w:rFonts w:hint="eastAsia" w:cs="Times New Roman"/>
                <w:color w:val="auto"/>
                <w:sz w:val="24"/>
                <w:szCs w:val="21"/>
                <w:lang w:val="en-US" w:eastAsia="zh-CN"/>
              </w:rPr>
              <w:t>预计</w:t>
            </w:r>
            <w:r>
              <w:rPr>
                <w:rFonts w:hint="default" w:ascii="Times New Roman" w:hAnsi="Times New Roman" w:cs="Times New Roman"/>
                <w:color w:val="auto"/>
                <w:sz w:val="24"/>
                <w:szCs w:val="21"/>
              </w:rPr>
              <w:t>施工期高峰人员</w:t>
            </w:r>
            <w:r>
              <w:rPr>
                <w:rFonts w:hint="eastAsia" w:cs="Times New Roman"/>
                <w:color w:val="auto"/>
                <w:sz w:val="24"/>
                <w:szCs w:val="21"/>
                <w:lang w:val="en-US" w:eastAsia="zh-CN"/>
              </w:rPr>
              <w:t>8</w:t>
            </w:r>
            <w:r>
              <w:rPr>
                <w:rFonts w:hint="default" w:ascii="Times New Roman" w:hAnsi="Times New Roman" w:cs="Times New Roman"/>
                <w:color w:val="auto"/>
                <w:sz w:val="24"/>
                <w:szCs w:val="21"/>
              </w:rPr>
              <w:t>人，均为周边村民，施工期生活用水量约为0.</w:t>
            </w:r>
            <w:r>
              <w:rPr>
                <w:rFonts w:hint="eastAsia" w:cs="Times New Roman"/>
                <w:color w:val="auto"/>
                <w:sz w:val="24"/>
                <w:szCs w:val="21"/>
                <w:lang w:val="en-US" w:eastAsia="zh-CN"/>
              </w:rPr>
              <w:t>32</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/d，生活污水产生量为0.</w:t>
            </w:r>
            <w:r>
              <w:rPr>
                <w:rFonts w:hint="eastAsia" w:cs="Times New Roman"/>
                <w:color w:val="auto"/>
                <w:sz w:val="24"/>
                <w:szCs w:val="21"/>
                <w:lang w:val="en-US" w:eastAsia="zh-CN"/>
              </w:rPr>
              <w:t>26</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/d，施工期间</w:t>
            </w:r>
            <w:r>
              <w:rPr>
                <w:rFonts w:hint="eastAsia" w:cs="Times New Roman"/>
                <w:color w:val="auto"/>
                <w:sz w:val="24"/>
                <w:szCs w:val="21"/>
                <w:lang w:val="en-US" w:eastAsia="zh-CN"/>
              </w:rPr>
              <w:t>施工人员洗手、上厕所等均依托西面1</w:t>
            </w:r>
            <w:r>
              <w:rPr>
                <w:rFonts w:hint="eastAsia" w:cs="Times New Roman"/>
                <w:color w:val="auto"/>
                <w:sz w:val="24"/>
                <w:szCs w:val="21"/>
                <w:highlight w:val="none"/>
                <w:lang w:val="en-US" w:eastAsia="zh-CN"/>
              </w:rPr>
              <w:t>85m处的矿山通风工程制备站</w:t>
            </w:r>
            <w:r>
              <w:rPr>
                <w:rFonts w:hint="default" w:ascii="Times New Roman" w:hAnsi="Times New Roman" w:cs="Times New Roman"/>
                <w:color w:val="auto"/>
                <w:sz w:val="24"/>
                <w:szCs w:val="21"/>
                <w:highlight w:val="none"/>
              </w:rPr>
              <w:t>，</w:t>
            </w:r>
            <w:r>
              <w:rPr>
                <w:rFonts w:hint="eastAsia" w:cs="Times New Roman"/>
                <w:color w:val="auto"/>
                <w:sz w:val="24"/>
                <w:szCs w:val="21"/>
                <w:highlight w:val="none"/>
                <w:lang w:val="en-US" w:eastAsia="zh-CN"/>
              </w:rPr>
              <w:t>根据调查，该制备站建设有一个容积为20m</w:t>
            </w:r>
            <w:r>
              <w:rPr>
                <w:rFonts w:hint="eastAsia" w:cs="Times New Roman"/>
                <w:color w:val="auto"/>
                <w:sz w:val="24"/>
                <w:szCs w:val="21"/>
                <w:highlight w:val="none"/>
                <w:vertAlign w:val="superscript"/>
                <w:lang w:val="en-US" w:eastAsia="zh-CN"/>
              </w:rPr>
              <w:t>3</w:t>
            </w:r>
            <w:r>
              <w:rPr>
                <w:rFonts w:hint="eastAsia" w:cs="Times New Roman"/>
                <w:color w:val="auto"/>
                <w:sz w:val="24"/>
                <w:szCs w:val="21"/>
                <w:highlight w:val="none"/>
                <w:lang w:val="en-US" w:eastAsia="zh-CN"/>
              </w:rPr>
              <w:t>的化粪池，生活污水经化粪池处理后清掏用作充填站菜地浇灌。而本项目生活污水产生量仅为</w:t>
            </w:r>
            <w:r>
              <w:rPr>
                <w:rFonts w:hint="default" w:ascii="Times New Roman" w:hAnsi="Times New Roman" w:cs="Times New Roman"/>
                <w:color w:val="auto"/>
                <w:sz w:val="24"/>
                <w:szCs w:val="21"/>
                <w:highlight w:val="none"/>
              </w:rPr>
              <w:t>0.</w:t>
            </w:r>
            <w:r>
              <w:rPr>
                <w:rFonts w:hint="eastAsia" w:cs="Times New Roman"/>
                <w:color w:val="auto"/>
                <w:sz w:val="24"/>
                <w:szCs w:val="21"/>
                <w:highlight w:val="none"/>
                <w:lang w:val="en-US" w:eastAsia="zh-CN"/>
              </w:rPr>
              <w:t>26</w:t>
            </w:r>
            <w:r>
              <w:rPr>
                <w:rFonts w:hint="default" w:ascii="Times New Roman" w:hAnsi="Times New Roman" w:cs="Times New Roman"/>
                <w:color w:val="auto"/>
                <w:sz w:val="24"/>
                <w:szCs w:val="21"/>
                <w:highlight w:val="none"/>
              </w:rPr>
              <w:t>m</w:t>
            </w:r>
            <w:r>
              <w:rPr>
                <w:rFonts w:hint="default" w:ascii="Times New Roman" w:hAnsi="Times New Roman" w:cs="Times New Roman"/>
                <w:color w:val="auto"/>
                <w:sz w:val="24"/>
                <w:szCs w:val="21"/>
                <w:highlight w:val="none"/>
                <w:vertAlign w:val="superscript"/>
              </w:rPr>
              <w:t>3</w:t>
            </w:r>
            <w:r>
              <w:rPr>
                <w:rFonts w:hint="default" w:ascii="Times New Roman" w:hAnsi="Times New Roman" w:cs="Times New Roman"/>
                <w:color w:val="auto"/>
                <w:sz w:val="24"/>
                <w:szCs w:val="21"/>
                <w:highlight w:val="none"/>
              </w:rPr>
              <w:t>/d</w:t>
            </w:r>
            <w:r>
              <w:rPr>
                <w:rFonts w:hint="eastAsia" w:ascii="Times New Roman" w:hAnsi="Times New Roman" w:cs="Times New Roman"/>
                <w:color w:val="auto"/>
                <w:sz w:val="24"/>
                <w:szCs w:val="21"/>
                <w:highlight w:val="none"/>
                <w:lang w:eastAsia="zh-CN"/>
              </w:rPr>
              <w:t>，</w:t>
            </w:r>
            <w:r>
              <w:rPr>
                <w:rFonts w:hint="eastAsia" w:ascii="Times New Roman" w:hAnsi="Times New Roman" w:cs="Times New Roman"/>
                <w:color w:val="auto"/>
                <w:sz w:val="24"/>
                <w:szCs w:val="21"/>
                <w:highlight w:val="none"/>
                <w:lang w:val="en-US" w:eastAsia="zh-CN"/>
              </w:rPr>
              <w:t>远小于化粪池的容积，因此依托具有可行性</w:t>
            </w:r>
            <w:r>
              <w:rPr>
                <w:rFonts w:hint="default" w:ascii="Times New Roman" w:hAnsi="Times New Roman" w:cs="Times New Roman"/>
                <w:color w:val="auto"/>
                <w:sz w:val="24"/>
                <w:szCs w:val="21"/>
                <w:highlight w:val="none"/>
              </w:rPr>
              <w:t>。</w:t>
            </w:r>
          </w:p>
          <w:p w14:paraId="32F7C485">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3、施工噪声处置措施</w:t>
            </w:r>
          </w:p>
          <w:p w14:paraId="2056B583">
            <w:pPr>
              <w:spacing w:line="360" w:lineRule="auto"/>
              <w:ind w:firstLine="480"/>
              <w:rPr>
                <w:color w:val="auto"/>
                <w:sz w:val="24"/>
              </w:rPr>
            </w:pPr>
            <w:r>
              <w:rPr>
                <w:rFonts w:hint="eastAsia"/>
                <w:color w:val="auto"/>
                <w:sz w:val="24"/>
              </w:rPr>
              <w:t>项目施工期噪声主要来源于各种施工机械等施工活动。施工机械主要为小型施工设备，其特点是间歇性或阵发性的，并具备流动性噪声较高，产生的噪声在</w:t>
            </w:r>
            <w:r>
              <w:rPr>
                <w:color w:val="auto"/>
                <w:sz w:val="24"/>
              </w:rPr>
              <w:t>7</w:t>
            </w:r>
            <w:r>
              <w:rPr>
                <w:rFonts w:hint="eastAsia"/>
                <w:color w:val="auto"/>
                <w:sz w:val="24"/>
              </w:rPr>
              <w:t>0</w:t>
            </w:r>
            <w:r>
              <w:rPr>
                <w:color w:val="auto"/>
                <w:sz w:val="24"/>
              </w:rPr>
              <w:t>dB</w:t>
            </w:r>
            <w:r>
              <w:rPr>
                <w:rFonts w:hint="eastAsia"/>
                <w:color w:val="auto"/>
                <w:sz w:val="24"/>
              </w:rPr>
              <w:t>~80</w:t>
            </w:r>
            <w:r>
              <w:rPr>
                <w:color w:val="auto"/>
                <w:sz w:val="24"/>
              </w:rPr>
              <w:t>dB</w:t>
            </w:r>
            <w:r>
              <w:rPr>
                <w:rFonts w:hint="eastAsia"/>
                <w:color w:val="auto"/>
                <w:sz w:val="24"/>
              </w:rPr>
              <w:t>（</w:t>
            </w:r>
            <w:r>
              <w:rPr>
                <w:color w:val="auto"/>
                <w:sz w:val="24"/>
              </w:rPr>
              <w:t>A</w:t>
            </w:r>
            <w:r>
              <w:rPr>
                <w:rFonts w:hint="eastAsia"/>
                <w:color w:val="auto"/>
                <w:sz w:val="24"/>
              </w:rPr>
              <w:t>）之间。本项目施工量较小，对项目区四周环境产生的影响较小。</w:t>
            </w:r>
          </w:p>
          <w:p w14:paraId="18432045">
            <w:pPr>
              <w:spacing w:line="360" w:lineRule="auto"/>
              <w:ind w:firstLine="480"/>
              <w:rPr>
                <w:rFonts w:ascii="Times New Roman" w:hAnsi="Times New Roman" w:eastAsia="宋体" w:cs="Times New Roman"/>
                <w:color w:val="auto"/>
                <w:sz w:val="24"/>
              </w:rPr>
            </w:pPr>
            <w:r>
              <w:rPr>
                <w:color w:val="auto"/>
                <w:sz w:val="24"/>
              </w:rPr>
              <w:t>为了进一步降低施工期</w:t>
            </w:r>
            <w:r>
              <w:rPr>
                <w:rFonts w:hint="eastAsia"/>
                <w:color w:val="auto"/>
                <w:sz w:val="24"/>
              </w:rPr>
              <w:t>间</w:t>
            </w:r>
            <w:r>
              <w:rPr>
                <w:color w:val="auto"/>
                <w:sz w:val="24"/>
              </w:rPr>
              <w:t>施工噪声对</w:t>
            </w:r>
            <w:r>
              <w:rPr>
                <w:rFonts w:hint="eastAsia"/>
                <w:color w:val="auto"/>
                <w:sz w:val="24"/>
              </w:rPr>
              <w:t>周边村庄</w:t>
            </w:r>
            <w:r>
              <w:rPr>
                <w:color w:val="auto"/>
                <w:sz w:val="24"/>
              </w:rPr>
              <w:t>的影响，本环评要求项目采取以</w:t>
            </w:r>
            <w:r>
              <w:rPr>
                <w:rFonts w:ascii="Times New Roman" w:hAnsi="Times New Roman" w:eastAsia="宋体" w:cs="Times New Roman"/>
                <w:color w:val="auto"/>
                <w:sz w:val="24"/>
              </w:rPr>
              <w:t>下噪声控制措施：</w:t>
            </w:r>
          </w:p>
          <w:p w14:paraId="623258B7">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①禁止在夜间</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22时至次日6时）进行建筑施工作业；</w:t>
            </w:r>
          </w:p>
          <w:p w14:paraId="71C014FB">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②优先选用低噪声机械进行作业；</w:t>
            </w:r>
          </w:p>
          <w:p w14:paraId="398AAC87">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③加强对施工人员的管理，做到文明施工，避免人为噪声的产生；做到文明施工，避免因施工噪声产生纠纷；</w:t>
            </w:r>
          </w:p>
          <w:p w14:paraId="35B0ED7B">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④合理安排施工工序及时间，避免在同一时间集中使用高噪设备，把施工机械噪声影响减至最低。</w:t>
            </w:r>
          </w:p>
          <w:p w14:paraId="69867880">
            <w:pPr>
              <w:spacing w:line="360" w:lineRule="auto"/>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⑤对于运输车辆噪声，应限制车速，减少夜间运输量，在靠近居民区附近时应限速，对运输车辆定期维修保养，减少或杜绝鸣笛，合理安排运输路线。</w:t>
            </w:r>
          </w:p>
          <w:p w14:paraId="03B6AC98">
            <w:pPr>
              <w:spacing w:line="360" w:lineRule="auto"/>
              <w:ind w:firstLine="480"/>
              <w:rPr>
                <w:color w:val="auto"/>
                <w:sz w:val="24"/>
              </w:rPr>
            </w:pPr>
            <w:r>
              <w:rPr>
                <w:rFonts w:hint="eastAsia" w:ascii="Times New Roman" w:hAnsi="Times New Roman" w:eastAsia="宋体" w:cs="Times New Roman"/>
                <w:color w:val="auto"/>
                <w:sz w:val="24"/>
              </w:rPr>
              <w:t>通过以上措施的实施，可以最大限度的减少施工机械噪声对环境的影响。</w:t>
            </w:r>
            <w:r>
              <w:rPr>
                <w:rFonts w:hint="eastAsia"/>
                <w:color w:val="auto"/>
                <w:sz w:val="24"/>
              </w:rPr>
              <w:t>施工期噪声影响为短时影响，随施工结束而结束</w:t>
            </w:r>
            <w:r>
              <w:rPr>
                <w:color w:val="auto"/>
                <w:sz w:val="24"/>
              </w:rPr>
              <w:t>。</w:t>
            </w:r>
          </w:p>
          <w:p w14:paraId="7FA07F6F">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4、施工固体废弃物处置措施</w:t>
            </w:r>
          </w:p>
          <w:p w14:paraId="4B5FFCE1">
            <w:pPr>
              <w:spacing w:line="360" w:lineRule="auto"/>
              <w:ind w:firstLine="480" w:firstLineChars="200"/>
              <w:rPr>
                <w:color w:val="auto"/>
                <w:sz w:val="24"/>
              </w:rPr>
            </w:pPr>
            <w:r>
              <w:rPr>
                <w:color w:val="auto"/>
                <w:sz w:val="24"/>
              </w:rPr>
              <w:t>施工期主要固体废物为建筑垃圾、开挖土石方及施工人员的生活垃圾。</w:t>
            </w:r>
          </w:p>
          <w:p w14:paraId="100CD272">
            <w:pPr>
              <w:spacing w:line="360" w:lineRule="auto"/>
              <w:ind w:firstLine="482" w:firstLineChars="200"/>
              <w:rPr>
                <w:b/>
                <w:bCs/>
                <w:color w:val="auto"/>
                <w:sz w:val="24"/>
              </w:rPr>
            </w:pPr>
            <w:r>
              <w:rPr>
                <w:rFonts w:hint="eastAsia"/>
                <w:b/>
                <w:bCs/>
                <w:color w:val="auto"/>
                <w:sz w:val="24"/>
              </w:rPr>
              <w:t>（1）</w:t>
            </w:r>
            <w:r>
              <w:rPr>
                <w:b/>
                <w:bCs/>
                <w:color w:val="auto"/>
                <w:sz w:val="24"/>
              </w:rPr>
              <w:t>土石方</w:t>
            </w:r>
          </w:p>
          <w:p w14:paraId="6FBE6DA1">
            <w:pPr>
              <w:spacing w:line="360" w:lineRule="auto"/>
              <w:ind w:firstLine="480" w:firstLineChars="200"/>
              <w:rPr>
                <w:rFonts w:hint="eastAsia"/>
                <w:color w:val="auto"/>
                <w:sz w:val="24"/>
                <w:szCs w:val="20"/>
                <w:lang w:val="en-US" w:eastAsia="zh-CN"/>
              </w:rPr>
            </w:pPr>
            <w:r>
              <w:rPr>
                <w:rFonts w:hint="eastAsia"/>
                <w:color w:val="auto"/>
                <w:sz w:val="24"/>
                <w:szCs w:val="20"/>
              </w:rPr>
              <w:t>项目</w:t>
            </w:r>
            <w:r>
              <w:rPr>
                <w:color w:val="auto"/>
                <w:sz w:val="24"/>
                <w:szCs w:val="20"/>
              </w:rPr>
              <w:t>场地平整过程中会产生一定量的土石方，</w:t>
            </w:r>
            <w:r>
              <w:rPr>
                <w:rFonts w:hint="eastAsia"/>
                <w:color w:val="auto"/>
                <w:sz w:val="24"/>
                <w:szCs w:val="20"/>
                <w:lang w:val="en-US" w:eastAsia="zh-CN"/>
              </w:rPr>
              <w:t>根据云南习禹工程咨询有限公司编制的《玉溪大红山矿业民用爆炸物品储存库建设项目水土保持方案报告表》：项目施工过程土石方开挖回填总量为0.60万m</w:t>
            </w:r>
            <w:r>
              <w:rPr>
                <w:rFonts w:hint="eastAsia"/>
                <w:color w:val="auto"/>
                <w:sz w:val="24"/>
                <w:szCs w:val="20"/>
                <w:vertAlign w:val="superscript"/>
                <w:lang w:val="en-US" w:eastAsia="zh-CN"/>
              </w:rPr>
              <w:t>3</w:t>
            </w:r>
            <w:r>
              <w:rPr>
                <w:rFonts w:hint="eastAsia"/>
                <w:color w:val="auto"/>
                <w:sz w:val="24"/>
                <w:szCs w:val="20"/>
                <w:lang w:val="en-US" w:eastAsia="zh-CN"/>
              </w:rPr>
              <w:t>，其中开挖土石方0.30万m</w:t>
            </w:r>
            <w:r>
              <w:rPr>
                <w:rFonts w:hint="eastAsia"/>
                <w:color w:val="auto"/>
                <w:sz w:val="24"/>
                <w:szCs w:val="20"/>
                <w:vertAlign w:val="superscript"/>
                <w:lang w:val="en-US" w:eastAsia="zh-CN"/>
              </w:rPr>
              <w:t>3</w:t>
            </w:r>
            <w:r>
              <w:rPr>
                <w:rFonts w:hint="eastAsia"/>
                <w:color w:val="auto"/>
                <w:sz w:val="24"/>
                <w:szCs w:val="20"/>
                <w:lang w:val="en-US" w:eastAsia="zh-CN"/>
              </w:rPr>
              <w:t>（表土剥离0.09万m</w:t>
            </w:r>
            <w:r>
              <w:rPr>
                <w:rFonts w:hint="eastAsia"/>
                <w:color w:val="auto"/>
                <w:sz w:val="24"/>
                <w:szCs w:val="20"/>
                <w:vertAlign w:val="superscript"/>
                <w:lang w:val="en-US" w:eastAsia="zh-CN"/>
              </w:rPr>
              <w:t>3</w:t>
            </w:r>
            <w:r>
              <w:rPr>
                <w:rFonts w:hint="eastAsia"/>
                <w:color w:val="auto"/>
                <w:sz w:val="24"/>
                <w:szCs w:val="20"/>
                <w:lang w:val="en-US" w:eastAsia="zh-CN"/>
              </w:rPr>
              <w:t>，一般土石方0.19万m</w:t>
            </w:r>
            <w:r>
              <w:rPr>
                <w:rFonts w:hint="eastAsia"/>
                <w:color w:val="auto"/>
                <w:sz w:val="24"/>
                <w:szCs w:val="20"/>
                <w:vertAlign w:val="superscript"/>
                <w:lang w:val="en-US" w:eastAsia="zh-CN"/>
              </w:rPr>
              <w:t>3</w:t>
            </w:r>
            <w:r>
              <w:rPr>
                <w:rFonts w:hint="eastAsia"/>
                <w:color w:val="auto"/>
                <w:sz w:val="24"/>
                <w:szCs w:val="20"/>
                <w:lang w:val="en-US" w:eastAsia="zh-CN"/>
              </w:rPr>
              <w:t>，建筑垃圾0.02万m</w:t>
            </w:r>
            <w:r>
              <w:rPr>
                <w:rFonts w:hint="eastAsia"/>
                <w:color w:val="auto"/>
                <w:sz w:val="24"/>
                <w:szCs w:val="20"/>
                <w:vertAlign w:val="superscript"/>
                <w:lang w:val="en-US" w:eastAsia="zh-CN"/>
              </w:rPr>
              <w:t>3</w:t>
            </w:r>
            <w:r>
              <w:rPr>
                <w:rFonts w:hint="eastAsia"/>
                <w:color w:val="auto"/>
                <w:sz w:val="24"/>
                <w:szCs w:val="20"/>
                <w:lang w:val="en-US" w:eastAsia="zh-CN"/>
              </w:rPr>
              <w:t>），回填总量为0.30万m</w:t>
            </w:r>
            <w:r>
              <w:rPr>
                <w:rFonts w:hint="eastAsia"/>
                <w:color w:val="auto"/>
                <w:sz w:val="24"/>
                <w:szCs w:val="20"/>
                <w:vertAlign w:val="superscript"/>
                <w:lang w:val="en-US" w:eastAsia="zh-CN"/>
              </w:rPr>
              <w:t>3</w:t>
            </w:r>
            <w:r>
              <w:rPr>
                <w:rFonts w:hint="eastAsia"/>
                <w:color w:val="auto"/>
                <w:sz w:val="24"/>
                <w:szCs w:val="20"/>
                <w:lang w:val="en-US" w:eastAsia="zh-CN"/>
              </w:rPr>
              <w:t>（回覆表土0.09万m</w:t>
            </w:r>
            <w:r>
              <w:rPr>
                <w:rFonts w:hint="eastAsia"/>
                <w:color w:val="auto"/>
                <w:sz w:val="24"/>
                <w:szCs w:val="20"/>
                <w:vertAlign w:val="superscript"/>
                <w:lang w:val="en-US" w:eastAsia="zh-CN"/>
              </w:rPr>
              <w:t>3</w:t>
            </w:r>
            <w:r>
              <w:rPr>
                <w:rFonts w:hint="eastAsia"/>
                <w:color w:val="auto"/>
                <w:sz w:val="24"/>
                <w:szCs w:val="20"/>
                <w:lang w:val="en-US" w:eastAsia="zh-CN"/>
              </w:rPr>
              <w:t>，回填土石方0.19万m</w:t>
            </w:r>
            <w:r>
              <w:rPr>
                <w:rFonts w:hint="eastAsia"/>
                <w:color w:val="auto"/>
                <w:sz w:val="24"/>
                <w:szCs w:val="20"/>
                <w:vertAlign w:val="superscript"/>
                <w:lang w:val="en-US" w:eastAsia="zh-CN"/>
              </w:rPr>
              <w:t>3</w:t>
            </w:r>
            <w:r>
              <w:rPr>
                <w:rFonts w:hint="eastAsia"/>
                <w:color w:val="auto"/>
                <w:sz w:val="24"/>
                <w:szCs w:val="20"/>
                <w:lang w:val="en-US" w:eastAsia="zh-CN"/>
              </w:rPr>
              <w:t>，回填建筑垃圾0.02万m</w:t>
            </w:r>
            <w:r>
              <w:rPr>
                <w:rFonts w:hint="eastAsia"/>
                <w:color w:val="auto"/>
                <w:sz w:val="24"/>
                <w:szCs w:val="20"/>
                <w:vertAlign w:val="superscript"/>
                <w:lang w:val="en-US" w:eastAsia="zh-CN"/>
              </w:rPr>
              <w:t>3</w:t>
            </w:r>
            <w:r>
              <w:rPr>
                <w:rFonts w:hint="eastAsia"/>
                <w:color w:val="auto"/>
                <w:sz w:val="24"/>
                <w:szCs w:val="20"/>
                <w:lang w:val="en-US" w:eastAsia="zh-CN"/>
              </w:rPr>
              <w:t>），项目无弃渣产生。以上土石方均为自然方。</w:t>
            </w:r>
          </w:p>
          <w:p w14:paraId="05F0BE81">
            <w:pPr>
              <w:pStyle w:val="115"/>
              <w:spacing w:line="360" w:lineRule="auto"/>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rPr>
              <w:t>表</w:t>
            </w:r>
            <w:r>
              <w:rPr>
                <w:rFonts w:hint="eastAsia" w:ascii="Times New Roman" w:hAnsi="Times New Roman" w:cs="Times New Roman"/>
                <w:b w:val="0"/>
                <w:bCs w:val="0"/>
                <w:color w:val="auto"/>
                <w:sz w:val="21"/>
                <w:szCs w:val="21"/>
                <w:lang w:val="en-US" w:eastAsia="zh-CN"/>
              </w:rPr>
              <w:t>4-1</w:t>
            </w:r>
            <w:r>
              <w:rPr>
                <w:rFonts w:hint="default" w:ascii="Times New Roman" w:hAnsi="Times New Roman" w:cs="Times New Roman"/>
                <w:b w:val="0"/>
                <w:bCs w:val="0"/>
                <w:color w:val="auto"/>
                <w:sz w:val="21"/>
                <w:szCs w:val="21"/>
              </w:rPr>
              <w:t xml:space="preserve">   土石方平衡及流向表   单位：万</w:t>
            </w:r>
            <w:r>
              <w:rPr>
                <w:rFonts w:hint="default" w:ascii="Times New Roman" w:hAnsi="Times New Roman" w:cs="Times New Roman"/>
                <w:b w:val="0"/>
                <w:bCs w:val="0"/>
                <w:color w:val="auto"/>
                <w:sz w:val="21"/>
                <w:szCs w:val="21"/>
                <w:lang w:eastAsia="zh-CN"/>
              </w:rPr>
              <w:t>m</w:t>
            </w:r>
            <w:r>
              <w:rPr>
                <w:rFonts w:hint="default" w:ascii="Times New Roman" w:hAnsi="Times New Roman" w:cs="Times New Roman"/>
                <w:b w:val="0"/>
                <w:bCs w:val="0"/>
                <w:color w:val="auto"/>
                <w:sz w:val="21"/>
                <w:szCs w:val="21"/>
                <w:vertAlign w:val="superscript"/>
                <w:lang w:eastAsia="zh-CN"/>
              </w:rPr>
              <w:t>3</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8"/>
              <w:gridCol w:w="908"/>
              <w:gridCol w:w="669"/>
              <w:gridCol w:w="605"/>
              <w:gridCol w:w="605"/>
              <w:gridCol w:w="1131"/>
              <w:gridCol w:w="652"/>
              <w:gridCol w:w="733"/>
              <w:gridCol w:w="540"/>
              <w:gridCol w:w="540"/>
              <w:gridCol w:w="540"/>
              <w:gridCol w:w="540"/>
            </w:tblGrid>
            <w:tr w14:paraId="68EE0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restart"/>
                  <w:tcBorders>
                    <w:tl2br w:val="nil"/>
                    <w:tr2bl w:val="nil"/>
                  </w:tcBorders>
                  <w:shd w:val="clear" w:color="auto" w:fill="auto"/>
                  <w:noWrap/>
                  <w:vAlign w:val="center"/>
                </w:tcPr>
                <w:p w14:paraId="3A03DC4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项目分区</w:t>
                  </w:r>
                </w:p>
              </w:tc>
              <w:tc>
                <w:tcPr>
                  <w:tcW w:w="557" w:type="pct"/>
                  <w:vMerge w:val="restart"/>
                  <w:tcBorders>
                    <w:tl2br w:val="nil"/>
                    <w:tr2bl w:val="nil"/>
                  </w:tcBorders>
                  <w:shd w:val="clear" w:color="auto" w:fill="auto"/>
                  <w:noWrap/>
                  <w:vAlign w:val="center"/>
                </w:tcPr>
                <w:p w14:paraId="59A6282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分类</w:t>
                  </w:r>
                </w:p>
              </w:tc>
              <w:tc>
                <w:tcPr>
                  <w:tcW w:w="410" w:type="pct"/>
                  <w:vMerge w:val="restart"/>
                  <w:tcBorders>
                    <w:tl2br w:val="nil"/>
                    <w:tr2bl w:val="nil"/>
                  </w:tcBorders>
                  <w:shd w:val="clear" w:color="auto" w:fill="auto"/>
                  <w:noWrap/>
                  <w:vAlign w:val="center"/>
                </w:tcPr>
                <w:p w14:paraId="7A92A4D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开挖或剥离</w:t>
                  </w:r>
                </w:p>
              </w:tc>
              <w:tc>
                <w:tcPr>
                  <w:tcW w:w="371" w:type="pct"/>
                  <w:vMerge w:val="restart"/>
                  <w:tcBorders>
                    <w:tl2br w:val="nil"/>
                    <w:tr2bl w:val="nil"/>
                  </w:tcBorders>
                  <w:shd w:val="clear" w:color="auto" w:fill="auto"/>
                  <w:noWrap/>
                  <w:vAlign w:val="center"/>
                </w:tcPr>
                <w:p w14:paraId="19F0F07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回填</w:t>
                  </w:r>
                </w:p>
              </w:tc>
              <w:tc>
                <w:tcPr>
                  <w:tcW w:w="1066" w:type="pct"/>
                  <w:gridSpan w:val="2"/>
                  <w:tcBorders>
                    <w:tl2br w:val="nil"/>
                    <w:tr2bl w:val="nil"/>
                  </w:tcBorders>
                  <w:shd w:val="clear" w:color="auto" w:fill="auto"/>
                  <w:noWrap/>
                  <w:vAlign w:val="center"/>
                </w:tcPr>
                <w:p w14:paraId="6D20BC8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调入</w:t>
                  </w:r>
                </w:p>
              </w:tc>
              <w:tc>
                <w:tcPr>
                  <w:tcW w:w="851" w:type="pct"/>
                  <w:gridSpan w:val="2"/>
                  <w:tcBorders>
                    <w:tl2br w:val="nil"/>
                    <w:tr2bl w:val="nil"/>
                  </w:tcBorders>
                  <w:shd w:val="clear" w:color="auto" w:fill="auto"/>
                  <w:noWrap/>
                  <w:vAlign w:val="center"/>
                </w:tcPr>
                <w:p w14:paraId="2ABCC5C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调出</w:t>
                  </w:r>
                </w:p>
              </w:tc>
              <w:tc>
                <w:tcPr>
                  <w:tcW w:w="662" w:type="pct"/>
                  <w:gridSpan w:val="2"/>
                  <w:tcBorders>
                    <w:tl2br w:val="nil"/>
                    <w:tr2bl w:val="nil"/>
                  </w:tcBorders>
                  <w:shd w:val="clear" w:color="auto" w:fill="auto"/>
                  <w:noWrap/>
                  <w:vAlign w:val="center"/>
                </w:tcPr>
                <w:p w14:paraId="115DF3F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外借</w:t>
                  </w:r>
                </w:p>
              </w:tc>
              <w:tc>
                <w:tcPr>
                  <w:tcW w:w="662" w:type="pct"/>
                  <w:gridSpan w:val="2"/>
                  <w:tcBorders>
                    <w:tl2br w:val="nil"/>
                    <w:tr2bl w:val="nil"/>
                  </w:tcBorders>
                  <w:shd w:val="clear" w:color="auto" w:fill="auto"/>
                  <w:noWrap/>
                  <w:vAlign w:val="center"/>
                </w:tcPr>
                <w:p w14:paraId="749DAE2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余方</w:t>
                  </w:r>
                </w:p>
              </w:tc>
            </w:tr>
            <w:tr w14:paraId="24749D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noWrap/>
                  <w:vAlign w:val="center"/>
                </w:tcPr>
                <w:p w14:paraId="1DB52B8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vMerge w:val="continue"/>
                  <w:tcBorders>
                    <w:tl2br w:val="nil"/>
                    <w:tr2bl w:val="nil"/>
                  </w:tcBorders>
                  <w:shd w:val="clear" w:color="auto" w:fill="auto"/>
                  <w:noWrap/>
                  <w:vAlign w:val="center"/>
                </w:tcPr>
                <w:p w14:paraId="2217058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10" w:type="pct"/>
                  <w:vMerge w:val="continue"/>
                  <w:tcBorders>
                    <w:tl2br w:val="nil"/>
                    <w:tr2bl w:val="nil"/>
                  </w:tcBorders>
                  <w:shd w:val="clear" w:color="auto" w:fill="auto"/>
                  <w:noWrap/>
                  <w:vAlign w:val="center"/>
                </w:tcPr>
                <w:p w14:paraId="298A6EE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71" w:type="pct"/>
                  <w:vMerge w:val="continue"/>
                  <w:tcBorders>
                    <w:tl2br w:val="nil"/>
                    <w:tr2bl w:val="nil"/>
                  </w:tcBorders>
                  <w:shd w:val="clear" w:color="auto" w:fill="auto"/>
                  <w:noWrap/>
                  <w:vAlign w:val="center"/>
                </w:tcPr>
                <w:p w14:paraId="2D5109E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71" w:type="pct"/>
                  <w:tcBorders>
                    <w:tl2br w:val="nil"/>
                    <w:tr2bl w:val="nil"/>
                  </w:tcBorders>
                  <w:shd w:val="clear" w:color="auto" w:fill="auto"/>
                  <w:noWrap/>
                  <w:vAlign w:val="center"/>
                </w:tcPr>
                <w:p w14:paraId="503ED2C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数量</w:t>
                  </w:r>
                </w:p>
              </w:tc>
              <w:tc>
                <w:tcPr>
                  <w:tcW w:w="694" w:type="pct"/>
                  <w:tcBorders>
                    <w:tl2br w:val="nil"/>
                    <w:tr2bl w:val="nil"/>
                  </w:tcBorders>
                  <w:shd w:val="clear" w:color="auto" w:fill="auto"/>
                  <w:noWrap/>
                  <w:vAlign w:val="center"/>
                </w:tcPr>
                <w:p w14:paraId="52BEA44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来源</w:t>
                  </w:r>
                </w:p>
              </w:tc>
              <w:tc>
                <w:tcPr>
                  <w:tcW w:w="400" w:type="pct"/>
                  <w:tcBorders>
                    <w:tl2br w:val="nil"/>
                    <w:tr2bl w:val="nil"/>
                  </w:tcBorders>
                  <w:shd w:val="clear" w:color="auto" w:fill="auto"/>
                  <w:noWrap/>
                  <w:vAlign w:val="center"/>
                </w:tcPr>
                <w:p w14:paraId="5E5A316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数量</w:t>
                  </w:r>
                </w:p>
              </w:tc>
              <w:tc>
                <w:tcPr>
                  <w:tcW w:w="450" w:type="pct"/>
                  <w:tcBorders>
                    <w:tl2br w:val="nil"/>
                    <w:tr2bl w:val="nil"/>
                  </w:tcBorders>
                  <w:shd w:val="clear" w:color="auto" w:fill="auto"/>
                  <w:noWrap/>
                  <w:vAlign w:val="center"/>
                </w:tcPr>
                <w:p w14:paraId="45293D8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去向</w:t>
                  </w:r>
                </w:p>
              </w:tc>
              <w:tc>
                <w:tcPr>
                  <w:tcW w:w="331" w:type="pct"/>
                  <w:tcBorders>
                    <w:tl2br w:val="nil"/>
                    <w:tr2bl w:val="nil"/>
                  </w:tcBorders>
                  <w:shd w:val="clear" w:color="auto" w:fill="auto"/>
                  <w:noWrap/>
                  <w:vAlign w:val="center"/>
                </w:tcPr>
                <w:p w14:paraId="7E0F11C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数量</w:t>
                  </w:r>
                </w:p>
              </w:tc>
              <w:tc>
                <w:tcPr>
                  <w:tcW w:w="331" w:type="pct"/>
                  <w:tcBorders>
                    <w:tl2br w:val="nil"/>
                    <w:tr2bl w:val="nil"/>
                  </w:tcBorders>
                  <w:shd w:val="clear" w:color="auto" w:fill="auto"/>
                  <w:noWrap/>
                  <w:vAlign w:val="center"/>
                </w:tcPr>
                <w:p w14:paraId="2EE185D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来源</w:t>
                  </w:r>
                </w:p>
              </w:tc>
              <w:tc>
                <w:tcPr>
                  <w:tcW w:w="331" w:type="pct"/>
                  <w:tcBorders>
                    <w:tl2br w:val="nil"/>
                    <w:tr2bl w:val="nil"/>
                  </w:tcBorders>
                  <w:shd w:val="clear" w:color="auto" w:fill="auto"/>
                  <w:noWrap/>
                  <w:vAlign w:val="center"/>
                </w:tcPr>
                <w:p w14:paraId="72F5074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数量</w:t>
                  </w:r>
                </w:p>
              </w:tc>
              <w:tc>
                <w:tcPr>
                  <w:tcW w:w="331" w:type="pct"/>
                  <w:tcBorders>
                    <w:tl2br w:val="nil"/>
                    <w:tr2bl w:val="nil"/>
                  </w:tcBorders>
                  <w:shd w:val="clear" w:color="auto" w:fill="auto"/>
                  <w:noWrap/>
                  <w:vAlign w:val="center"/>
                </w:tcPr>
                <w:p w14:paraId="2E8E5F1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去向</w:t>
                  </w:r>
                </w:p>
              </w:tc>
            </w:tr>
            <w:tr w14:paraId="27507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tcBorders>
                    <w:tl2br w:val="nil"/>
                    <w:tr2bl w:val="nil"/>
                  </w:tcBorders>
                  <w:shd w:val="clear" w:color="auto" w:fill="auto"/>
                  <w:noWrap/>
                  <w:vAlign w:val="center"/>
                </w:tcPr>
                <w:p w14:paraId="30DF7D9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场地平整</w:t>
                  </w:r>
                </w:p>
              </w:tc>
              <w:tc>
                <w:tcPr>
                  <w:tcW w:w="557" w:type="pct"/>
                  <w:tcBorders>
                    <w:tl2br w:val="nil"/>
                    <w:tr2bl w:val="nil"/>
                  </w:tcBorders>
                  <w:shd w:val="clear" w:color="auto" w:fill="auto"/>
                  <w:noWrap/>
                  <w:vAlign w:val="center"/>
                </w:tcPr>
                <w:p w14:paraId="54570DA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土石方</w:t>
                  </w:r>
                </w:p>
              </w:tc>
              <w:tc>
                <w:tcPr>
                  <w:tcW w:w="410" w:type="pct"/>
                  <w:tcBorders>
                    <w:tl2br w:val="nil"/>
                    <w:tr2bl w:val="nil"/>
                  </w:tcBorders>
                  <w:shd w:val="clear" w:color="auto" w:fill="auto"/>
                  <w:noWrap/>
                  <w:vAlign w:val="center"/>
                </w:tcPr>
                <w:p w14:paraId="2E19743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0.13</w:t>
                  </w:r>
                </w:p>
              </w:tc>
              <w:tc>
                <w:tcPr>
                  <w:tcW w:w="371" w:type="pct"/>
                  <w:tcBorders>
                    <w:tl2br w:val="nil"/>
                    <w:tr2bl w:val="nil"/>
                  </w:tcBorders>
                  <w:shd w:val="clear" w:color="auto" w:fill="auto"/>
                  <w:noWrap/>
                  <w:vAlign w:val="center"/>
                </w:tcPr>
                <w:p w14:paraId="08DBD56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1AA6BCC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7766C25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0E74843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0.13</w:t>
                  </w:r>
                </w:p>
              </w:tc>
              <w:tc>
                <w:tcPr>
                  <w:tcW w:w="450" w:type="pct"/>
                  <w:tcBorders>
                    <w:tl2br w:val="nil"/>
                    <w:tr2bl w:val="nil"/>
                  </w:tcBorders>
                  <w:shd w:val="clear" w:color="auto" w:fill="auto"/>
                  <w:vAlign w:val="center"/>
                </w:tcPr>
                <w:p w14:paraId="07C47AB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防护土堤区</w:t>
                  </w:r>
                </w:p>
              </w:tc>
              <w:tc>
                <w:tcPr>
                  <w:tcW w:w="331" w:type="pct"/>
                  <w:tcBorders>
                    <w:tl2br w:val="nil"/>
                    <w:tr2bl w:val="nil"/>
                  </w:tcBorders>
                  <w:shd w:val="clear" w:color="auto" w:fill="auto"/>
                  <w:noWrap/>
                  <w:vAlign w:val="center"/>
                </w:tcPr>
                <w:p w14:paraId="5D5F9C6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2DB8A81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16D1E26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6D74997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092B9C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restart"/>
                  <w:tcBorders>
                    <w:tl2br w:val="nil"/>
                    <w:tr2bl w:val="nil"/>
                  </w:tcBorders>
                  <w:shd w:val="clear" w:color="auto" w:fill="auto"/>
                  <w:noWrap/>
                  <w:vAlign w:val="center"/>
                </w:tcPr>
                <w:p w14:paraId="58A6D1D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建构筑物区</w:t>
                  </w:r>
                </w:p>
              </w:tc>
              <w:tc>
                <w:tcPr>
                  <w:tcW w:w="557" w:type="pct"/>
                  <w:tcBorders>
                    <w:tl2br w:val="nil"/>
                    <w:tr2bl w:val="nil"/>
                  </w:tcBorders>
                  <w:shd w:val="clear" w:color="auto" w:fill="auto"/>
                  <w:noWrap/>
                  <w:vAlign w:val="center"/>
                </w:tcPr>
                <w:p w14:paraId="1833034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表土</w:t>
                  </w:r>
                </w:p>
              </w:tc>
              <w:tc>
                <w:tcPr>
                  <w:tcW w:w="410" w:type="pct"/>
                  <w:tcBorders>
                    <w:tl2br w:val="nil"/>
                    <w:tr2bl w:val="nil"/>
                  </w:tcBorders>
                  <w:shd w:val="clear" w:color="auto" w:fill="auto"/>
                  <w:noWrap/>
                  <w:vAlign w:val="center"/>
                </w:tcPr>
                <w:p w14:paraId="3E2784B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0.01</w:t>
                  </w:r>
                </w:p>
              </w:tc>
              <w:tc>
                <w:tcPr>
                  <w:tcW w:w="371" w:type="pct"/>
                  <w:tcBorders>
                    <w:tl2br w:val="nil"/>
                    <w:tr2bl w:val="nil"/>
                  </w:tcBorders>
                  <w:shd w:val="clear" w:color="auto" w:fill="auto"/>
                  <w:noWrap/>
                  <w:vAlign w:val="center"/>
                </w:tcPr>
                <w:p w14:paraId="361EA01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37ED85A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2862CAD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264AB51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0.01</w:t>
                  </w:r>
                </w:p>
              </w:tc>
              <w:tc>
                <w:tcPr>
                  <w:tcW w:w="450" w:type="pct"/>
                  <w:tcBorders>
                    <w:tl2br w:val="nil"/>
                    <w:tr2bl w:val="nil"/>
                  </w:tcBorders>
                  <w:shd w:val="clear" w:color="auto" w:fill="auto"/>
                  <w:vAlign w:val="center"/>
                </w:tcPr>
                <w:p w14:paraId="539ECBE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预留用地区</w:t>
                  </w:r>
                </w:p>
              </w:tc>
              <w:tc>
                <w:tcPr>
                  <w:tcW w:w="331" w:type="pct"/>
                  <w:tcBorders>
                    <w:tl2br w:val="nil"/>
                    <w:tr2bl w:val="nil"/>
                  </w:tcBorders>
                  <w:shd w:val="clear" w:color="auto" w:fill="auto"/>
                  <w:noWrap/>
                  <w:vAlign w:val="center"/>
                </w:tcPr>
                <w:p w14:paraId="06E4358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D0A075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3AE9A7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6542D2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528180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noWrap/>
                  <w:vAlign w:val="center"/>
                </w:tcPr>
                <w:p w14:paraId="5FCB7DE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65B7FB4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土石方</w:t>
                  </w:r>
                </w:p>
              </w:tc>
              <w:tc>
                <w:tcPr>
                  <w:tcW w:w="410" w:type="pct"/>
                  <w:tcBorders>
                    <w:tl2br w:val="nil"/>
                    <w:tr2bl w:val="nil"/>
                  </w:tcBorders>
                  <w:shd w:val="clear" w:color="auto" w:fill="auto"/>
                  <w:noWrap/>
                  <w:vAlign w:val="center"/>
                </w:tcPr>
                <w:p w14:paraId="5F5A815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0.01</w:t>
                  </w:r>
                </w:p>
              </w:tc>
              <w:tc>
                <w:tcPr>
                  <w:tcW w:w="371" w:type="pct"/>
                  <w:tcBorders>
                    <w:tl2br w:val="nil"/>
                    <w:tr2bl w:val="nil"/>
                  </w:tcBorders>
                  <w:shd w:val="clear" w:color="auto" w:fill="auto"/>
                  <w:noWrap/>
                  <w:vAlign w:val="center"/>
                </w:tcPr>
                <w:p w14:paraId="7F737A3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0.01</w:t>
                  </w:r>
                </w:p>
              </w:tc>
              <w:tc>
                <w:tcPr>
                  <w:tcW w:w="371" w:type="pct"/>
                  <w:tcBorders>
                    <w:tl2br w:val="nil"/>
                    <w:tr2bl w:val="nil"/>
                  </w:tcBorders>
                  <w:shd w:val="clear" w:color="auto" w:fill="auto"/>
                  <w:noWrap/>
                  <w:vAlign w:val="center"/>
                </w:tcPr>
                <w:p w14:paraId="55F2809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5E0EA8A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07D0E11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50" w:type="pct"/>
                  <w:tcBorders>
                    <w:tl2br w:val="nil"/>
                    <w:tr2bl w:val="nil"/>
                  </w:tcBorders>
                  <w:shd w:val="clear" w:color="auto" w:fill="auto"/>
                  <w:noWrap/>
                  <w:vAlign w:val="center"/>
                </w:tcPr>
                <w:p w14:paraId="478CEAE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269F6D7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ED2342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326CDE1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3CDF7E3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5861EF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tcBorders>
                    <w:tl2br w:val="nil"/>
                    <w:tr2bl w:val="nil"/>
                  </w:tcBorders>
                  <w:shd w:val="clear" w:color="auto" w:fill="auto"/>
                  <w:vAlign w:val="center"/>
                </w:tcPr>
                <w:p w14:paraId="0C1BFA5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道路场地区</w:t>
                  </w:r>
                </w:p>
              </w:tc>
              <w:tc>
                <w:tcPr>
                  <w:tcW w:w="557" w:type="pct"/>
                  <w:tcBorders>
                    <w:tl2br w:val="nil"/>
                    <w:tr2bl w:val="nil"/>
                  </w:tcBorders>
                  <w:shd w:val="clear" w:color="auto" w:fill="auto"/>
                  <w:noWrap/>
                  <w:vAlign w:val="center"/>
                </w:tcPr>
                <w:p w14:paraId="6AC8D43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表土</w:t>
                  </w:r>
                </w:p>
              </w:tc>
              <w:tc>
                <w:tcPr>
                  <w:tcW w:w="410" w:type="pct"/>
                  <w:tcBorders>
                    <w:tl2br w:val="nil"/>
                    <w:tr2bl w:val="nil"/>
                  </w:tcBorders>
                  <w:shd w:val="clear" w:color="auto" w:fill="auto"/>
                  <w:noWrap/>
                  <w:vAlign w:val="center"/>
                </w:tcPr>
                <w:p w14:paraId="7B22977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0.05</w:t>
                  </w:r>
                </w:p>
              </w:tc>
              <w:tc>
                <w:tcPr>
                  <w:tcW w:w="371" w:type="pct"/>
                  <w:tcBorders>
                    <w:tl2br w:val="nil"/>
                    <w:tr2bl w:val="nil"/>
                  </w:tcBorders>
                  <w:shd w:val="clear" w:color="auto" w:fill="auto"/>
                  <w:noWrap/>
                  <w:vAlign w:val="center"/>
                </w:tcPr>
                <w:p w14:paraId="4B4B9A4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352DC72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16C2E1C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52E14B0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0.05</w:t>
                  </w:r>
                </w:p>
              </w:tc>
              <w:tc>
                <w:tcPr>
                  <w:tcW w:w="450" w:type="pct"/>
                  <w:tcBorders>
                    <w:tl2br w:val="nil"/>
                    <w:tr2bl w:val="nil"/>
                  </w:tcBorders>
                  <w:shd w:val="clear" w:color="auto" w:fill="auto"/>
                  <w:vAlign w:val="center"/>
                </w:tcPr>
                <w:p w14:paraId="2C33A19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预留用地区</w:t>
                  </w:r>
                </w:p>
              </w:tc>
              <w:tc>
                <w:tcPr>
                  <w:tcW w:w="331" w:type="pct"/>
                  <w:tcBorders>
                    <w:tl2br w:val="nil"/>
                    <w:tr2bl w:val="nil"/>
                  </w:tcBorders>
                  <w:shd w:val="clear" w:color="auto" w:fill="auto"/>
                  <w:noWrap/>
                  <w:vAlign w:val="center"/>
                </w:tcPr>
                <w:p w14:paraId="7853DA3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69B4E68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39BB28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D5ED5F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616EB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vAlign w:val="center"/>
                </w:tcPr>
                <w:p w14:paraId="17F288C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6ABAD2A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土石方</w:t>
                  </w:r>
                </w:p>
              </w:tc>
              <w:tc>
                <w:tcPr>
                  <w:tcW w:w="410" w:type="pct"/>
                  <w:tcBorders>
                    <w:tl2br w:val="nil"/>
                    <w:tr2bl w:val="nil"/>
                  </w:tcBorders>
                  <w:shd w:val="clear" w:color="auto" w:fill="auto"/>
                  <w:noWrap/>
                  <w:vAlign w:val="center"/>
                </w:tcPr>
                <w:p w14:paraId="56EDD86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03EF6C0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20C6F53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76D59BD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5944B05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50" w:type="pct"/>
                  <w:tcBorders>
                    <w:tl2br w:val="nil"/>
                    <w:tr2bl w:val="nil"/>
                  </w:tcBorders>
                  <w:shd w:val="clear" w:color="auto" w:fill="auto"/>
                  <w:noWrap/>
                  <w:vAlign w:val="center"/>
                </w:tcPr>
                <w:p w14:paraId="7A3E75C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3F0374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64ED4D6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2D69B10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F9DD7E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6D2F76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restart"/>
                  <w:tcBorders>
                    <w:tl2br w:val="nil"/>
                    <w:tr2bl w:val="nil"/>
                  </w:tcBorders>
                  <w:shd w:val="clear" w:color="auto" w:fill="auto"/>
                  <w:vAlign w:val="center"/>
                </w:tcPr>
                <w:p w14:paraId="234CDEA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防护土堤区</w:t>
                  </w:r>
                </w:p>
              </w:tc>
              <w:tc>
                <w:tcPr>
                  <w:tcW w:w="557" w:type="pct"/>
                  <w:tcBorders>
                    <w:tl2br w:val="nil"/>
                    <w:tr2bl w:val="nil"/>
                  </w:tcBorders>
                  <w:shd w:val="clear" w:color="auto" w:fill="auto"/>
                  <w:noWrap/>
                  <w:vAlign w:val="center"/>
                </w:tcPr>
                <w:p w14:paraId="7983A64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表土</w:t>
                  </w:r>
                </w:p>
              </w:tc>
              <w:tc>
                <w:tcPr>
                  <w:tcW w:w="410" w:type="pct"/>
                  <w:tcBorders>
                    <w:tl2br w:val="nil"/>
                    <w:tr2bl w:val="nil"/>
                  </w:tcBorders>
                  <w:shd w:val="clear" w:color="auto" w:fill="auto"/>
                  <w:noWrap/>
                  <w:vAlign w:val="center"/>
                </w:tcPr>
                <w:p w14:paraId="2FCB0BC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0.03</w:t>
                  </w:r>
                </w:p>
              </w:tc>
              <w:tc>
                <w:tcPr>
                  <w:tcW w:w="371" w:type="pct"/>
                  <w:tcBorders>
                    <w:tl2br w:val="nil"/>
                    <w:tr2bl w:val="nil"/>
                  </w:tcBorders>
                  <w:shd w:val="clear" w:color="auto" w:fill="auto"/>
                  <w:noWrap/>
                  <w:vAlign w:val="center"/>
                </w:tcPr>
                <w:p w14:paraId="342A42E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58D41FD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7CB1FD9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5E157B5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0.03</w:t>
                  </w:r>
                </w:p>
              </w:tc>
              <w:tc>
                <w:tcPr>
                  <w:tcW w:w="450" w:type="pct"/>
                  <w:tcBorders>
                    <w:tl2br w:val="nil"/>
                    <w:tr2bl w:val="nil"/>
                  </w:tcBorders>
                  <w:shd w:val="clear" w:color="auto" w:fill="auto"/>
                  <w:vAlign w:val="center"/>
                </w:tcPr>
                <w:p w14:paraId="1870EEF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预留用地区</w:t>
                  </w:r>
                </w:p>
              </w:tc>
              <w:tc>
                <w:tcPr>
                  <w:tcW w:w="331" w:type="pct"/>
                  <w:tcBorders>
                    <w:tl2br w:val="nil"/>
                    <w:tr2bl w:val="nil"/>
                  </w:tcBorders>
                  <w:shd w:val="clear" w:color="auto" w:fill="auto"/>
                  <w:noWrap/>
                  <w:vAlign w:val="center"/>
                </w:tcPr>
                <w:p w14:paraId="406B49E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52164F3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13971BF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AB8B2C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3BFB4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vAlign w:val="center"/>
                </w:tcPr>
                <w:p w14:paraId="4CC09B0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23901EB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土石方</w:t>
                  </w:r>
                </w:p>
              </w:tc>
              <w:tc>
                <w:tcPr>
                  <w:tcW w:w="410" w:type="pct"/>
                  <w:tcBorders>
                    <w:tl2br w:val="nil"/>
                    <w:tr2bl w:val="nil"/>
                  </w:tcBorders>
                  <w:shd w:val="clear" w:color="auto" w:fill="auto"/>
                  <w:noWrap/>
                  <w:vAlign w:val="center"/>
                </w:tcPr>
                <w:p w14:paraId="632AF66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0.05</w:t>
                  </w:r>
                </w:p>
              </w:tc>
              <w:tc>
                <w:tcPr>
                  <w:tcW w:w="371" w:type="pct"/>
                  <w:tcBorders>
                    <w:tl2br w:val="nil"/>
                    <w:tr2bl w:val="nil"/>
                  </w:tcBorders>
                  <w:shd w:val="clear" w:color="auto" w:fill="auto"/>
                  <w:noWrap/>
                  <w:vAlign w:val="center"/>
                </w:tcPr>
                <w:p w14:paraId="4BD62B7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0.18</w:t>
                  </w:r>
                </w:p>
              </w:tc>
              <w:tc>
                <w:tcPr>
                  <w:tcW w:w="371" w:type="pct"/>
                  <w:tcBorders>
                    <w:tl2br w:val="nil"/>
                    <w:tr2bl w:val="nil"/>
                  </w:tcBorders>
                  <w:shd w:val="clear" w:color="auto" w:fill="auto"/>
                  <w:noWrap/>
                  <w:vAlign w:val="center"/>
                </w:tcPr>
                <w:p w14:paraId="40B75F9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0.13</w:t>
                  </w:r>
                </w:p>
              </w:tc>
              <w:tc>
                <w:tcPr>
                  <w:tcW w:w="694" w:type="pct"/>
                  <w:tcBorders>
                    <w:tl2br w:val="nil"/>
                    <w:tr2bl w:val="nil"/>
                  </w:tcBorders>
                  <w:shd w:val="clear" w:color="auto" w:fill="auto"/>
                  <w:noWrap/>
                  <w:vAlign w:val="center"/>
                </w:tcPr>
                <w:p w14:paraId="3CBC4C0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场地平整</w:t>
                  </w:r>
                </w:p>
              </w:tc>
              <w:tc>
                <w:tcPr>
                  <w:tcW w:w="400" w:type="pct"/>
                  <w:tcBorders>
                    <w:tl2br w:val="nil"/>
                    <w:tr2bl w:val="nil"/>
                  </w:tcBorders>
                  <w:shd w:val="clear" w:color="auto" w:fill="auto"/>
                  <w:noWrap/>
                  <w:vAlign w:val="center"/>
                </w:tcPr>
                <w:p w14:paraId="504BF32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50" w:type="pct"/>
                  <w:tcBorders>
                    <w:tl2br w:val="nil"/>
                    <w:tr2bl w:val="nil"/>
                  </w:tcBorders>
                  <w:shd w:val="clear" w:color="auto" w:fill="auto"/>
                  <w:noWrap/>
                  <w:vAlign w:val="center"/>
                </w:tcPr>
                <w:p w14:paraId="2CDD639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6D68DDC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288EB6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2E0AA75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CEAC46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2127A5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restart"/>
                  <w:tcBorders>
                    <w:tl2br w:val="nil"/>
                    <w:tr2bl w:val="nil"/>
                  </w:tcBorders>
                  <w:shd w:val="clear" w:color="auto" w:fill="auto"/>
                  <w:vAlign w:val="center"/>
                </w:tcPr>
                <w:p w14:paraId="373212E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预留用地区</w:t>
                  </w:r>
                </w:p>
              </w:tc>
              <w:tc>
                <w:tcPr>
                  <w:tcW w:w="557" w:type="pct"/>
                  <w:tcBorders>
                    <w:tl2br w:val="nil"/>
                    <w:tr2bl w:val="nil"/>
                  </w:tcBorders>
                  <w:shd w:val="clear" w:color="auto" w:fill="auto"/>
                  <w:noWrap/>
                  <w:vAlign w:val="center"/>
                </w:tcPr>
                <w:p w14:paraId="2FAC6C2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表土</w:t>
                  </w:r>
                </w:p>
              </w:tc>
              <w:tc>
                <w:tcPr>
                  <w:tcW w:w="410" w:type="pct"/>
                  <w:tcBorders>
                    <w:tl2br w:val="nil"/>
                    <w:tr2bl w:val="nil"/>
                  </w:tcBorders>
                  <w:shd w:val="clear" w:color="auto" w:fill="auto"/>
                  <w:noWrap/>
                  <w:vAlign w:val="center"/>
                </w:tcPr>
                <w:p w14:paraId="2CBC1A2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371" w:type="pct"/>
                  <w:tcBorders>
                    <w:tl2br w:val="nil"/>
                    <w:tr2bl w:val="nil"/>
                  </w:tcBorders>
                  <w:shd w:val="clear" w:color="auto" w:fill="auto"/>
                  <w:noWrap/>
                  <w:vAlign w:val="center"/>
                </w:tcPr>
                <w:p w14:paraId="6BD52BF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w:t>
                  </w:r>
                </w:p>
              </w:tc>
              <w:tc>
                <w:tcPr>
                  <w:tcW w:w="371" w:type="pct"/>
                  <w:tcBorders>
                    <w:tl2br w:val="nil"/>
                    <w:tr2bl w:val="nil"/>
                  </w:tcBorders>
                  <w:shd w:val="clear" w:color="auto" w:fill="auto"/>
                  <w:noWrap/>
                  <w:vAlign w:val="center"/>
                </w:tcPr>
                <w:p w14:paraId="574C723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w:t>
                  </w:r>
                </w:p>
              </w:tc>
              <w:tc>
                <w:tcPr>
                  <w:tcW w:w="694" w:type="pct"/>
                  <w:tcBorders>
                    <w:tl2br w:val="nil"/>
                    <w:tr2bl w:val="nil"/>
                  </w:tcBorders>
                  <w:shd w:val="clear" w:color="auto" w:fill="auto"/>
                  <w:vAlign w:val="center"/>
                </w:tcPr>
                <w:p w14:paraId="707726A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建构筑物区、道路场地区、防护土堤区</w:t>
                  </w:r>
                </w:p>
              </w:tc>
              <w:tc>
                <w:tcPr>
                  <w:tcW w:w="400" w:type="pct"/>
                  <w:tcBorders>
                    <w:tl2br w:val="nil"/>
                    <w:tr2bl w:val="nil"/>
                  </w:tcBorders>
                  <w:shd w:val="clear" w:color="auto" w:fill="auto"/>
                  <w:noWrap/>
                  <w:vAlign w:val="center"/>
                </w:tcPr>
                <w:p w14:paraId="1186EAC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50" w:type="pct"/>
                  <w:tcBorders>
                    <w:tl2br w:val="nil"/>
                    <w:tr2bl w:val="nil"/>
                  </w:tcBorders>
                  <w:shd w:val="clear" w:color="auto" w:fill="auto"/>
                  <w:noWrap/>
                  <w:vAlign w:val="center"/>
                </w:tcPr>
                <w:p w14:paraId="409BA89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22421C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59B5716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153338D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32447AF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4CDEF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vAlign w:val="center"/>
                </w:tcPr>
                <w:p w14:paraId="6224C3B2">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4E6A58B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建筑垃圾</w:t>
                  </w:r>
                </w:p>
              </w:tc>
              <w:tc>
                <w:tcPr>
                  <w:tcW w:w="410" w:type="pct"/>
                  <w:tcBorders>
                    <w:tl2br w:val="nil"/>
                    <w:tr2bl w:val="nil"/>
                  </w:tcBorders>
                  <w:shd w:val="clear" w:color="auto" w:fill="auto"/>
                  <w:noWrap/>
                  <w:vAlign w:val="center"/>
                </w:tcPr>
                <w:p w14:paraId="681A879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0.02</w:t>
                  </w:r>
                </w:p>
              </w:tc>
              <w:tc>
                <w:tcPr>
                  <w:tcW w:w="371" w:type="pct"/>
                  <w:tcBorders>
                    <w:tl2br w:val="nil"/>
                    <w:tr2bl w:val="nil"/>
                  </w:tcBorders>
                  <w:shd w:val="clear" w:color="auto" w:fill="auto"/>
                  <w:noWrap/>
                  <w:vAlign w:val="center"/>
                </w:tcPr>
                <w:p w14:paraId="6F8DA74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0.02</w:t>
                  </w:r>
                </w:p>
              </w:tc>
              <w:tc>
                <w:tcPr>
                  <w:tcW w:w="371" w:type="pct"/>
                  <w:tcBorders>
                    <w:tl2br w:val="nil"/>
                    <w:tr2bl w:val="nil"/>
                  </w:tcBorders>
                  <w:shd w:val="clear" w:color="auto" w:fill="auto"/>
                  <w:noWrap/>
                  <w:vAlign w:val="center"/>
                </w:tcPr>
                <w:p w14:paraId="2774D9D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694" w:type="pct"/>
                  <w:tcBorders>
                    <w:tl2br w:val="nil"/>
                    <w:tr2bl w:val="nil"/>
                  </w:tcBorders>
                  <w:shd w:val="clear" w:color="auto" w:fill="auto"/>
                  <w:noWrap/>
                  <w:vAlign w:val="center"/>
                </w:tcPr>
                <w:p w14:paraId="6473817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57E6754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50" w:type="pct"/>
                  <w:tcBorders>
                    <w:tl2br w:val="nil"/>
                    <w:tr2bl w:val="nil"/>
                  </w:tcBorders>
                  <w:shd w:val="clear" w:color="auto" w:fill="auto"/>
                  <w:noWrap/>
                  <w:vAlign w:val="center"/>
                </w:tcPr>
                <w:p w14:paraId="7F9842C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B74132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6B10691">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816BCA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319B702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667512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restart"/>
                  <w:tcBorders>
                    <w:tl2br w:val="nil"/>
                    <w:tr2bl w:val="nil"/>
                  </w:tcBorders>
                  <w:shd w:val="clear" w:color="auto" w:fill="auto"/>
                  <w:vAlign w:val="center"/>
                </w:tcPr>
                <w:p w14:paraId="0ECA2C9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合计</w:t>
                  </w:r>
                </w:p>
              </w:tc>
              <w:tc>
                <w:tcPr>
                  <w:tcW w:w="557" w:type="pct"/>
                  <w:tcBorders>
                    <w:tl2br w:val="nil"/>
                    <w:tr2bl w:val="nil"/>
                  </w:tcBorders>
                  <w:shd w:val="clear" w:color="auto" w:fill="auto"/>
                  <w:noWrap/>
                  <w:vAlign w:val="center"/>
                </w:tcPr>
                <w:p w14:paraId="008A5CC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表土</w:t>
                  </w:r>
                </w:p>
              </w:tc>
              <w:tc>
                <w:tcPr>
                  <w:tcW w:w="410" w:type="pct"/>
                  <w:tcBorders>
                    <w:tl2br w:val="nil"/>
                    <w:tr2bl w:val="nil"/>
                  </w:tcBorders>
                  <w:shd w:val="clear" w:color="auto" w:fill="auto"/>
                  <w:noWrap/>
                  <w:vAlign w:val="center"/>
                </w:tcPr>
                <w:p w14:paraId="78F3ABC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w:t>
                  </w:r>
                </w:p>
              </w:tc>
              <w:tc>
                <w:tcPr>
                  <w:tcW w:w="371" w:type="pct"/>
                  <w:tcBorders>
                    <w:tl2br w:val="nil"/>
                    <w:tr2bl w:val="nil"/>
                  </w:tcBorders>
                  <w:shd w:val="clear" w:color="auto" w:fill="auto"/>
                  <w:noWrap/>
                  <w:vAlign w:val="center"/>
                </w:tcPr>
                <w:p w14:paraId="085D31C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w:t>
                  </w:r>
                </w:p>
              </w:tc>
              <w:tc>
                <w:tcPr>
                  <w:tcW w:w="371" w:type="pct"/>
                  <w:tcBorders>
                    <w:tl2br w:val="nil"/>
                    <w:tr2bl w:val="nil"/>
                  </w:tcBorders>
                  <w:shd w:val="clear" w:color="auto" w:fill="auto"/>
                  <w:noWrap/>
                  <w:vAlign w:val="center"/>
                </w:tcPr>
                <w:p w14:paraId="1DA763E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w:t>
                  </w:r>
                </w:p>
              </w:tc>
              <w:tc>
                <w:tcPr>
                  <w:tcW w:w="694" w:type="pct"/>
                  <w:tcBorders>
                    <w:tl2br w:val="nil"/>
                    <w:tr2bl w:val="nil"/>
                  </w:tcBorders>
                  <w:shd w:val="clear" w:color="auto" w:fill="auto"/>
                  <w:noWrap/>
                  <w:vAlign w:val="center"/>
                </w:tcPr>
                <w:p w14:paraId="334000B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5C4B979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w:t>
                  </w:r>
                </w:p>
              </w:tc>
              <w:tc>
                <w:tcPr>
                  <w:tcW w:w="450" w:type="pct"/>
                  <w:tcBorders>
                    <w:tl2br w:val="nil"/>
                    <w:tr2bl w:val="nil"/>
                  </w:tcBorders>
                  <w:shd w:val="clear" w:color="auto" w:fill="auto"/>
                  <w:noWrap/>
                  <w:vAlign w:val="center"/>
                </w:tcPr>
                <w:p w14:paraId="1C60700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5791AD7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587178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FD781A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5A64C9E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50FEC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vAlign w:val="center"/>
                </w:tcPr>
                <w:p w14:paraId="0B824EB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0BF8F12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土石方</w:t>
                  </w:r>
                </w:p>
              </w:tc>
              <w:tc>
                <w:tcPr>
                  <w:tcW w:w="410" w:type="pct"/>
                  <w:tcBorders>
                    <w:tl2br w:val="nil"/>
                    <w:tr2bl w:val="nil"/>
                  </w:tcBorders>
                  <w:shd w:val="clear" w:color="auto" w:fill="auto"/>
                  <w:noWrap/>
                  <w:vAlign w:val="center"/>
                </w:tcPr>
                <w:p w14:paraId="3037A0F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0.19</w:t>
                  </w:r>
                </w:p>
              </w:tc>
              <w:tc>
                <w:tcPr>
                  <w:tcW w:w="371" w:type="pct"/>
                  <w:tcBorders>
                    <w:tl2br w:val="nil"/>
                    <w:tr2bl w:val="nil"/>
                  </w:tcBorders>
                  <w:shd w:val="clear" w:color="auto" w:fill="auto"/>
                  <w:noWrap/>
                  <w:vAlign w:val="center"/>
                </w:tcPr>
                <w:p w14:paraId="18B8D86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0.19</w:t>
                  </w:r>
                </w:p>
              </w:tc>
              <w:tc>
                <w:tcPr>
                  <w:tcW w:w="371" w:type="pct"/>
                  <w:tcBorders>
                    <w:tl2br w:val="nil"/>
                    <w:tr2bl w:val="nil"/>
                  </w:tcBorders>
                  <w:shd w:val="clear" w:color="auto" w:fill="auto"/>
                  <w:noWrap/>
                  <w:vAlign w:val="center"/>
                </w:tcPr>
                <w:p w14:paraId="61FD8469">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0.13</w:t>
                  </w:r>
                </w:p>
              </w:tc>
              <w:tc>
                <w:tcPr>
                  <w:tcW w:w="694" w:type="pct"/>
                  <w:tcBorders>
                    <w:tl2br w:val="nil"/>
                    <w:tr2bl w:val="nil"/>
                  </w:tcBorders>
                  <w:shd w:val="clear" w:color="auto" w:fill="auto"/>
                  <w:noWrap/>
                  <w:vAlign w:val="center"/>
                </w:tcPr>
                <w:p w14:paraId="2B647CF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7D1D3F3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0.13</w:t>
                  </w:r>
                </w:p>
              </w:tc>
              <w:tc>
                <w:tcPr>
                  <w:tcW w:w="450" w:type="pct"/>
                  <w:tcBorders>
                    <w:tl2br w:val="nil"/>
                    <w:tr2bl w:val="nil"/>
                  </w:tcBorders>
                  <w:shd w:val="clear" w:color="auto" w:fill="auto"/>
                  <w:noWrap/>
                  <w:vAlign w:val="center"/>
                </w:tcPr>
                <w:p w14:paraId="75E6416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5220B2B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3887AA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225C91E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5283DA5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59E04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vAlign w:val="center"/>
                </w:tcPr>
                <w:p w14:paraId="47FF293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1824126A">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建筑垃圾</w:t>
                  </w:r>
                </w:p>
              </w:tc>
              <w:tc>
                <w:tcPr>
                  <w:tcW w:w="410" w:type="pct"/>
                  <w:tcBorders>
                    <w:tl2br w:val="nil"/>
                    <w:tr2bl w:val="nil"/>
                  </w:tcBorders>
                  <w:shd w:val="clear" w:color="auto" w:fill="auto"/>
                  <w:noWrap/>
                  <w:vAlign w:val="center"/>
                </w:tcPr>
                <w:p w14:paraId="6E16160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0.02</w:t>
                  </w:r>
                </w:p>
              </w:tc>
              <w:tc>
                <w:tcPr>
                  <w:tcW w:w="371" w:type="pct"/>
                  <w:tcBorders>
                    <w:tl2br w:val="nil"/>
                    <w:tr2bl w:val="nil"/>
                  </w:tcBorders>
                  <w:shd w:val="clear" w:color="auto" w:fill="auto"/>
                  <w:noWrap/>
                  <w:vAlign w:val="center"/>
                </w:tcPr>
                <w:p w14:paraId="1397F568">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0.02</w:t>
                  </w:r>
                </w:p>
              </w:tc>
              <w:tc>
                <w:tcPr>
                  <w:tcW w:w="371" w:type="pct"/>
                  <w:tcBorders>
                    <w:tl2br w:val="nil"/>
                    <w:tr2bl w:val="nil"/>
                  </w:tcBorders>
                  <w:shd w:val="clear" w:color="auto" w:fill="auto"/>
                  <w:noWrap/>
                  <w:vAlign w:val="center"/>
                </w:tcPr>
                <w:p w14:paraId="280782B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694" w:type="pct"/>
                  <w:tcBorders>
                    <w:tl2br w:val="nil"/>
                    <w:tr2bl w:val="nil"/>
                  </w:tcBorders>
                  <w:shd w:val="clear" w:color="auto" w:fill="auto"/>
                  <w:noWrap/>
                  <w:vAlign w:val="center"/>
                </w:tcPr>
                <w:p w14:paraId="38CA00B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649A35EB">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p>
              </w:tc>
              <w:tc>
                <w:tcPr>
                  <w:tcW w:w="450" w:type="pct"/>
                  <w:tcBorders>
                    <w:tl2br w:val="nil"/>
                    <w:tr2bl w:val="nil"/>
                  </w:tcBorders>
                  <w:shd w:val="clear" w:color="auto" w:fill="auto"/>
                  <w:noWrap/>
                  <w:vAlign w:val="center"/>
                </w:tcPr>
                <w:p w14:paraId="43093C16">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210D5D2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2F57AD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335C920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17808F2E">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r w14:paraId="28B4EA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16" w:type="pct"/>
                  <w:vMerge w:val="continue"/>
                  <w:tcBorders>
                    <w:tl2br w:val="nil"/>
                    <w:tr2bl w:val="nil"/>
                  </w:tcBorders>
                  <w:shd w:val="clear" w:color="auto" w:fill="auto"/>
                  <w:vAlign w:val="center"/>
                </w:tcPr>
                <w:p w14:paraId="2BA79497">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557" w:type="pct"/>
                  <w:tcBorders>
                    <w:tl2br w:val="nil"/>
                    <w:tr2bl w:val="nil"/>
                  </w:tcBorders>
                  <w:shd w:val="clear" w:color="auto" w:fill="auto"/>
                  <w:noWrap/>
                  <w:vAlign w:val="center"/>
                </w:tcPr>
                <w:p w14:paraId="2FF0612D">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小计</w:t>
                  </w:r>
                </w:p>
              </w:tc>
              <w:tc>
                <w:tcPr>
                  <w:tcW w:w="410" w:type="pct"/>
                  <w:tcBorders>
                    <w:tl2br w:val="nil"/>
                    <w:tr2bl w:val="nil"/>
                  </w:tcBorders>
                  <w:shd w:val="clear" w:color="auto" w:fill="auto"/>
                  <w:noWrap/>
                  <w:vAlign w:val="center"/>
                </w:tcPr>
                <w:p w14:paraId="35180C55">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0.3</w:t>
                  </w:r>
                </w:p>
              </w:tc>
              <w:tc>
                <w:tcPr>
                  <w:tcW w:w="371" w:type="pct"/>
                  <w:tcBorders>
                    <w:tl2br w:val="nil"/>
                    <w:tr2bl w:val="nil"/>
                  </w:tcBorders>
                  <w:shd w:val="clear" w:color="auto" w:fill="auto"/>
                  <w:noWrap/>
                  <w:vAlign w:val="center"/>
                </w:tcPr>
                <w:p w14:paraId="6A7B6BD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0.3</w:t>
                  </w:r>
                </w:p>
              </w:tc>
              <w:tc>
                <w:tcPr>
                  <w:tcW w:w="371" w:type="pct"/>
                  <w:tcBorders>
                    <w:tl2br w:val="nil"/>
                    <w:tr2bl w:val="nil"/>
                  </w:tcBorders>
                  <w:shd w:val="clear" w:color="auto" w:fill="auto"/>
                  <w:noWrap/>
                  <w:vAlign w:val="center"/>
                </w:tcPr>
                <w:p w14:paraId="1920C8FF">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0.22</w:t>
                  </w:r>
                </w:p>
              </w:tc>
              <w:tc>
                <w:tcPr>
                  <w:tcW w:w="694" w:type="pct"/>
                  <w:tcBorders>
                    <w:tl2br w:val="nil"/>
                    <w:tr2bl w:val="nil"/>
                  </w:tcBorders>
                  <w:shd w:val="clear" w:color="auto" w:fill="auto"/>
                  <w:noWrap/>
                  <w:vAlign w:val="center"/>
                </w:tcPr>
                <w:p w14:paraId="719EC11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400" w:type="pct"/>
                  <w:tcBorders>
                    <w:tl2br w:val="nil"/>
                    <w:tr2bl w:val="nil"/>
                  </w:tcBorders>
                  <w:shd w:val="clear" w:color="auto" w:fill="auto"/>
                  <w:noWrap/>
                  <w:vAlign w:val="center"/>
                </w:tcPr>
                <w:p w14:paraId="0884DEF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0.22</w:t>
                  </w:r>
                </w:p>
              </w:tc>
              <w:tc>
                <w:tcPr>
                  <w:tcW w:w="450" w:type="pct"/>
                  <w:tcBorders>
                    <w:tl2br w:val="nil"/>
                    <w:tr2bl w:val="nil"/>
                  </w:tcBorders>
                  <w:shd w:val="clear" w:color="auto" w:fill="auto"/>
                  <w:noWrap/>
                  <w:vAlign w:val="center"/>
                </w:tcPr>
                <w:p w14:paraId="706A636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05364F40">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24C2FC3">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4D07FC0C">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c>
                <w:tcPr>
                  <w:tcW w:w="331" w:type="pct"/>
                  <w:tcBorders>
                    <w:tl2br w:val="nil"/>
                    <w:tr2bl w:val="nil"/>
                  </w:tcBorders>
                  <w:shd w:val="clear" w:color="auto" w:fill="auto"/>
                  <w:noWrap/>
                  <w:vAlign w:val="center"/>
                </w:tcPr>
                <w:p w14:paraId="73684154">
                  <w:pPr>
                    <w:adjustRightInd/>
                    <w:snapToGrid/>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p>
              </w:tc>
            </w:tr>
          </w:tbl>
          <w:p w14:paraId="143DE5CF">
            <w:pPr>
              <w:rPr>
                <w:rFonts w:hint="eastAsia"/>
                <w:color w:val="auto"/>
              </w:rPr>
            </w:pPr>
            <w:r>
              <w:rPr>
                <w:rFonts w:hint="eastAsia"/>
                <w:color w:val="auto"/>
              </w:rPr>
              <w:t>注：①开挖+调入+外借=回填+调出+废弃；</w:t>
            </w:r>
          </w:p>
          <w:p w14:paraId="622ED28C">
            <w:pPr>
              <w:ind w:firstLine="420" w:firstLineChars="200"/>
              <w:rPr>
                <w:color w:val="auto"/>
              </w:rPr>
            </w:pPr>
            <w:r>
              <w:rPr>
                <w:rFonts w:hint="eastAsia"/>
                <w:color w:val="auto"/>
              </w:rPr>
              <w:t>②上述土石方均为自然方。</w:t>
            </w:r>
          </w:p>
          <w:p w14:paraId="0F452117">
            <w:pPr>
              <w:pStyle w:val="44"/>
              <w:rPr>
                <w:rFonts w:hint="default"/>
                <w:color w:val="auto"/>
                <w:lang w:val="en-US" w:eastAsia="zh-CN"/>
              </w:rPr>
            </w:pPr>
            <w:r>
              <w:rPr>
                <w:rFonts w:hint="default" w:ascii="Times New Roman" w:hAnsi="Times New Roman" w:eastAsia="仿宋_GB2312" w:cs="Times New Roman"/>
                <w:color w:val="auto"/>
                <w:sz w:val="21"/>
                <w:szCs w:val="21"/>
              </w:rPr>
              <w:object>
                <v:shape id="_x0000_i1026" o:spt="75" type="#_x0000_t75" style="height:169.2pt;width:400.4pt;" o:ole="t" filled="f" o:preferrelative="t" stroked="t" coordsize="21600,21600">
                  <v:path/>
                  <v:fill on="f" focussize="0,0"/>
                  <v:stroke color="#000000"/>
                  <v:imagedata r:id="rId16" o:title=""/>
                  <o:lock v:ext="edit" aspectratio="f"/>
                  <w10:wrap type="none"/>
                  <w10:anchorlock/>
                </v:shape>
                <o:OLEObject Type="Embed" ProgID="Visio.Drawing.11" ShapeID="_x0000_i1026" DrawAspect="Content" ObjectID="_1468075726" r:id="rId15">
                  <o:LockedField>false</o:LockedField>
                </o:OLEObject>
              </w:object>
            </w:r>
          </w:p>
          <w:p w14:paraId="58769925">
            <w:pPr>
              <w:spacing w:line="360" w:lineRule="auto"/>
              <w:ind w:firstLine="0" w:firstLineChars="0"/>
              <w:jc w:val="center"/>
              <w:rPr>
                <w:rFonts w:hint="eastAsia"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w:t>
            </w:r>
            <w:r>
              <w:rPr>
                <w:rFonts w:hint="eastAsia" w:ascii="Times New Roman" w:hAnsi="Times New Roman" w:eastAsia="黑体" w:cs="Times New Roman"/>
                <w:color w:val="auto"/>
                <w:sz w:val="21"/>
                <w:szCs w:val="21"/>
                <w:lang w:val="en-US" w:eastAsia="zh-CN"/>
              </w:rPr>
              <w:t>4-1</w:t>
            </w:r>
            <w:r>
              <w:rPr>
                <w:rFonts w:hint="default" w:ascii="Times New Roman" w:hAnsi="Times New Roman" w:eastAsia="黑体" w:cs="Times New Roman"/>
                <w:color w:val="auto"/>
                <w:sz w:val="21"/>
                <w:szCs w:val="21"/>
                <w:lang w:val="en-US" w:eastAsia="zh-CN"/>
              </w:rPr>
              <w:t xml:space="preserve">  </w:t>
            </w:r>
            <w:r>
              <w:rPr>
                <w:rFonts w:hint="default" w:ascii="Times New Roman" w:hAnsi="Times New Roman" w:eastAsia="黑体" w:cs="Times New Roman"/>
                <w:color w:val="auto"/>
                <w:sz w:val="21"/>
                <w:szCs w:val="21"/>
              </w:rPr>
              <w:t>土石方平衡流向图  单位：万</w:t>
            </w:r>
            <w:r>
              <w:rPr>
                <w:rFonts w:hint="default" w:ascii="Times New Roman" w:hAnsi="Times New Roman" w:eastAsia="黑体" w:cs="Times New Roman"/>
                <w:color w:val="auto"/>
                <w:sz w:val="21"/>
                <w:szCs w:val="21"/>
                <w:lang w:eastAsia="zh-CN"/>
              </w:rPr>
              <w:t>m</w:t>
            </w:r>
            <w:r>
              <w:rPr>
                <w:rFonts w:hint="default" w:ascii="Times New Roman" w:hAnsi="Times New Roman" w:eastAsia="黑体" w:cs="Times New Roman"/>
                <w:color w:val="auto"/>
                <w:sz w:val="21"/>
                <w:szCs w:val="21"/>
                <w:vertAlign w:val="superscript"/>
                <w:lang w:eastAsia="zh-CN"/>
              </w:rPr>
              <w:t>3</w:t>
            </w:r>
          </w:p>
          <w:p w14:paraId="0D9A2009">
            <w:pPr>
              <w:spacing w:line="360" w:lineRule="auto"/>
              <w:ind w:firstLine="482" w:firstLineChars="200"/>
              <w:rPr>
                <w:b/>
                <w:bCs/>
                <w:color w:val="auto"/>
                <w:sz w:val="24"/>
              </w:rPr>
            </w:pPr>
            <w:r>
              <w:rPr>
                <w:rFonts w:hint="eastAsia"/>
                <w:b/>
                <w:bCs/>
                <w:color w:val="auto"/>
                <w:sz w:val="24"/>
              </w:rPr>
              <w:t>（2）</w:t>
            </w:r>
            <w:r>
              <w:rPr>
                <w:b/>
                <w:bCs/>
                <w:color w:val="auto"/>
                <w:sz w:val="24"/>
              </w:rPr>
              <w:t>生活垃圾</w:t>
            </w:r>
          </w:p>
          <w:p w14:paraId="1F5B285B">
            <w:pPr>
              <w:spacing w:line="360" w:lineRule="auto"/>
              <w:ind w:firstLine="480" w:firstLineChars="200"/>
              <w:rPr>
                <w:color w:val="auto"/>
                <w:sz w:val="24"/>
              </w:rPr>
            </w:pPr>
            <w:r>
              <w:rPr>
                <w:color w:val="auto"/>
                <w:sz w:val="24"/>
              </w:rPr>
              <w:t>本项目施工期平均施工人员为</w:t>
            </w:r>
            <w:r>
              <w:rPr>
                <w:rFonts w:hint="eastAsia"/>
                <w:color w:val="auto"/>
                <w:sz w:val="24"/>
                <w:lang w:val="en-US" w:eastAsia="zh-CN"/>
              </w:rPr>
              <w:t>8</w:t>
            </w:r>
            <w:r>
              <w:rPr>
                <w:color w:val="auto"/>
                <w:sz w:val="24"/>
              </w:rPr>
              <w:t>人/d，均为周边村民</w:t>
            </w:r>
            <w:r>
              <w:rPr>
                <w:rFonts w:hint="eastAsia"/>
                <w:color w:val="auto"/>
                <w:sz w:val="24"/>
              </w:rPr>
              <w:t>，</w:t>
            </w:r>
            <w:r>
              <w:rPr>
                <w:color w:val="auto"/>
                <w:sz w:val="24"/>
              </w:rPr>
              <w:t>不在工地食宿，根据类比其他同类项目</w:t>
            </w:r>
            <w:r>
              <w:rPr>
                <w:rFonts w:hint="eastAsia"/>
                <w:color w:val="auto"/>
                <w:sz w:val="24"/>
                <w:lang w:eastAsia="zh-CN"/>
              </w:rPr>
              <w:t>，</w:t>
            </w:r>
            <w:r>
              <w:rPr>
                <w:color w:val="auto"/>
                <w:sz w:val="24"/>
              </w:rPr>
              <w:t>生活垃圾按每人每天产生0.5kg计算，产生量为</w:t>
            </w:r>
            <w:r>
              <w:rPr>
                <w:rFonts w:hint="eastAsia"/>
                <w:color w:val="auto"/>
                <w:sz w:val="24"/>
                <w:lang w:val="en-US" w:eastAsia="zh-CN"/>
              </w:rPr>
              <w:t>4.0</w:t>
            </w:r>
            <w:r>
              <w:rPr>
                <w:color w:val="auto"/>
                <w:sz w:val="24"/>
              </w:rPr>
              <w:t>kg/d，施工期约</w:t>
            </w:r>
            <w:r>
              <w:rPr>
                <w:rFonts w:hint="eastAsia"/>
                <w:color w:val="auto"/>
                <w:sz w:val="24"/>
                <w:lang w:val="en-US" w:eastAsia="zh-CN"/>
              </w:rPr>
              <w:t>6</w:t>
            </w:r>
            <w:r>
              <w:rPr>
                <w:color w:val="auto"/>
                <w:sz w:val="24"/>
              </w:rPr>
              <w:t>个月，期间生活垃圾总计约</w:t>
            </w:r>
            <w:r>
              <w:rPr>
                <w:rFonts w:hint="eastAsia"/>
                <w:color w:val="auto"/>
                <w:sz w:val="24"/>
                <w:lang w:val="en-US" w:eastAsia="zh-CN"/>
              </w:rPr>
              <w:t>0.72</w:t>
            </w:r>
            <w:r>
              <w:rPr>
                <w:color w:val="auto"/>
                <w:sz w:val="24"/>
              </w:rPr>
              <w:t>t，本项目生活垃圾集中收集后</w:t>
            </w:r>
            <w:r>
              <w:rPr>
                <w:rFonts w:hint="eastAsia"/>
                <w:color w:val="auto"/>
                <w:sz w:val="24"/>
                <w:lang w:val="en-US" w:eastAsia="zh-CN"/>
              </w:rPr>
              <w:t>按当地环卫部门的要求进行处置</w:t>
            </w:r>
            <w:r>
              <w:rPr>
                <w:color w:val="auto"/>
                <w:sz w:val="24"/>
              </w:rPr>
              <w:t>，严禁施工期间生活垃圾乱堆乱放。</w:t>
            </w:r>
          </w:p>
          <w:p w14:paraId="34BCAF10">
            <w:pPr>
              <w:spacing w:line="360" w:lineRule="auto"/>
              <w:ind w:firstLine="482" w:firstLineChars="200"/>
              <w:rPr>
                <w:color w:val="auto"/>
                <w:sz w:val="24"/>
              </w:rPr>
            </w:pPr>
            <w:r>
              <w:rPr>
                <w:rFonts w:hint="eastAsia"/>
                <w:b/>
                <w:bCs/>
                <w:color w:val="auto"/>
                <w:sz w:val="24"/>
              </w:rPr>
              <w:t>（3）</w:t>
            </w:r>
            <w:r>
              <w:rPr>
                <w:b/>
                <w:bCs/>
                <w:color w:val="auto"/>
                <w:sz w:val="24"/>
              </w:rPr>
              <w:t>建筑垃圾</w:t>
            </w:r>
          </w:p>
          <w:p w14:paraId="60F87EC5">
            <w:pPr>
              <w:snapToGrid w:val="0"/>
              <w:spacing w:line="360" w:lineRule="auto"/>
              <w:ind w:firstLine="480" w:firstLineChars="200"/>
              <w:rPr>
                <w:rFonts w:hint="eastAsia"/>
                <w:color w:val="auto"/>
                <w:sz w:val="24"/>
              </w:rPr>
            </w:pPr>
            <w:r>
              <w:rPr>
                <w:color w:val="auto"/>
                <w:kern w:val="24"/>
                <w:sz w:val="24"/>
              </w:rPr>
              <w:t>项目在施工过程中会产生一定量的建筑垃圾</w:t>
            </w:r>
            <w:r>
              <w:rPr>
                <w:rFonts w:hint="eastAsia"/>
                <w:color w:val="auto"/>
                <w:kern w:val="24"/>
                <w:sz w:val="24"/>
                <w:lang w:eastAsia="zh-CN"/>
              </w:rPr>
              <w:t>（</w:t>
            </w:r>
            <w:r>
              <w:rPr>
                <w:rFonts w:hint="eastAsia"/>
                <w:color w:val="auto"/>
                <w:kern w:val="24"/>
                <w:sz w:val="24"/>
                <w:lang w:val="en-US" w:eastAsia="zh-CN"/>
              </w:rPr>
              <w:t>主要为拆除的废弃房屋量、</w:t>
            </w:r>
            <w:r>
              <w:rPr>
                <w:rFonts w:hint="eastAsia"/>
                <w:color w:val="auto"/>
                <w:kern w:val="24"/>
                <w:sz w:val="24"/>
                <w:lang w:eastAsia="zh-CN"/>
              </w:rPr>
              <w:t>废混凝土、砂石、废金属、废弃包装材料等）。</w:t>
            </w:r>
            <w:r>
              <w:rPr>
                <w:rFonts w:hint="eastAsia"/>
                <w:color w:val="auto"/>
                <w:kern w:val="24"/>
                <w:sz w:val="24"/>
                <w:lang w:val="en-US" w:eastAsia="zh-CN"/>
              </w:rPr>
              <w:t>拆除的房屋量约为0.5t，建设过程中</w:t>
            </w:r>
            <w:r>
              <w:rPr>
                <w:rFonts w:hint="eastAsia"/>
                <w:color w:val="auto"/>
                <w:kern w:val="24"/>
                <w:sz w:val="24"/>
              </w:rPr>
              <w:t>建筑垃圾产生量约为1kg/m</w:t>
            </w:r>
            <w:r>
              <w:rPr>
                <w:rFonts w:hint="eastAsia"/>
                <w:color w:val="auto"/>
                <w:kern w:val="24"/>
                <w:sz w:val="24"/>
                <w:vertAlign w:val="superscript"/>
              </w:rPr>
              <w:t>2</w:t>
            </w:r>
            <w:r>
              <w:rPr>
                <w:rFonts w:hint="eastAsia"/>
                <w:color w:val="auto"/>
                <w:kern w:val="24"/>
                <w:sz w:val="24"/>
              </w:rPr>
              <w:t>，本项目总建筑面积为</w:t>
            </w:r>
            <w:r>
              <w:rPr>
                <w:rFonts w:hint="eastAsia"/>
                <w:color w:val="auto"/>
                <w:kern w:val="24"/>
                <w:sz w:val="24"/>
                <w:lang w:val="en-US" w:eastAsia="zh-CN"/>
              </w:rPr>
              <w:t>126.25</w:t>
            </w:r>
            <w:r>
              <w:rPr>
                <w:rFonts w:hint="eastAsia"/>
                <w:color w:val="auto"/>
                <w:kern w:val="24"/>
                <w:sz w:val="24"/>
              </w:rPr>
              <w:t>m</w:t>
            </w:r>
            <w:r>
              <w:rPr>
                <w:rFonts w:hint="eastAsia"/>
                <w:color w:val="auto"/>
                <w:kern w:val="24"/>
                <w:sz w:val="24"/>
                <w:vertAlign w:val="superscript"/>
              </w:rPr>
              <w:t>2</w:t>
            </w:r>
            <w:r>
              <w:rPr>
                <w:rFonts w:hint="eastAsia"/>
                <w:color w:val="auto"/>
                <w:kern w:val="24"/>
                <w:sz w:val="24"/>
              </w:rPr>
              <w:t>，则项目施工期间建筑垃圾产生量约为</w:t>
            </w:r>
            <w:r>
              <w:rPr>
                <w:rFonts w:hint="eastAsia"/>
                <w:color w:val="auto"/>
                <w:kern w:val="24"/>
                <w:sz w:val="24"/>
                <w:lang w:val="en-US" w:eastAsia="zh-CN"/>
              </w:rPr>
              <w:t>0.13</w:t>
            </w:r>
            <w:r>
              <w:rPr>
                <w:rFonts w:hint="eastAsia"/>
                <w:color w:val="auto"/>
                <w:kern w:val="24"/>
                <w:sz w:val="24"/>
              </w:rPr>
              <w:t>t</w:t>
            </w:r>
            <w:r>
              <w:rPr>
                <w:rFonts w:hint="eastAsia"/>
                <w:color w:val="auto"/>
                <w:kern w:val="24"/>
                <w:sz w:val="24"/>
                <w:lang w:eastAsia="zh-CN"/>
              </w:rPr>
              <w:t>，</w:t>
            </w:r>
            <w:r>
              <w:rPr>
                <w:rFonts w:hint="eastAsia"/>
                <w:color w:val="auto"/>
                <w:kern w:val="24"/>
                <w:sz w:val="24"/>
                <w:lang w:val="en-US" w:eastAsia="zh-CN"/>
              </w:rPr>
              <w:t>合计建筑垃圾量为0.63t。</w:t>
            </w:r>
            <w:r>
              <w:rPr>
                <w:color w:val="auto"/>
                <w:sz w:val="24"/>
              </w:rPr>
              <w:t>本环评要求对建筑垃圾分类处理，建筑垃圾中可回收综合利用的进行回收利用，不可回收利用部分统一收集后</w:t>
            </w:r>
            <w:r>
              <w:rPr>
                <w:rFonts w:hint="eastAsia"/>
                <w:color w:val="auto"/>
                <w:sz w:val="24"/>
                <w:lang w:val="en-US" w:eastAsia="zh-CN"/>
              </w:rPr>
              <w:t>按当地城建部门的要求进行妥善处置</w:t>
            </w:r>
            <w:r>
              <w:rPr>
                <w:rFonts w:hint="eastAsia"/>
                <w:color w:val="auto"/>
                <w:sz w:val="24"/>
              </w:rPr>
              <w:t>，</w:t>
            </w:r>
            <w:r>
              <w:rPr>
                <w:rFonts w:hint="eastAsia"/>
                <w:color w:val="auto"/>
                <w:sz w:val="24"/>
                <w:lang w:val="en-US" w:eastAsia="zh-CN"/>
              </w:rPr>
              <w:t>不得</w:t>
            </w:r>
            <w:r>
              <w:rPr>
                <w:rFonts w:hint="eastAsia"/>
                <w:color w:val="auto"/>
                <w:sz w:val="24"/>
              </w:rPr>
              <w:t>随意倾倒。</w:t>
            </w:r>
          </w:p>
          <w:p w14:paraId="10D549E4">
            <w:pPr>
              <w:adjustRightInd w:val="0"/>
              <w:snapToGrid w:val="0"/>
              <w:spacing w:line="360" w:lineRule="auto"/>
              <w:rPr>
                <w:rFonts w:hint="default" w:ascii="Times New Roman" w:hAnsi="Times New Roman" w:eastAsia="黑体" w:cs="Times New Roman"/>
                <w:color w:val="auto"/>
                <w:sz w:val="24"/>
                <w:lang w:val="en-US" w:eastAsia="zh-CN"/>
              </w:rPr>
            </w:pPr>
            <w:r>
              <w:rPr>
                <w:rFonts w:hint="eastAsia" w:eastAsia="黑体"/>
                <w:color w:val="auto"/>
                <w:sz w:val="24"/>
                <w:lang w:val="en-US" w:eastAsia="zh-CN"/>
              </w:rPr>
              <w:t>5、施工期</w:t>
            </w:r>
            <w:r>
              <w:rPr>
                <w:rFonts w:hint="default" w:ascii="Times New Roman" w:hAnsi="Times New Roman" w:eastAsia="黑体" w:cs="Times New Roman"/>
                <w:color w:val="auto"/>
                <w:sz w:val="24"/>
                <w:lang w:val="en-US" w:eastAsia="zh-CN"/>
              </w:rPr>
              <w:t>生态环境</w:t>
            </w:r>
            <w:r>
              <w:rPr>
                <w:rFonts w:hint="eastAsia" w:ascii="Times New Roman" w:hAnsi="Times New Roman" w:eastAsia="黑体" w:cs="Times New Roman"/>
                <w:color w:val="auto"/>
                <w:sz w:val="24"/>
                <w:lang w:val="en-US" w:eastAsia="zh-CN"/>
              </w:rPr>
              <w:t>保护措施</w:t>
            </w:r>
          </w:p>
          <w:p w14:paraId="31B8AA07">
            <w:p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rPr>
            </w:pPr>
            <w:r>
              <w:rPr>
                <w:rFonts w:hint="default" w:ascii="Times New Roman" w:hAnsi="Times New Roman" w:eastAsia="宋体" w:cs="Times New Roman"/>
                <w:snapToGrid/>
                <w:color w:val="auto"/>
                <w:kern w:val="2"/>
                <w:sz w:val="24"/>
                <w:szCs w:val="24"/>
                <w:highlight w:val="none"/>
                <w:lang w:val="en-US" w:eastAsia="zh-CN"/>
              </w:rPr>
              <w:t>项目施工过程中的地表开挖活动，将改变地表原地貌、破坏工程占地及施工场地范围内的地表植被、影响自然景观；地表土壤裸露、运输车辆、人员进出，雨天造成道路和施工现场泥泞不堪，被雨水冲刷后造成水土流失。因此，项目施工期间的生态环境影响因素主要表现为施工活动改变地表原地貌、影响自然景观；施工活动占压地表，破坏地表植被；施工噪声及施工活动对野生动物造成的驱赶效应；以及施工期导致的新增水土流失等几个方面。</w:t>
            </w:r>
          </w:p>
          <w:p w14:paraId="0EFCC092">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地形、地貌及自然景观的改变</w:t>
            </w:r>
          </w:p>
          <w:p w14:paraId="68CAA8BB">
            <w:p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rPr>
            </w:pPr>
            <w:r>
              <w:rPr>
                <w:rFonts w:hint="default" w:ascii="Times New Roman" w:hAnsi="Times New Roman" w:eastAsia="宋体" w:cs="Times New Roman"/>
                <w:snapToGrid/>
                <w:color w:val="auto"/>
                <w:kern w:val="2"/>
                <w:sz w:val="24"/>
                <w:szCs w:val="24"/>
                <w:highlight w:val="none"/>
                <w:lang w:val="en-US" w:eastAsia="zh-CN"/>
              </w:rPr>
              <w:t>项目为民用爆炸物品储存库建设项目，总占地面积为</w:t>
            </w:r>
            <w:r>
              <w:rPr>
                <w:rFonts w:hint="eastAsia" w:cs="Times New Roman"/>
                <w:snapToGrid/>
                <w:color w:val="auto"/>
                <w:kern w:val="2"/>
                <w:sz w:val="24"/>
                <w:szCs w:val="24"/>
                <w:highlight w:val="none"/>
                <w:lang w:val="en-US" w:eastAsia="zh-CN"/>
              </w:rPr>
              <w:t>11820.20</w:t>
            </w:r>
            <w:r>
              <w:rPr>
                <w:rFonts w:hint="default" w:ascii="Times New Roman" w:hAnsi="Times New Roman" w:eastAsia="宋体" w:cs="Times New Roman"/>
                <w:snapToGrid/>
                <w:color w:val="auto"/>
                <w:kern w:val="2"/>
                <w:sz w:val="24"/>
                <w:szCs w:val="24"/>
                <w:highlight w:val="none"/>
                <w:lang w:val="en-US" w:eastAsia="zh-CN"/>
              </w:rPr>
              <w:t>m</w:t>
            </w:r>
            <w:r>
              <w:rPr>
                <w:rFonts w:hint="default" w:ascii="Times New Roman" w:hAnsi="Times New Roman" w:eastAsia="宋体" w:cs="Times New Roman"/>
                <w:snapToGrid/>
                <w:color w:val="auto"/>
                <w:kern w:val="2"/>
                <w:sz w:val="24"/>
                <w:szCs w:val="24"/>
                <w:highlight w:val="none"/>
                <w:vertAlign w:val="superscript"/>
                <w:lang w:val="en-US" w:eastAsia="zh-CN"/>
              </w:rPr>
              <w:t>2</w:t>
            </w:r>
            <w:r>
              <w:rPr>
                <w:rFonts w:hint="default" w:ascii="Times New Roman" w:hAnsi="Times New Roman" w:eastAsia="宋体" w:cs="Times New Roman"/>
                <w:snapToGrid/>
                <w:color w:val="auto"/>
                <w:kern w:val="2"/>
                <w:sz w:val="24"/>
                <w:szCs w:val="24"/>
                <w:highlight w:val="none"/>
                <w:lang w:val="en-US" w:eastAsia="zh-CN"/>
              </w:rPr>
              <w:t>，项目施工活动导致的地形地貌改变主要为新增占地，新增占地与评价区域地形与总体地形的起伏程度相同，因此，项目建设对评价区域现有地貌的影响轻微。</w:t>
            </w:r>
          </w:p>
          <w:p w14:paraId="6A010817">
            <w:pPr>
              <w:kinsoku/>
              <w:autoSpaceDE/>
              <w:autoSpaceDN/>
              <w:adjustRightInd/>
              <w:snapToGrid/>
              <w:spacing w:line="360" w:lineRule="auto"/>
              <w:ind w:firstLine="482" w:firstLineChars="200"/>
              <w:jc w:val="both"/>
              <w:textAlignment w:val="auto"/>
              <w:rPr>
                <w:rFonts w:hint="default"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（2）</w:t>
            </w:r>
            <w:r>
              <w:rPr>
                <w:rFonts w:hint="default" w:ascii="Times New Roman" w:hAnsi="Times New Roman" w:eastAsia="宋体" w:cs="Times New Roman"/>
                <w:b/>
                <w:bCs/>
                <w:snapToGrid/>
                <w:color w:val="auto"/>
                <w:kern w:val="2"/>
                <w:sz w:val="24"/>
                <w:szCs w:val="24"/>
                <w:highlight w:val="none"/>
                <w:lang w:val="en-US" w:eastAsia="zh-CN"/>
              </w:rPr>
              <w:t>植被破坏</w:t>
            </w:r>
          </w:p>
          <w:p w14:paraId="19F11818">
            <w:p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rPr>
            </w:pPr>
            <w:r>
              <w:rPr>
                <w:rFonts w:hint="default" w:ascii="Times New Roman" w:hAnsi="Times New Roman" w:eastAsia="宋体" w:cs="Times New Roman"/>
                <w:snapToGrid/>
                <w:color w:val="auto"/>
                <w:kern w:val="2"/>
                <w:sz w:val="24"/>
                <w:szCs w:val="24"/>
                <w:highlight w:val="none"/>
                <w:lang w:val="en-US" w:eastAsia="zh-CN"/>
              </w:rPr>
              <w:t>项目</w:t>
            </w:r>
            <w:r>
              <w:rPr>
                <w:rFonts w:hint="eastAsia" w:ascii="Times New Roman" w:hAnsi="Times New Roman" w:eastAsia="宋体" w:cs="Times New Roman"/>
                <w:snapToGrid/>
                <w:color w:val="auto"/>
                <w:kern w:val="2"/>
                <w:sz w:val="24"/>
                <w:szCs w:val="24"/>
                <w:highlight w:val="none"/>
                <w:lang w:val="en-US" w:eastAsia="zh-CN"/>
              </w:rPr>
              <w:t>区内</w:t>
            </w:r>
            <w:r>
              <w:rPr>
                <w:rFonts w:hint="default" w:ascii="Times New Roman" w:hAnsi="Times New Roman" w:eastAsia="宋体" w:cs="Times New Roman"/>
                <w:snapToGrid/>
                <w:color w:val="auto"/>
                <w:kern w:val="2"/>
                <w:sz w:val="24"/>
                <w:szCs w:val="24"/>
                <w:highlight w:val="none"/>
                <w:lang w:val="en-US" w:eastAsia="zh-CN"/>
              </w:rPr>
              <w:t>植被主要为</w:t>
            </w:r>
            <w:r>
              <w:rPr>
                <w:rFonts w:hint="eastAsia" w:cs="Times New Roman"/>
                <w:color w:val="auto"/>
                <w:sz w:val="24"/>
                <w:lang w:val="en-US" w:eastAsia="zh-CN"/>
              </w:rPr>
              <w:t>人工种植的竹林</w:t>
            </w:r>
            <w:r>
              <w:rPr>
                <w:rFonts w:hint="default" w:ascii="Times New Roman" w:hAnsi="Times New Roman" w:eastAsia="宋体" w:cs="Times New Roman"/>
                <w:snapToGrid/>
                <w:color w:val="auto"/>
                <w:kern w:val="2"/>
                <w:sz w:val="24"/>
                <w:szCs w:val="24"/>
                <w:highlight w:val="none"/>
                <w:lang w:val="en-US" w:eastAsia="zh-CN"/>
              </w:rPr>
              <w:t>和灌草丛，植被类型主要为云南省及项目所在区域的常规物种，因此对植被的影响较小。</w:t>
            </w:r>
          </w:p>
          <w:p w14:paraId="29E33789">
            <w:pPr>
              <w:kinsoku/>
              <w:autoSpaceDE/>
              <w:autoSpaceDN/>
              <w:adjustRightInd/>
              <w:snapToGrid/>
              <w:spacing w:line="360" w:lineRule="auto"/>
              <w:ind w:firstLine="482" w:firstLineChars="200"/>
              <w:jc w:val="both"/>
              <w:textAlignment w:val="auto"/>
              <w:rPr>
                <w:rFonts w:hint="default"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（3）</w:t>
            </w:r>
            <w:r>
              <w:rPr>
                <w:rFonts w:hint="default" w:ascii="Times New Roman" w:hAnsi="Times New Roman" w:eastAsia="宋体" w:cs="Times New Roman"/>
                <w:b/>
                <w:bCs/>
                <w:snapToGrid/>
                <w:color w:val="auto"/>
                <w:kern w:val="2"/>
                <w:sz w:val="24"/>
                <w:szCs w:val="24"/>
                <w:highlight w:val="none"/>
                <w:lang w:val="en-US" w:eastAsia="zh-CN"/>
              </w:rPr>
              <w:t>对野生动物的影响</w:t>
            </w:r>
          </w:p>
          <w:p w14:paraId="771F9495">
            <w:p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rPr>
            </w:pPr>
            <w:r>
              <w:rPr>
                <w:rFonts w:hint="default" w:ascii="Times New Roman" w:hAnsi="Times New Roman" w:eastAsia="宋体" w:cs="Times New Roman"/>
                <w:snapToGrid/>
                <w:color w:val="auto"/>
                <w:kern w:val="2"/>
                <w:sz w:val="24"/>
                <w:szCs w:val="24"/>
                <w:highlight w:val="none"/>
                <w:lang w:val="en-US" w:eastAsia="zh-CN"/>
              </w:rPr>
              <w:t>项目建设区域周边受人类生产及生活活动的影响，项目区域内及周边无大型野生动物分布，也无珍稀保护动物分布，评价区域内野生动物以</w:t>
            </w:r>
            <w:r>
              <w:rPr>
                <w:rFonts w:hint="default" w:ascii="Times New Roman" w:hAnsi="Times New Roman" w:eastAsia="宋体" w:cs="Times New Roman"/>
                <w:snapToGrid/>
                <w:color w:val="auto"/>
                <w:kern w:val="2"/>
                <w:sz w:val="24"/>
                <w:szCs w:val="24"/>
                <w:highlight w:val="none"/>
                <w:lang w:val="zh-CN" w:eastAsia="zh-CN"/>
              </w:rPr>
              <w:t>调查区野生动物资源主要为</w:t>
            </w:r>
            <w:r>
              <w:rPr>
                <w:rFonts w:hint="default" w:ascii="Times New Roman" w:hAnsi="Times New Roman" w:eastAsia="宋体" w:cs="Times New Roman"/>
                <w:snapToGrid/>
                <w:color w:val="auto"/>
                <w:kern w:val="2"/>
                <w:sz w:val="24"/>
                <w:szCs w:val="24"/>
                <w:highlight w:val="none"/>
                <w:lang w:val="en-US" w:eastAsia="zh-CN"/>
              </w:rPr>
              <w:t>啮齿目</w:t>
            </w:r>
            <w:r>
              <w:rPr>
                <w:rFonts w:hint="default" w:ascii="Times New Roman" w:hAnsi="Times New Roman" w:eastAsia="宋体" w:cs="Times New Roman"/>
                <w:snapToGrid/>
                <w:color w:val="auto"/>
                <w:kern w:val="2"/>
                <w:sz w:val="24"/>
                <w:szCs w:val="24"/>
                <w:highlight w:val="none"/>
                <w:lang w:val="zh-CN" w:eastAsia="zh-CN"/>
              </w:rPr>
              <w:t>、</w:t>
            </w:r>
            <w:r>
              <w:rPr>
                <w:rFonts w:hint="default" w:ascii="Times New Roman" w:hAnsi="Times New Roman" w:eastAsia="宋体" w:cs="Times New Roman"/>
                <w:snapToGrid/>
                <w:color w:val="auto"/>
                <w:kern w:val="2"/>
                <w:sz w:val="24"/>
                <w:szCs w:val="24"/>
                <w:highlight w:val="none"/>
                <w:lang w:val="en-US" w:eastAsia="zh-CN"/>
              </w:rPr>
              <w:t>雀形目、有鳞目、无尾目等较适应人类活动的动物种类为主，项目施工活动及施工噪声将对工程建设区域内及周边一定范围内的野生动物造成一定程度的驱赶效应。导致野生动物向远离工程建设区域的范围迁徙。</w:t>
            </w:r>
          </w:p>
          <w:p w14:paraId="64876492">
            <w:pPr>
              <w:kinsoku/>
              <w:autoSpaceDE/>
              <w:autoSpaceDN/>
              <w:adjustRightInd/>
              <w:snapToGrid/>
              <w:spacing w:line="360" w:lineRule="auto"/>
              <w:ind w:firstLine="482" w:firstLineChars="200"/>
              <w:jc w:val="both"/>
              <w:textAlignment w:val="auto"/>
              <w:rPr>
                <w:rFonts w:hint="default" w:ascii="Times New Roman" w:hAnsi="Times New Roman" w:eastAsia="宋体" w:cs="Times New Roman"/>
                <w:b/>
                <w:bCs/>
                <w:snapToGrid/>
                <w:color w:val="auto"/>
                <w:kern w:val="2"/>
                <w:sz w:val="24"/>
                <w:szCs w:val="24"/>
                <w:highlight w:val="none"/>
                <w:lang w:val="en-US" w:eastAsia="zh-CN"/>
              </w:rPr>
            </w:pPr>
            <w:r>
              <w:rPr>
                <w:rFonts w:hint="eastAsia" w:ascii="Times New Roman" w:hAnsi="Times New Roman" w:eastAsia="宋体" w:cs="Times New Roman"/>
                <w:b/>
                <w:bCs/>
                <w:snapToGrid/>
                <w:color w:val="auto"/>
                <w:kern w:val="2"/>
                <w:sz w:val="24"/>
                <w:szCs w:val="24"/>
                <w:highlight w:val="none"/>
                <w:lang w:val="en-US" w:eastAsia="zh-CN"/>
              </w:rPr>
              <w:t>（4）</w:t>
            </w:r>
            <w:r>
              <w:rPr>
                <w:rFonts w:hint="default" w:ascii="Times New Roman" w:hAnsi="Times New Roman" w:eastAsia="宋体" w:cs="Times New Roman"/>
                <w:b/>
                <w:bCs/>
                <w:snapToGrid/>
                <w:color w:val="auto"/>
                <w:kern w:val="2"/>
                <w:sz w:val="24"/>
                <w:szCs w:val="24"/>
                <w:highlight w:val="none"/>
                <w:lang w:val="en-US" w:eastAsia="zh-CN"/>
              </w:rPr>
              <w:t>水土流失</w:t>
            </w:r>
          </w:p>
          <w:p w14:paraId="6E64D534">
            <w:p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highlight w:val="yellow"/>
                <w:lang w:val="en-US" w:eastAsia="zh-CN"/>
              </w:rPr>
            </w:pPr>
            <w:r>
              <w:rPr>
                <w:rFonts w:hint="default" w:ascii="Times New Roman" w:hAnsi="Times New Roman" w:eastAsia="宋体" w:cs="Times New Roman"/>
                <w:snapToGrid/>
                <w:color w:val="auto"/>
                <w:kern w:val="2"/>
                <w:sz w:val="24"/>
                <w:szCs w:val="24"/>
                <w:highlight w:val="none"/>
                <w:lang w:val="en-US" w:eastAsia="zh-CN"/>
              </w:rPr>
              <w:t>根据水土流失预测，根据预测结果分析可知，本项目施工扰动后，可能产生的水土流失总量为</w:t>
            </w:r>
            <w:r>
              <w:rPr>
                <w:rFonts w:hint="eastAsia" w:cs="Times New Roman"/>
                <w:snapToGrid/>
                <w:color w:val="auto"/>
                <w:kern w:val="2"/>
                <w:sz w:val="24"/>
                <w:szCs w:val="24"/>
                <w:highlight w:val="none"/>
                <w:lang w:val="en-US" w:eastAsia="zh-CN"/>
              </w:rPr>
              <w:t>23.86</w:t>
            </w:r>
            <w:r>
              <w:rPr>
                <w:rFonts w:hint="default" w:ascii="Times New Roman" w:hAnsi="Times New Roman" w:eastAsia="宋体" w:cs="Times New Roman"/>
                <w:snapToGrid/>
                <w:color w:val="auto"/>
                <w:kern w:val="2"/>
                <w:sz w:val="24"/>
                <w:szCs w:val="24"/>
                <w:highlight w:val="none"/>
                <w:lang w:val="en-US" w:eastAsia="zh-CN"/>
              </w:rPr>
              <w:t>t，新增水土流失量为</w:t>
            </w:r>
            <w:r>
              <w:rPr>
                <w:rFonts w:hint="eastAsia" w:cs="Times New Roman"/>
                <w:snapToGrid/>
                <w:color w:val="auto"/>
                <w:kern w:val="2"/>
                <w:sz w:val="24"/>
                <w:szCs w:val="24"/>
                <w:highlight w:val="none"/>
                <w:lang w:val="en-US" w:eastAsia="zh-CN"/>
              </w:rPr>
              <w:t>15.08</w:t>
            </w:r>
            <w:r>
              <w:rPr>
                <w:rFonts w:hint="default" w:ascii="Times New Roman" w:hAnsi="Times New Roman" w:eastAsia="宋体" w:cs="Times New Roman"/>
                <w:snapToGrid/>
                <w:color w:val="auto"/>
                <w:kern w:val="2"/>
                <w:sz w:val="24"/>
                <w:szCs w:val="24"/>
                <w:highlight w:val="none"/>
                <w:lang w:val="en-US" w:eastAsia="zh-CN"/>
              </w:rPr>
              <w:t>t。</w:t>
            </w:r>
          </w:p>
          <w:p w14:paraId="712BA1E9">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为了减少项目施工期对生态环境的影响，本环评要求建设单位应严格按照“避让、减缓、恢复”的要求采取相应的生态保护措施，具体如下：</w:t>
            </w:r>
          </w:p>
          <w:p w14:paraId="3F892243">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1）避让措施</w:t>
            </w:r>
          </w:p>
          <w:p w14:paraId="495FBCB1">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①优化工程设计，减少施工活动范围，尽量减轻人为干扰及施工活动等对植物的影响；优化施工运输道路线路。</w:t>
            </w:r>
          </w:p>
          <w:p w14:paraId="7B8AA719">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②严格控制施工作业面积，不得超过作业标准规定，减少土壤扰动和地表植被破坏，减少裸地和土方暴露面积。</w:t>
            </w:r>
          </w:p>
          <w:p w14:paraId="325321D0">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③优化施工时序，避开雨季施工，减少水土流失，减轻水土流失对植被的影响。</w:t>
            </w:r>
          </w:p>
          <w:p w14:paraId="24E95337">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2）减缓措施</w:t>
            </w:r>
          </w:p>
          <w:p w14:paraId="4CA6BC9E">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①加大力度促进库区周边植被的自然恢复。保护现有植被，通过人工促进措施增加森林植被生产力；并配以如撒播适宜该地区土壤的树种等措施，促进灌丛、灌草丛向森林植被的顺向演替。</w:t>
            </w:r>
          </w:p>
          <w:p w14:paraId="05DB9B4D">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②严禁越界施工。施工前，在主要施工区及植被较好的地段设置生态保护警示牌，标明工程施工区范围，禁止越界施工或砍伐林木，尽量减少占地造成的植被损失。</w:t>
            </w:r>
          </w:p>
          <w:p w14:paraId="5F4594E7">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③防止外来入侵种的扩散；植被裸露区及时绿化，防止土荆芥、紫茎泽兰、藿香菊、鬼针草、林泽兰、白酒草、圆叶牵牛等入侵植物占领裸露空地造成生物入侵。</w:t>
            </w:r>
          </w:p>
          <w:p w14:paraId="32BC5902">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施工期加强《中华人民共和国森林法》、《中华人民共和国野生植物保护条例》有关对保护野生动植物的宣传力度，大力宣传保护动植物的重要性。施工过程中张贴动植物保护告示或设置警示牌，不得随意砍伐植物；在开挖的工程中，如发现有国家重点保护野生植物，要报告当地相关部门，立即组织挽救，移栽他处。</w:t>
            </w:r>
          </w:p>
          <w:p w14:paraId="6AC308EA">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3）恢复和补偿措施</w:t>
            </w:r>
          </w:p>
          <w:p w14:paraId="202E910B">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施工占地将形成裸露面，应该在施工结束后种植原有乔木或灌木物种进行植被恢复，使恢复的植被能和占地边缘的植被自然衔接，消除施工产生的裸露面，减小植被损失。林地上植被恢复时应在“适地适树、适地适草”的原则下，树种、草种的选择当地优良的乡土树种草种为主，适当引进新的优良树种草种，保证绿化栽植的成活率，禁止引入外来入侵物种。把剥离的表层熟土回填至周围的植被恢复区内，用作绿化带的覆土改造。</w:t>
            </w:r>
          </w:p>
          <w:p w14:paraId="039140A1">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动物保护措施</w:t>
            </w:r>
          </w:p>
          <w:p w14:paraId="2758531A">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施工废水经处理后回用于施工</w:t>
            </w:r>
            <w:r>
              <w:rPr>
                <w:rFonts w:hint="eastAsia" w:ascii="Times New Roman" w:hAnsi="Times New Roman"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en-US" w:eastAsia="zh-CN"/>
              </w:rPr>
              <w:t>，避免污染两栖爬行类的生境，以减少两栖爬行类动物生境的影响；建筑物及其他材料应堆放好，建议采取临时防风、防雨设施，避免砸伤小型兽类和两栖爬行类动物；对施工运输车辆应采取遮挡措施，尤其是运输水泥等材料时，避免材料撒落破坏周围动物生境。</w:t>
            </w:r>
          </w:p>
          <w:p w14:paraId="1DDAA7B1">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②</w:t>
            </w:r>
            <w:r>
              <w:rPr>
                <w:rFonts w:hint="default" w:ascii="Times New Roman" w:hAnsi="Times New Roman" w:eastAsia="宋体" w:cs="Times New Roman"/>
                <w:b/>
                <w:bCs/>
                <w:color w:val="auto"/>
                <w:sz w:val="24"/>
                <w:szCs w:val="24"/>
                <w:highlight w:val="none"/>
                <w:lang w:val="en-US" w:eastAsia="zh-CN"/>
              </w:rPr>
              <w:t>管理措施</w:t>
            </w:r>
          </w:p>
          <w:p w14:paraId="25912973">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·增强施工人员的保护意识，严禁捕猎野生动物。</w:t>
            </w:r>
          </w:p>
          <w:p w14:paraId="0D1219F9">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·施工期间，在各主要施工作业区设置生态保护警示牌</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宣传牌，普及评价区可能分布的野生保护动物及重点保护野生动物保护法规。警示牌上标明工程施工区范围，禁止越界施工占地或砍伐林木、禁止捕猎野生动物，尽量减少占地造成的植被损失和对野生动物的伤害。</w:t>
            </w:r>
          </w:p>
          <w:p w14:paraId="1FC86216">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·加强工程区的生态环境的监控和管理，防止施工活动加剧造成的诸如动物资源的破坏、水环境污染等对当地生物多样性的破坏。</w:t>
            </w:r>
          </w:p>
          <w:p w14:paraId="0CAC62BD">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水土保持措施</w:t>
            </w:r>
          </w:p>
          <w:p w14:paraId="26068D45">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①本工程主体设计措施工程量为：</w:t>
            </w:r>
          </w:p>
          <w:p w14:paraId="6D0E92BF">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工程措施：表土剥离0.09万m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，表土回覆0.09万m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，砖砌排水沟420m（土石方开挖128.52m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，砖砌筑98.28m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，水泥砂浆抹面30.384m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p w14:paraId="38781FCB">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植物措施：铺草皮绿化925.8m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，撒草绿化0.14hm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（高羊茅草籽8.4kg），保留绿化0.69hm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p w14:paraId="266FFF6C">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②方案新增措施工程量为：</w:t>
            </w:r>
          </w:p>
          <w:p w14:paraId="6C67918E">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工程措施：沉沙池1座（土石方开挖12.24m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，M7.5砌砖1.73m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，砂浆抹面15m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p w14:paraId="3792C879">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临时措施：彩条布临时覆盖1300m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，密目网临时覆盖500m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tc>
      </w:tr>
      <w:tr w14:paraId="5DA9C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5" w:hRule="atLeast"/>
          <w:jc w:val="center"/>
        </w:trPr>
        <w:tc>
          <w:tcPr>
            <w:tcW w:w="271" w:type="pct"/>
            <w:tcMar>
              <w:left w:w="28" w:type="dxa"/>
              <w:right w:w="28" w:type="dxa"/>
            </w:tcMar>
            <w:vAlign w:val="center"/>
          </w:tcPr>
          <w:p w14:paraId="1EBAA8B6">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运营</w:t>
            </w:r>
          </w:p>
          <w:p w14:paraId="79E71C30">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14:paraId="323167FB">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14:paraId="2C6EDC7B">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14:paraId="340D1B6C">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14:paraId="75E1D5AC">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 w:val="24"/>
              </w:rPr>
              <w:t>措施</w:t>
            </w:r>
          </w:p>
        </w:tc>
        <w:tc>
          <w:tcPr>
            <w:tcW w:w="4728" w:type="pct"/>
            <w:vAlign w:val="center"/>
          </w:tcPr>
          <w:p w14:paraId="6D0CFE70">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1、大气</w:t>
            </w:r>
          </w:p>
          <w:p w14:paraId="268A054D">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1.1大气污染源强核算</w:t>
            </w:r>
          </w:p>
          <w:p w14:paraId="6BC41C51">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为民用爆炸物品储存库建设项目，运营期</w:t>
            </w:r>
            <w:r>
              <w:rPr>
                <w:rFonts w:hint="default" w:ascii="Times New Roman" w:hAnsi="Times New Roman" w:cs="Times New Roman"/>
                <w:color w:val="auto"/>
                <w:sz w:val="24"/>
              </w:rPr>
              <w:t>废气主要为运输车辆产生的车辆废气和扬尘。</w:t>
            </w:r>
          </w:p>
          <w:p w14:paraId="69534130">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营运期废气主要为厂内运输车辆产生的运输扬尘和燃油废气。采用内部道路硬化、加强道路清扫和洒水等措施，可减少运输扬尘产生，产生的运输扬尘无组织排放。运输车辆库区内运行过程中排放车辆尾气，污染物为CO、NOx等，运输车辆为满足国家标准车辆，项目库区内运行距离短，装卸炸药过程中车辆处于熄火状态，车辆发动机运行时间段，产生的少量汽车尾气无组织排放。</w:t>
            </w:r>
          </w:p>
          <w:p w14:paraId="0468D3E3">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项目区域环境空气质量现状良好，项目采取厂区路面水泥硬化，在加强道路清扫和洒水后，颗粒物无组织排放量小，对大气环境保护目标的环境影响较小，环境总体可以接受。</w:t>
            </w:r>
          </w:p>
          <w:p w14:paraId="4495714C">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w:t>
            </w:r>
            <w:r>
              <w:rPr>
                <w:rFonts w:hint="eastAsia" w:eastAsia="黑体" w:cs="Times New Roman"/>
                <w:color w:val="auto"/>
                <w:sz w:val="24"/>
                <w:lang w:val="en-US" w:eastAsia="zh-CN"/>
              </w:rPr>
              <w:t>2</w:t>
            </w:r>
            <w:r>
              <w:rPr>
                <w:rFonts w:hint="default" w:ascii="Times New Roman" w:hAnsi="Times New Roman" w:eastAsia="黑体" w:cs="Times New Roman"/>
                <w:color w:val="auto"/>
                <w:sz w:val="24"/>
              </w:rPr>
              <w:t>废气监测要求</w:t>
            </w:r>
          </w:p>
          <w:p w14:paraId="3C8E91F7">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根据《国家重点监控企业自行监测及信息公开办法</w:t>
            </w:r>
            <w:r>
              <w:rPr>
                <w:rFonts w:hint="eastAsia" w:cs="Times New Roman"/>
                <w:color w:val="auto"/>
                <w:sz w:val="24"/>
                <w:lang w:eastAsia="zh-CN"/>
              </w:rPr>
              <w:t>（</w:t>
            </w:r>
            <w:r>
              <w:rPr>
                <w:rFonts w:hint="default" w:ascii="Times New Roman" w:hAnsi="Times New Roman" w:eastAsia="宋体" w:cs="Times New Roman"/>
                <w:color w:val="auto"/>
                <w:sz w:val="24"/>
              </w:rPr>
              <w:t>试行</w:t>
            </w:r>
            <w:r>
              <w:rPr>
                <w:rFonts w:hint="eastAsia" w:cs="Times New Roman"/>
                <w:color w:val="auto"/>
                <w:sz w:val="24"/>
                <w:lang w:eastAsia="zh-CN"/>
              </w:rPr>
              <w:t>）</w:t>
            </w:r>
            <w:r>
              <w:rPr>
                <w:rFonts w:hint="default" w:ascii="Times New Roman" w:hAnsi="Times New Roman" w:eastAsia="宋体" w:cs="Times New Roman"/>
                <w:color w:val="auto"/>
                <w:sz w:val="24"/>
              </w:rPr>
              <w:t>》、《排污单位自行监测技术指南</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总则》</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HJ819-2017</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本项目属于仓库，无生产环节，无生产废气产生，无废气排放口，因此不进行废气的环境监测。</w:t>
            </w:r>
          </w:p>
          <w:p w14:paraId="7F125D01">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w:t>
            </w:r>
            <w:r>
              <w:rPr>
                <w:rFonts w:hint="eastAsia" w:eastAsia="黑体" w:cs="Times New Roman"/>
                <w:color w:val="auto"/>
                <w:sz w:val="24"/>
                <w:lang w:val="en-US" w:eastAsia="zh-CN"/>
              </w:rPr>
              <w:t>3</w:t>
            </w:r>
            <w:r>
              <w:rPr>
                <w:rFonts w:hint="default" w:ascii="Times New Roman" w:hAnsi="Times New Roman" w:eastAsia="黑体" w:cs="Times New Roman"/>
                <w:color w:val="auto"/>
                <w:sz w:val="24"/>
              </w:rPr>
              <w:t>总结</w:t>
            </w:r>
          </w:p>
          <w:p w14:paraId="7E86D9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项目位于云南省玉溪市新平县戛洒镇米尺莫村委会哈母白租村民小组，项目区周边500m范围内无关心点分布，同时根据项目周边大气现状的调查，项目区周边的大气环境属于达标区，且本项目排放的大气经严格落实各项控制措施后，均可做到达标排放，对周边环境的影响可以接受。</w:t>
            </w:r>
          </w:p>
          <w:p w14:paraId="164BA5E9">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2、废水</w:t>
            </w:r>
          </w:p>
          <w:p w14:paraId="6F289902">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2.1废水产生情况</w:t>
            </w:r>
          </w:p>
          <w:p w14:paraId="0382D8DE">
            <w:pPr>
              <w:spacing w:line="360" w:lineRule="auto"/>
              <w:ind w:firstLine="504" w:firstLineChars="21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为炸药及雷管的储存，未涉及生产，无生产</w:t>
            </w:r>
            <w:r>
              <w:rPr>
                <w:rFonts w:hint="default" w:ascii="Times New Roman" w:hAnsi="Times New Roman" w:cs="Times New Roman"/>
                <w:color w:val="auto"/>
                <w:sz w:val="24"/>
              </w:rPr>
              <w:t>废水</w:t>
            </w:r>
            <w:r>
              <w:rPr>
                <w:rFonts w:hint="eastAsia" w:cs="Times New Roman"/>
                <w:color w:val="auto"/>
                <w:sz w:val="24"/>
                <w:lang w:val="en-US" w:eastAsia="zh-CN"/>
              </w:rPr>
              <w:t>产生，运营过程中废水主要为</w:t>
            </w:r>
            <w:r>
              <w:rPr>
                <w:rFonts w:hint="default" w:ascii="Times New Roman" w:hAnsi="Times New Roman" w:cs="Times New Roman"/>
                <w:color w:val="auto"/>
                <w:sz w:val="24"/>
              </w:rPr>
              <w:t>生活污水。</w:t>
            </w:r>
          </w:p>
          <w:p w14:paraId="3B839DE2">
            <w:pPr>
              <w:widowControl/>
              <w:spacing w:line="360" w:lineRule="auto"/>
              <w:ind w:firstLine="480" w:firstLineChars="200"/>
              <w:jc w:val="left"/>
              <w:rPr>
                <w:rFonts w:hint="default" w:ascii="Times New Roman" w:hAnsi="Times New Roman" w:cs="Times New Roman"/>
                <w:b w:val="0"/>
                <w:bCs w:val="0"/>
                <w:color w:val="auto"/>
                <w:sz w:val="21"/>
                <w:szCs w:val="21"/>
              </w:rPr>
            </w:pPr>
            <w:r>
              <w:rPr>
                <w:rFonts w:hint="eastAsia" w:ascii="Times New Roman" w:hAnsi="Times New Roman" w:cs="Times New Roman"/>
                <w:color w:val="auto"/>
                <w:kern w:val="0"/>
                <w:sz w:val="24"/>
                <w:lang w:val="en-US" w:eastAsia="zh-CN" w:bidi="ar"/>
              </w:rPr>
              <w:t>项目</w:t>
            </w:r>
            <w:r>
              <w:rPr>
                <w:rFonts w:hint="eastAsia" w:cs="Times New Roman"/>
                <w:color w:val="auto"/>
                <w:kern w:val="0"/>
                <w:sz w:val="24"/>
                <w:lang w:val="en-US" w:eastAsia="zh-CN" w:bidi="ar"/>
              </w:rPr>
              <w:t>职工人数为10人，均不在项目区食宿，根据《云南省地方标准  用水定额》（DB53/T168-2019）标准进行生活用水量核算，非食宿人员用水以30L/（人·d）计，则</w:t>
            </w:r>
            <w:r>
              <w:rPr>
                <w:rFonts w:hint="default" w:ascii="Times New Roman" w:hAnsi="Times New Roman" w:cs="Times New Roman"/>
                <w:color w:val="auto"/>
                <w:kern w:val="0"/>
                <w:sz w:val="24"/>
                <w:lang w:bidi="ar"/>
              </w:rPr>
              <w:t>生活用水量为</w:t>
            </w:r>
            <w:r>
              <w:rPr>
                <w:rFonts w:hint="eastAsia" w:cs="Times New Roman"/>
                <w:color w:val="auto"/>
                <w:kern w:val="0"/>
                <w:sz w:val="24"/>
                <w:lang w:val="en-US" w:eastAsia="zh-CN" w:bidi="ar"/>
              </w:rPr>
              <w:t>0.3</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r>
              <w:rPr>
                <w:rFonts w:hint="eastAsia" w:cs="Times New Roman"/>
                <w:color w:val="auto"/>
                <w:kern w:val="0"/>
                <w:sz w:val="24"/>
                <w:lang w:val="en-US" w:eastAsia="zh-CN" w:bidi="ar"/>
              </w:rPr>
              <w:t>109.5</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/a</w:t>
            </w:r>
            <w:r>
              <w:rPr>
                <w:rFonts w:hint="eastAsia"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生活污水产生量按用水量的80%计，则生活污水产生量为</w:t>
            </w:r>
            <w:r>
              <w:rPr>
                <w:rFonts w:hint="eastAsia" w:cs="Times New Roman"/>
                <w:color w:val="auto"/>
                <w:kern w:val="0"/>
                <w:sz w:val="24"/>
                <w:lang w:val="en-US" w:eastAsia="zh-CN" w:bidi="ar"/>
              </w:rPr>
              <w:t>0.24</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r>
              <w:rPr>
                <w:rFonts w:hint="eastAsia" w:cs="Times New Roman"/>
                <w:color w:val="auto"/>
                <w:kern w:val="0"/>
                <w:sz w:val="24"/>
                <w:lang w:val="en-US" w:eastAsia="zh-CN" w:bidi="ar"/>
              </w:rPr>
              <w:t>87.6</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/a</w:t>
            </w:r>
            <w:r>
              <w:rPr>
                <w:rFonts w:hint="eastAsia"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经</w:t>
            </w:r>
            <w:r>
              <w:rPr>
                <w:rFonts w:hint="eastAsia" w:ascii="Times New Roman" w:hAnsi="Times New Roman" w:cs="Times New Roman"/>
                <w:color w:val="auto"/>
                <w:kern w:val="0"/>
                <w:sz w:val="24"/>
                <w:lang w:val="en-US" w:eastAsia="zh-CN" w:bidi="ar"/>
              </w:rPr>
              <w:t>化粪池</w:t>
            </w:r>
            <w:r>
              <w:rPr>
                <w:rFonts w:hint="default" w:ascii="Times New Roman" w:hAnsi="Times New Roman" w:cs="Times New Roman"/>
                <w:color w:val="auto"/>
                <w:kern w:val="0"/>
                <w:sz w:val="24"/>
                <w:lang w:bidi="ar"/>
              </w:rPr>
              <w:t>收集后，</w:t>
            </w:r>
            <w:r>
              <w:rPr>
                <w:rFonts w:hint="eastAsia" w:cs="Times New Roman"/>
                <w:color w:val="auto"/>
                <w:kern w:val="0"/>
                <w:sz w:val="24"/>
                <w:lang w:val="en-US" w:eastAsia="zh-CN" w:bidi="ar"/>
              </w:rPr>
              <w:t>运至玉溪大红山矿业有限公司</w:t>
            </w:r>
            <w:r>
              <w:rPr>
                <w:rFonts w:hint="default" w:ascii="Times New Roman" w:hAnsi="Times New Roman" w:cs="Times New Roman"/>
                <w:color w:val="auto"/>
                <w:kern w:val="0"/>
                <w:sz w:val="24"/>
                <w:lang w:bidi="ar"/>
              </w:rPr>
              <w:t>生活污水处理站</w:t>
            </w:r>
            <w:r>
              <w:rPr>
                <w:rFonts w:hint="eastAsia" w:cs="Times New Roman"/>
                <w:color w:val="auto"/>
                <w:kern w:val="0"/>
                <w:sz w:val="24"/>
                <w:lang w:eastAsia="zh-CN" w:bidi="ar"/>
              </w:rPr>
              <w:t>（</w:t>
            </w:r>
            <w:r>
              <w:rPr>
                <w:rFonts w:hint="eastAsia" w:cs="Times New Roman"/>
                <w:color w:val="auto"/>
                <w:kern w:val="0"/>
                <w:sz w:val="24"/>
                <w:lang w:val="en-US" w:eastAsia="zh-CN" w:bidi="ar"/>
              </w:rPr>
              <w:t>工艺</w:t>
            </w:r>
            <w:r>
              <w:rPr>
                <w:rFonts w:hint="default" w:ascii="Times New Roman" w:hAnsi="Times New Roman" w:cs="Times New Roman"/>
                <w:color w:val="auto"/>
                <w:kern w:val="0"/>
                <w:sz w:val="24"/>
                <w:lang w:bidi="ar"/>
              </w:rPr>
              <w:t>二级生化处理，设计能力为360m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r>
              <w:rPr>
                <w:rFonts w:hint="eastAsia" w:cs="Times New Roman"/>
                <w:color w:val="auto"/>
                <w:kern w:val="0"/>
                <w:sz w:val="24"/>
                <w:lang w:eastAsia="zh-CN" w:bidi="ar"/>
              </w:rPr>
              <w:t>）</w:t>
            </w:r>
            <w:r>
              <w:rPr>
                <w:rFonts w:hint="eastAsia" w:cs="Times New Roman"/>
                <w:color w:val="auto"/>
                <w:kern w:val="0"/>
                <w:sz w:val="24"/>
                <w:lang w:val="en-US" w:eastAsia="zh-CN" w:bidi="ar"/>
              </w:rPr>
              <w:t>处理达</w:t>
            </w:r>
            <w:r>
              <w:rPr>
                <w:rFonts w:hint="default" w:ascii="Times New Roman" w:hAnsi="Times New Roman" w:cs="Times New Roman"/>
                <w:color w:val="auto"/>
                <w:kern w:val="0"/>
                <w:sz w:val="24"/>
                <w:lang w:bidi="ar"/>
              </w:rPr>
              <w:t xml:space="preserve">《城市污水再生利用 </w:t>
            </w:r>
            <w:r>
              <w:rPr>
                <w:rFonts w:hint="eastAsia" w:cs="Times New Roman"/>
                <w:color w:val="auto"/>
                <w:kern w:val="0"/>
                <w:sz w:val="24"/>
                <w:lang w:val="en-US" w:eastAsia="zh-CN" w:bidi="ar"/>
              </w:rPr>
              <w:t xml:space="preserve"> </w:t>
            </w:r>
            <w:r>
              <w:rPr>
                <w:rFonts w:hint="default" w:ascii="Times New Roman" w:hAnsi="Times New Roman" w:cs="Times New Roman"/>
                <w:color w:val="auto"/>
                <w:kern w:val="0"/>
                <w:sz w:val="24"/>
                <w:lang w:bidi="ar"/>
              </w:rPr>
              <w:t>城市杂用水水质》（GB/T18920-2020）后用于矿区洒水降尘，不外排。</w:t>
            </w:r>
          </w:p>
          <w:p w14:paraId="3DFCDBFB">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 xml:space="preserve">    项目废水类别、污染物及污染治理设施信息一览表</w:t>
            </w:r>
          </w:p>
          <w:tbl>
            <w:tblPr>
              <w:tblStyle w:val="3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97"/>
              <w:gridCol w:w="677"/>
              <w:gridCol w:w="830"/>
              <w:gridCol w:w="1840"/>
              <w:gridCol w:w="1277"/>
              <w:gridCol w:w="1734"/>
            </w:tblGrid>
            <w:tr w14:paraId="6CF4B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restart"/>
                  <w:tcBorders>
                    <w:tl2br w:val="nil"/>
                    <w:tr2bl w:val="nil"/>
                  </w:tcBorders>
                  <w:vAlign w:val="center"/>
                </w:tcPr>
                <w:p w14:paraId="79C6C14E">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产污节点</w:t>
                  </w:r>
                </w:p>
              </w:tc>
              <w:tc>
                <w:tcPr>
                  <w:tcW w:w="612" w:type="pct"/>
                  <w:vMerge w:val="restart"/>
                  <w:tcBorders>
                    <w:tl2br w:val="nil"/>
                    <w:tr2bl w:val="nil"/>
                  </w:tcBorders>
                  <w:vAlign w:val="center"/>
                </w:tcPr>
                <w:p w14:paraId="4C125624">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926" w:type="pct"/>
                  <w:gridSpan w:val="2"/>
                  <w:tcBorders>
                    <w:tl2br w:val="nil"/>
                    <w:tr2bl w:val="nil"/>
                  </w:tcBorders>
                  <w:vAlign w:val="center"/>
                </w:tcPr>
                <w:p w14:paraId="0AB34E02">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产生情况</w:t>
                  </w:r>
                </w:p>
              </w:tc>
              <w:tc>
                <w:tcPr>
                  <w:tcW w:w="1130" w:type="pct"/>
                  <w:vMerge w:val="restart"/>
                  <w:tcBorders>
                    <w:tl2br w:val="nil"/>
                    <w:tr2bl w:val="nil"/>
                  </w:tcBorders>
                  <w:vAlign w:val="center"/>
                </w:tcPr>
                <w:p w14:paraId="3CD5154C">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主要污染物（mg/L）</w:t>
                  </w:r>
                </w:p>
              </w:tc>
              <w:tc>
                <w:tcPr>
                  <w:tcW w:w="784" w:type="pct"/>
                  <w:vMerge w:val="restart"/>
                  <w:tcBorders>
                    <w:tl2br w:val="nil"/>
                    <w:tr2bl w:val="nil"/>
                  </w:tcBorders>
                  <w:vAlign w:val="center"/>
                </w:tcPr>
                <w:p w14:paraId="73DBEED0">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w:t>
                  </w:r>
                </w:p>
              </w:tc>
              <w:tc>
                <w:tcPr>
                  <w:tcW w:w="1065" w:type="pct"/>
                  <w:vMerge w:val="restart"/>
                  <w:tcBorders>
                    <w:tl2br w:val="nil"/>
                    <w:tr2bl w:val="nil"/>
                  </w:tcBorders>
                  <w:vAlign w:val="center"/>
                </w:tcPr>
                <w:p w14:paraId="3DCCF511">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排放方式及去向</w:t>
                  </w:r>
                </w:p>
              </w:tc>
            </w:tr>
            <w:tr w14:paraId="222DBC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Borders>
                    <w:tl2br w:val="nil"/>
                    <w:tr2bl w:val="nil"/>
                  </w:tcBorders>
                  <w:vAlign w:val="center"/>
                </w:tcPr>
                <w:p w14:paraId="2A0FD2E4">
                  <w:pPr>
                    <w:pStyle w:val="130"/>
                    <w:spacing w:before="0" w:after="0"/>
                    <w:rPr>
                      <w:rFonts w:hint="default" w:ascii="Times New Roman" w:hAnsi="Times New Roman" w:cs="Times New Roman"/>
                      <w:color w:val="auto"/>
                      <w:sz w:val="18"/>
                      <w:szCs w:val="18"/>
                    </w:rPr>
                  </w:pPr>
                </w:p>
              </w:tc>
              <w:tc>
                <w:tcPr>
                  <w:tcW w:w="612" w:type="pct"/>
                  <w:vMerge w:val="continue"/>
                  <w:tcBorders>
                    <w:tl2br w:val="nil"/>
                    <w:tr2bl w:val="nil"/>
                  </w:tcBorders>
                  <w:vAlign w:val="center"/>
                </w:tcPr>
                <w:p w14:paraId="135E44F6">
                  <w:pPr>
                    <w:pStyle w:val="130"/>
                    <w:spacing w:before="0" w:after="0"/>
                    <w:rPr>
                      <w:rFonts w:hint="default" w:ascii="Times New Roman" w:hAnsi="Times New Roman" w:cs="Times New Roman"/>
                      <w:color w:val="auto"/>
                      <w:sz w:val="18"/>
                      <w:szCs w:val="18"/>
                    </w:rPr>
                  </w:pPr>
                </w:p>
              </w:tc>
              <w:tc>
                <w:tcPr>
                  <w:tcW w:w="416" w:type="pct"/>
                  <w:tcBorders>
                    <w:tl2br w:val="nil"/>
                    <w:tr2bl w:val="nil"/>
                  </w:tcBorders>
                  <w:vAlign w:val="center"/>
                </w:tcPr>
                <w:p w14:paraId="12BE09F1">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w:t>
                  </w:r>
                </w:p>
              </w:tc>
              <w:tc>
                <w:tcPr>
                  <w:tcW w:w="510" w:type="pct"/>
                  <w:tcBorders>
                    <w:tl2br w:val="nil"/>
                    <w:tr2bl w:val="nil"/>
                  </w:tcBorders>
                  <w:vAlign w:val="center"/>
                </w:tcPr>
                <w:p w14:paraId="22BA0DAB">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1130" w:type="pct"/>
                  <w:vMerge w:val="continue"/>
                  <w:tcBorders>
                    <w:tl2br w:val="nil"/>
                    <w:tr2bl w:val="nil"/>
                  </w:tcBorders>
                  <w:vAlign w:val="center"/>
                </w:tcPr>
                <w:p w14:paraId="65FCBAB9">
                  <w:pPr>
                    <w:pStyle w:val="130"/>
                    <w:spacing w:before="0" w:after="0"/>
                    <w:rPr>
                      <w:rFonts w:hint="default" w:ascii="Times New Roman" w:hAnsi="Times New Roman" w:cs="Times New Roman"/>
                      <w:color w:val="auto"/>
                      <w:sz w:val="18"/>
                      <w:szCs w:val="18"/>
                    </w:rPr>
                  </w:pPr>
                </w:p>
              </w:tc>
              <w:tc>
                <w:tcPr>
                  <w:tcW w:w="784" w:type="pct"/>
                  <w:vMerge w:val="continue"/>
                  <w:tcBorders>
                    <w:tl2br w:val="nil"/>
                    <w:tr2bl w:val="nil"/>
                  </w:tcBorders>
                  <w:vAlign w:val="center"/>
                </w:tcPr>
                <w:p w14:paraId="5D31E06D">
                  <w:pPr>
                    <w:pStyle w:val="130"/>
                    <w:spacing w:before="0" w:after="0"/>
                    <w:rPr>
                      <w:rFonts w:hint="default" w:ascii="Times New Roman" w:hAnsi="Times New Roman" w:cs="Times New Roman"/>
                      <w:color w:val="auto"/>
                      <w:sz w:val="18"/>
                      <w:szCs w:val="18"/>
                    </w:rPr>
                  </w:pPr>
                </w:p>
              </w:tc>
              <w:tc>
                <w:tcPr>
                  <w:tcW w:w="1065" w:type="pct"/>
                  <w:vMerge w:val="continue"/>
                  <w:tcBorders>
                    <w:tl2br w:val="nil"/>
                    <w:tr2bl w:val="nil"/>
                  </w:tcBorders>
                  <w:vAlign w:val="center"/>
                </w:tcPr>
                <w:p w14:paraId="4A21404A">
                  <w:pPr>
                    <w:pStyle w:val="130"/>
                    <w:spacing w:before="0" w:after="0"/>
                    <w:rPr>
                      <w:rFonts w:hint="default" w:ascii="Times New Roman" w:hAnsi="Times New Roman" w:cs="Times New Roman"/>
                      <w:color w:val="auto"/>
                      <w:sz w:val="18"/>
                      <w:szCs w:val="18"/>
                    </w:rPr>
                  </w:pPr>
                </w:p>
              </w:tc>
            </w:tr>
            <w:tr w14:paraId="1272B9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tcBorders>
                    <w:tl2br w:val="nil"/>
                    <w:tr2bl w:val="nil"/>
                  </w:tcBorders>
                  <w:vAlign w:val="center"/>
                </w:tcPr>
                <w:p w14:paraId="2A764EEC">
                  <w:pPr>
                    <w:pStyle w:val="130"/>
                    <w:spacing w:before="0" w:after="0"/>
                    <w:rPr>
                      <w:rFonts w:hint="default" w:ascii="Times New Roman" w:hAnsi="Times New Roman" w:cs="Times New Roman"/>
                      <w:color w:val="auto"/>
                      <w:sz w:val="18"/>
                      <w:szCs w:val="18"/>
                    </w:rPr>
                  </w:pPr>
                  <w:bookmarkStart w:id="30" w:name="_Hlk220338639"/>
                  <w:r>
                    <w:rPr>
                      <w:rFonts w:hint="default" w:ascii="Times New Roman" w:hAnsi="Times New Roman" w:cs="Times New Roman"/>
                      <w:color w:val="auto"/>
                      <w:sz w:val="18"/>
                      <w:szCs w:val="18"/>
                    </w:rPr>
                    <w:t>员工日常工作</w:t>
                  </w:r>
                </w:p>
              </w:tc>
              <w:tc>
                <w:tcPr>
                  <w:tcW w:w="612" w:type="pct"/>
                  <w:tcBorders>
                    <w:tl2br w:val="nil"/>
                    <w:tr2bl w:val="nil"/>
                  </w:tcBorders>
                  <w:vAlign w:val="center"/>
                </w:tcPr>
                <w:p w14:paraId="122EF400">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416" w:type="pct"/>
                  <w:tcBorders>
                    <w:tl2br w:val="nil"/>
                    <w:tr2bl w:val="nil"/>
                  </w:tcBorders>
                  <w:vAlign w:val="center"/>
                </w:tcPr>
                <w:p w14:paraId="4204C41B">
                  <w:pPr>
                    <w:pStyle w:val="130"/>
                    <w:spacing w:before="0" w:after="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0.24</w:t>
                  </w:r>
                </w:p>
              </w:tc>
              <w:tc>
                <w:tcPr>
                  <w:tcW w:w="510" w:type="pct"/>
                  <w:tcBorders>
                    <w:tl2br w:val="nil"/>
                    <w:tr2bl w:val="nil"/>
                  </w:tcBorders>
                  <w:vAlign w:val="center"/>
                </w:tcPr>
                <w:p w14:paraId="176CBBD4">
                  <w:pPr>
                    <w:pStyle w:val="130"/>
                    <w:spacing w:before="0" w:after="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87.6</w:t>
                  </w:r>
                </w:p>
              </w:tc>
              <w:tc>
                <w:tcPr>
                  <w:tcW w:w="1130" w:type="pct"/>
                  <w:tcBorders>
                    <w:tl2br w:val="nil"/>
                    <w:tr2bl w:val="nil"/>
                  </w:tcBorders>
                  <w:vAlign w:val="center"/>
                </w:tcPr>
                <w:p w14:paraId="65D8DC70">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-N、SS、动植物油等</w:t>
                  </w:r>
                </w:p>
              </w:tc>
              <w:tc>
                <w:tcPr>
                  <w:tcW w:w="784" w:type="pct"/>
                  <w:tcBorders>
                    <w:tl2br w:val="nil"/>
                    <w:tr2bl w:val="nil"/>
                  </w:tcBorders>
                  <w:vAlign w:val="center"/>
                </w:tcPr>
                <w:p w14:paraId="3CCCB2E7">
                  <w:pPr>
                    <w:pStyle w:val="130"/>
                    <w:spacing w:before="0" w:after="0"/>
                    <w:rPr>
                      <w:rFonts w:hint="default" w:ascii="Times New Roman" w:hAnsi="Times New Roman" w:cs="Times New Roman"/>
                      <w:color w:val="auto"/>
                      <w:sz w:val="18"/>
                      <w:szCs w:val="18"/>
                    </w:rPr>
                  </w:pPr>
                  <w:r>
                    <w:rPr>
                      <w:rFonts w:hint="eastAsia" w:cs="Times New Roman"/>
                      <w:color w:val="auto"/>
                      <w:sz w:val="18"/>
                      <w:szCs w:val="18"/>
                      <w:lang w:val="en-US" w:eastAsia="zh-CN"/>
                    </w:rPr>
                    <w:t>1</w:t>
                  </w:r>
                  <w:r>
                    <w:rPr>
                      <w:rFonts w:hint="default" w:ascii="Times New Roman" w:hAnsi="Times New Roman" w:cs="Times New Roman"/>
                      <w:color w:val="auto"/>
                      <w:sz w:val="18"/>
                      <w:szCs w:val="18"/>
                    </w:rPr>
                    <w:t>个容积为</w:t>
                  </w:r>
                  <w:r>
                    <w:rPr>
                      <w:rFonts w:hint="eastAsia" w:cs="Times New Roman"/>
                      <w:color w:val="auto"/>
                      <w:sz w:val="18"/>
                      <w:szCs w:val="18"/>
                      <w:lang w:val="en-US" w:eastAsia="zh-CN"/>
                    </w:rPr>
                    <w:t>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eastAsia" w:cs="Times New Roman"/>
                      <w:color w:val="auto"/>
                      <w:sz w:val="18"/>
                      <w:szCs w:val="18"/>
                      <w:lang w:val="en-US" w:eastAsia="zh-CN"/>
                    </w:rPr>
                    <w:t>的</w:t>
                  </w:r>
                  <w:r>
                    <w:rPr>
                      <w:rFonts w:hint="default" w:ascii="Times New Roman" w:hAnsi="Times New Roman" w:cs="Times New Roman"/>
                      <w:color w:val="auto"/>
                      <w:sz w:val="18"/>
                      <w:szCs w:val="18"/>
                    </w:rPr>
                    <w:t>化粪池</w:t>
                  </w:r>
                </w:p>
              </w:tc>
              <w:tc>
                <w:tcPr>
                  <w:tcW w:w="1065" w:type="pct"/>
                  <w:tcBorders>
                    <w:tl2br w:val="nil"/>
                    <w:tr2bl w:val="nil"/>
                  </w:tcBorders>
                  <w:vAlign w:val="center"/>
                </w:tcPr>
                <w:p w14:paraId="6AD3AC1D">
                  <w:pPr>
                    <w:pStyle w:val="130"/>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由附近村民定期清掏用作周边农肥。</w:t>
                  </w:r>
                </w:p>
              </w:tc>
            </w:tr>
            <w:bookmarkEnd w:id="30"/>
          </w:tbl>
          <w:p w14:paraId="54E2807F">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2.2项目</w:t>
            </w:r>
            <w:r>
              <w:rPr>
                <w:rFonts w:hint="eastAsia" w:cs="Times New Roman"/>
                <w:b/>
                <w:bCs/>
                <w:color w:val="auto"/>
                <w:sz w:val="24"/>
                <w:lang w:val="en-US" w:eastAsia="zh-CN"/>
              </w:rPr>
              <w:t>生活污水</w:t>
            </w:r>
            <w:r>
              <w:rPr>
                <w:rFonts w:hint="default" w:ascii="Times New Roman" w:hAnsi="Times New Roman" w:cs="Times New Roman"/>
                <w:b/>
                <w:bCs/>
                <w:color w:val="auto"/>
                <w:sz w:val="24"/>
              </w:rPr>
              <w:t>处理</w:t>
            </w:r>
            <w:r>
              <w:rPr>
                <w:rFonts w:hint="eastAsia" w:cs="Times New Roman"/>
                <w:b/>
                <w:bCs/>
                <w:color w:val="auto"/>
                <w:sz w:val="24"/>
                <w:lang w:val="en-US" w:eastAsia="zh-CN"/>
              </w:rPr>
              <w:t>的</w:t>
            </w:r>
            <w:r>
              <w:rPr>
                <w:rFonts w:hint="default" w:ascii="Times New Roman" w:hAnsi="Times New Roman" w:cs="Times New Roman"/>
                <w:b/>
                <w:bCs/>
                <w:color w:val="auto"/>
                <w:sz w:val="24"/>
              </w:rPr>
              <w:t>可行性分析</w:t>
            </w:r>
          </w:p>
          <w:p w14:paraId="7EBC1BF4">
            <w:pPr>
              <w:pStyle w:val="104"/>
              <w:ind w:firstLine="480"/>
              <w:rPr>
                <w:rFonts w:hint="default" w:ascii="Times New Roman" w:hAnsi="Times New Roman" w:cs="Times New Roman"/>
                <w:color w:val="auto"/>
              </w:rPr>
            </w:pPr>
            <w:r>
              <w:rPr>
                <w:rFonts w:hint="default" w:ascii="Times New Roman" w:hAnsi="Times New Roman" w:cs="Times New Roman"/>
                <w:color w:val="auto"/>
              </w:rPr>
              <w:t>本项目建成后生活污水产生量为</w:t>
            </w:r>
            <w:r>
              <w:rPr>
                <w:rFonts w:hint="eastAsia" w:cs="Times New Roman"/>
                <w:color w:val="auto"/>
                <w:lang w:val="en-US" w:eastAsia="zh-CN"/>
              </w:rPr>
              <w:t>0.24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eastAsia="zh-CN"/>
              </w:rPr>
              <w:t>、</w:t>
            </w:r>
            <w:r>
              <w:rPr>
                <w:rFonts w:hint="eastAsia" w:cs="Times New Roman"/>
                <w:color w:val="auto"/>
                <w:lang w:val="en-US" w:eastAsia="zh-CN"/>
              </w:rPr>
              <w:t>87.6m</w:t>
            </w:r>
            <w:r>
              <w:rPr>
                <w:rFonts w:hint="eastAsia" w:cs="Times New Roman"/>
                <w:color w:val="auto"/>
                <w:vertAlign w:val="superscript"/>
                <w:lang w:val="en-US" w:eastAsia="zh-CN"/>
              </w:rPr>
              <w:t>3</w:t>
            </w:r>
            <w:r>
              <w:rPr>
                <w:rFonts w:hint="eastAsia" w:cs="Times New Roman"/>
                <w:color w:val="auto"/>
                <w:lang w:val="en-US" w:eastAsia="zh-CN"/>
              </w:rPr>
              <w:t>/a</w:t>
            </w:r>
            <w:r>
              <w:rPr>
                <w:rFonts w:hint="default" w:ascii="Times New Roman" w:hAnsi="Times New Roman" w:cs="Times New Roman"/>
                <w:color w:val="auto"/>
              </w:rPr>
              <w:t>，建设1个</w:t>
            </w:r>
            <w:r>
              <w:rPr>
                <w:rFonts w:hint="eastAsia"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的化粪池，化粪池</w:t>
            </w:r>
            <w:r>
              <w:rPr>
                <w:rFonts w:hint="eastAsia" w:cs="Times New Roman"/>
                <w:color w:val="auto"/>
                <w:lang w:val="en-US" w:eastAsia="zh-CN"/>
              </w:rPr>
              <w:t>的容积可满足生活污水20d的储存</w:t>
            </w:r>
            <w:r>
              <w:rPr>
                <w:rFonts w:hint="default" w:ascii="Times New Roman" w:hAnsi="Times New Roman" w:cs="Times New Roman"/>
                <w:color w:val="auto"/>
              </w:rPr>
              <w:t>，因此化粪池容积</w:t>
            </w:r>
            <w:r>
              <w:rPr>
                <w:rFonts w:hint="eastAsia" w:cs="Times New Roman"/>
                <w:color w:val="auto"/>
                <w:lang w:val="en-US" w:eastAsia="zh-CN"/>
              </w:rPr>
              <w:t>设计合理</w:t>
            </w:r>
            <w:r>
              <w:rPr>
                <w:rFonts w:hint="default" w:ascii="Times New Roman" w:hAnsi="Times New Roman" w:cs="Times New Roman"/>
                <w:color w:val="auto"/>
              </w:rPr>
              <w:t>。</w:t>
            </w:r>
          </w:p>
          <w:p w14:paraId="6ACE16D9">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玉溪大红山矿业有限公司建有一座生活污水处理站，工艺为“格栅+水解酸化+三段好氧+斜板沉淀+消毒”工艺，设计能力为</w:t>
            </w:r>
            <w:r>
              <w:rPr>
                <w:rFonts w:hint="default" w:ascii="Times New Roman" w:hAnsi="Times New Roman" w:cs="Times New Roman"/>
                <w:color w:val="auto"/>
                <w:kern w:val="0"/>
                <w:sz w:val="24"/>
                <w:szCs w:val="24"/>
                <w:lang w:bidi="ar"/>
              </w:rPr>
              <w:t>360m</w:t>
            </w:r>
            <w:r>
              <w:rPr>
                <w:rFonts w:hint="default" w:ascii="Times New Roman" w:hAnsi="Times New Roman" w:cs="Times New Roman"/>
                <w:color w:val="auto"/>
                <w:kern w:val="0"/>
                <w:sz w:val="24"/>
                <w:szCs w:val="24"/>
                <w:vertAlign w:val="superscript"/>
                <w:lang w:bidi="ar"/>
              </w:rPr>
              <w:t>3</w:t>
            </w:r>
            <w:r>
              <w:rPr>
                <w:rFonts w:hint="default" w:ascii="Times New Roman" w:hAnsi="Times New Roman" w:cs="Times New Roman"/>
                <w:color w:val="auto"/>
                <w:kern w:val="0"/>
                <w:sz w:val="24"/>
                <w:szCs w:val="24"/>
                <w:lang w:bidi="ar"/>
              </w:rPr>
              <w:t>/d</w:t>
            </w:r>
            <w:r>
              <w:rPr>
                <w:rFonts w:hint="eastAsia" w:ascii="Times New Roman" w:hAnsi="Times New Roman" w:cs="Times New Roman"/>
                <w:color w:val="auto"/>
                <w:kern w:val="0"/>
                <w:sz w:val="24"/>
                <w:szCs w:val="24"/>
                <w:lang w:eastAsia="zh-CN" w:bidi="ar"/>
              </w:rPr>
              <w:t>，</w:t>
            </w:r>
            <w:r>
              <w:rPr>
                <w:rFonts w:hint="eastAsia" w:ascii="Times New Roman" w:hAnsi="Times New Roman" w:cs="Times New Roman"/>
                <w:color w:val="auto"/>
                <w:kern w:val="0"/>
                <w:sz w:val="24"/>
                <w:szCs w:val="24"/>
                <w:lang w:val="en-US" w:eastAsia="zh-CN" w:bidi="ar"/>
              </w:rPr>
              <w:t>根据调查，目前</w:t>
            </w:r>
            <w:r>
              <w:rPr>
                <w:rFonts w:hint="eastAsia" w:cs="Times New Roman"/>
                <w:color w:val="auto"/>
                <w:sz w:val="24"/>
                <w:szCs w:val="24"/>
                <w:lang w:val="en-US" w:eastAsia="zh-CN"/>
              </w:rPr>
              <w:t>玉溪大红山矿业有限公司生活污水产生量为183.74m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/d，小于生活污水处理站的设计规模，而本项目生活污水产生量仅为0.24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产生量较小，因此从水量方面说项目生活污水依托</w:t>
            </w:r>
            <w:r>
              <w:rPr>
                <w:rFonts w:hint="eastAsia" w:cs="Times New Roman"/>
                <w:color w:val="auto"/>
                <w:sz w:val="24"/>
                <w:szCs w:val="24"/>
                <w:lang w:val="en-US" w:eastAsia="zh-CN"/>
              </w:rPr>
              <w:t>玉溪大红山矿业有限公司现有的生活污水处理站可行。同时查阅玉溪大红山矿业有限公司的自行监测数据，其</w:t>
            </w:r>
            <w:r>
              <w:rPr>
                <w:rFonts w:hint="default" w:ascii="Times New Roman" w:hAnsi="Times New Roman" w:eastAsia="宋体" w:cs="Times New Roman"/>
                <w:color w:val="auto"/>
                <w:sz w:val="24"/>
                <w:szCs w:val="24"/>
                <w:lang w:val="en-US" w:eastAsia="zh-CN"/>
              </w:rPr>
              <w:t>生活污水排放能达到《城市污水再生利用</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城市杂用水水质》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GB/T18920-20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zh-TW" w:eastAsia="zh-TW"/>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TW" w:eastAsia="zh-TW"/>
              </w:rPr>
              <w:t>中</w:t>
            </w:r>
            <w:r>
              <w:rPr>
                <w:rFonts w:hint="eastAsia" w:ascii="Times New Roman" w:hAnsi="Times New Roman" w:eastAsia="宋体" w:cs="Times New Roman"/>
                <w:color w:val="auto"/>
                <w:sz w:val="24"/>
                <w:szCs w:val="24"/>
                <w:lang w:val="en-US" w:eastAsia="zh-CN"/>
              </w:rPr>
              <w:t>绿化、道路清扫</w:t>
            </w:r>
            <w:r>
              <w:rPr>
                <w:rFonts w:hint="default" w:ascii="Times New Roman" w:hAnsi="Times New Roman" w:eastAsia="宋体" w:cs="Times New Roman"/>
                <w:color w:val="auto"/>
                <w:sz w:val="24"/>
                <w:szCs w:val="24"/>
                <w:lang w:val="zh-TW" w:eastAsia="zh-TW"/>
              </w:rPr>
              <w:t>标准限值</w:t>
            </w:r>
            <w:r>
              <w:rPr>
                <w:rFonts w:hint="default" w:ascii="Times New Roman" w:hAnsi="Times New Roman" w:eastAsia="宋体" w:cs="Times New Roman"/>
                <w:color w:val="auto"/>
                <w:sz w:val="24"/>
                <w:szCs w:val="24"/>
                <w:lang w:val="en-US" w:eastAsia="zh-CN"/>
              </w:rPr>
              <w:t>要求</w:t>
            </w:r>
            <w:r>
              <w:rPr>
                <w:rFonts w:hint="eastAsia" w:ascii="Times New Roman" w:hAnsi="Times New Roman" w:eastAsia="宋体" w:cs="Times New Roman"/>
                <w:color w:val="auto"/>
                <w:sz w:val="24"/>
                <w:szCs w:val="24"/>
                <w:lang w:val="en-US" w:eastAsia="zh-CN"/>
              </w:rPr>
              <w:t>后回用于矿山洒水降尘，不外排</w:t>
            </w:r>
            <w:r>
              <w:rPr>
                <w:rFonts w:hint="default" w:ascii="Times New Roman" w:hAnsi="Times New Roman" w:eastAsia="宋体" w:cs="Times New Roman"/>
                <w:color w:val="auto"/>
                <w:sz w:val="24"/>
                <w:szCs w:val="24"/>
                <w:lang w:val="en-US" w:eastAsia="zh-CN"/>
              </w:rPr>
              <w:t>。</w:t>
            </w:r>
          </w:p>
          <w:p w14:paraId="73233A64">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因此项目生活污水依托</w:t>
            </w:r>
            <w:r>
              <w:rPr>
                <w:rFonts w:hint="eastAsia" w:cs="Times New Roman"/>
                <w:color w:val="auto"/>
                <w:sz w:val="24"/>
                <w:szCs w:val="24"/>
                <w:lang w:val="en-US" w:eastAsia="zh-CN"/>
              </w:rPr>
              <w:t>玉溪大红山矿业有限公司处理可行。</w:t>
            </w:r>
          </w:p>
          <w:p w14:paraId="789CC397">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w:t>
            </w:r>
            <w:r>
              <w:rPr>
                <w:rFonts w:hint="eastAsia" w:cs="Times New Roman"/>
                <w:b/>
                <w:bCs/>
                <w:color w:val="auto"/>
                <w:sz w:val="24"/>
                <w:lang w:val="en-US" w:eastAsia="zh-CN"/>
              </w:rPr>
              <w:t>3</w:t>
            </w:r>
            <w:r>
              <w:rPr>
                <w:rFonts w:hint="default" w:ascii="Times New Roman" w:hAnsi="Times New Roman" w:cs="Times New Roman"/>
                <w:b/>
                <w:bCs/>
                <w:color w:val="auto"/>
                <w:sz w:val="24"/>
              </w:rPr>
              <w:t>监测要求</w:t>
            </w:r>
          </w:p>
          <w:p w14:paraId="7E93CDCB">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eastAsia="宋体" w:cs="Times New Roman"/>
                <w:color w:val="auto"/>
                <w:sz w:val="24"/>
              </w:rPr>
              <w:t>根据《国家重点监控企业自行监测及信息公开办法</w:t>
            </w:r>
            <w:r>
              <w:rPr>
                <w:rFonts w:hint="eastAsia" w:cs="Times New Roman"/>
                <w:color w:val="auto"/>
                <w:sz w:val="24"/>
                <w:lang w:eastAsia="zh-CN"/>
              </w:rPr>
              <w:t>（</w:t>
            </w:r>
            <w:r>
              <w:rPr>
                <w:rFonts w:hint="default" w:ascii="Times New Roman" w:hAnsi="Times New Roman" w:eastAsia="宋体" w:cs="Times New Roman"/>
                <w:color w:val="auto"/>
                <w:sz w:val="24"/>
              </w:rPr>
              <w:t>试行</w:t>
            </w:r>
            <w:r>
              <w:rPr>
                <w:rFonts w:hint="eastAsia" w:cs="Times New Roman"/>
                <w:color w:val="auto"/>
                <w:sz w:val="24"/>
                <w:lang w:eastAsia="zh-CN"/>
              </w:rPr>
              <w:t>）</w:t>
            </w:r>
            <w:r>
              <w:rPr>
                <w:rFonts w:hint="default" w:ascii="Times New Roman" w:hAnsi="Times New Roman" w:eastAsia="宋体" w:cs="Times New Roman"/>
                <w:color w:val="auto"/>
                <w:sz w:val="24"/>
              </w:rPr>
              <w:t>》、《排污单位自行监测技术指南</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总则》</w:t>
            </w:r>
            <w:r>
              <w:rPr>
                <w:rFonts w:hint="eastAsia" w:cs="Times New Roman"/>
                <w:color w:val="auto"/>
                <w:sz w:val="24"/>
                <w:lang w:eastAsia="zh-CN"/>
              </w:rPr>
              <w:t>（</w:t>
            </w:r>
            <w:r>
              <w:rPr>
                <w:rFonts w:hint="default" w:ascii="Times New Roman" w:hAnsi="Times New Roman" w:eastAsia="宋体" w:cs="Times New Roman"/>
                <w:color w:val="auto"/>
                <w:sz w:val="24"/>
              </w:rPr>
              <w:t>HJ819-2017</w:t>
            </w:r>
            <w:r>
              <w:rPr>
                <w:rFonts w:hint="eastAsia" w:cs="Times New Roman"/>
                <w:color w:val="auto"/>
                <w:sz w:val="24"/>
                <w:lang w:eastAsia="zh-CN"/>
              </w:rPr>
              <w:t>）</w:t>
            </w:r>
            <w:r>
              <w:rPr>
                <w:rFonts w:hint="default" w:ascii="Times New Roman" w:hAnsi="Times New Roman" w:eastAsia="宋体" w:cs="Times New Roman"/>
                <w:color w:val="auto"/>
                <w:sz w:val="24"/>
              </w:rPr>
              <w:t>5.5，本项目无废水排放口，故不进行废水的环境监测。</w:t>
            </w:r>
          </w:p>
          <w:p w14:paraId="73C666E5">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w:t>
            </w:r>
            <w:r>
              <w:rPr>
                <w:rFonts w:hint="eastAsia" w:cs="Times New Roman"/>
                <w:b/>
                <w:bCs/>
                <w:color w:val="auto"/>
                <w:sz w:val="24"/>
                <w:lang w:val="en-US" w:eastAsia="zh-CN"/>
              </w:rPr>
              <w:t>4</w:t>
            </w:r>
            <w:r>
              <w:rPr>
                <w:rFonts w:hint="default" w:ascii="Times New Roman" w:hAnsi="Times New Roman" w:cs="Times New Roman"/>
                <w:b/>
                <w:bCs/>
                <w:color w:val="auto"/>
                <w:sz w:val="24"/>
              </w:rPr>
              <w:t>结论</w:t>
            </w:r>
          </w:p>
          <w:p w14:paraId="1D6653B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综上分析，项目产生的废水均可得到合理处置，运行后对周边的地表水环境影响较小。</w:t>
            </w:r>
          </w:p>
          <w:p w14:paraId="79A60B9C">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3、噪声</w:t>
            </w:r>
          </w:p>
          <w:p w14:paraId="72185D19">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3.1噪声源</w:t>
            </w:r>
          </w:p>
          <w:p w14:paraId="2D1C40C7">
            <w:pPr>
              <w:spacing w:line="360" w:lineRule="auto"/>
              <w:ind w:firstLine="480" w:firstLineChars="200"/>
              <w:rPr>
                <w:color w:val="auto"/>
                <w:sz w:val="24"/>
                <w:szCs w:val="24"/>
              </w:rPr>
            </w:pPr>
            <w:r>
              <w:rPr>
                <w:rFonts w:hint="eastAsia"/>
                <w:color w:val="auto"/>
                <w:sz w:val="24"/>
                <w:szCs w:val="24"/>
              </w:rPr>
              <w:t>本项目正常运行时噪声声源为水泵和运输车辆，运行方式为间断运行，根据项目主要噪声源调查清单见</w:t>
            </w:r>
            <w:r>
              <w:rPr>
                <w:rFonts w:hint="eastAsia"/>
                <w:color w:val="auto"/>
                <w:sz w:val="24"/>
                <w:szCs w:val="24"/>
                <w:lang w:val="en-US" w:eastAsia="zh-CN"/>
              </w:rPr>
              <w:t>下表</w:t>
            </w:r>
            <w:r>
              <w:rPr>
                <w:rFonts w:hint="eastAsia"/>
                <w:color w:val="auto"/>
                <w:sz w:val="24"/>
                <w:szCs w:val="24"/>
              </w:rPr>
              <w:t>。</w:t>
            </w:r>
          </w:p>
          <w:p w14:paraId="2009843F">
            <w:pPr>
              <w:pStyle w:val="11"/>
              <w:spacing w:before="0" w:line="360" w:lineRule="auto"/>
              <w:ind w:firstLine="420" w:firstLineChars="200"/>
              <w:jc w:val="center"/>
              <w:rPr>
                <w:rFonts w:hint="default" w:ascii="Times New Roman" w:hAnsi="Times New Roman" w:eastAsia="黑体" w:cs="Times New Roman"/>
                <w:color w:val="auto"/>
                <w:sz w:val="21"/>
                <w:szCs w:val="21"/>
                <w:lang w:val="en-US" w:eastAsia="zh-CN"/>
              </w:rPr>
            </w:pPr>
            <w:bookmarkStart w:id="31" w:name="_Ref208654276"/>
            <w:r>
              <w:rPr>
                <w:rFonts w:hint="eastAsia" w:ascii="Times New Roman" w:hAnsi="Times New Roman" w:eastAsia="黑体" w:cs="Times New Roman"/>
                <w:color w:val="auto"/>
                <w:sz w:val="21"/>
                <w:szCs w:val="21"/>
                <w:lang w:val="en-US" w:eastAsia="zh-CN"/>
              </w:rPr>
              <w:t>表</w:t>
            </w:r>
            <w:bookmarkEnd w:id="31"/>
            <w:r>
              <w:rPr>
                <w:rFonts w:hint="eastAsia" w:ascii="Times New Roman" w:hAnsi="Times New Roman" w:eastAsia="黑体" w:cs="Times New Roman"/>
                <w:color w:val="auto"/>
                <w:sz w:val="21"/>
                <w:szCs w:val="21"/>
                <w:lang w:val="en-US" w:eastAsia="zh-CN"/>
              </w:rPr>
              <w:t>4-3   工业企业噪声源强调查清单（室内声源）</w:t>
            </w:r>
          </w:p>
          <w:tbl>
            <w:tblPr>
              <w:tblStyle w:val="36"/>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2"/>
              <w:gridCol w:w="454"/>
              <w:gridCol w:w="743"/>
              <w:gridCol w:w="331"/>
              <w:gridCol w:w="952"/>
              <w:gridCol w:w="469"/>
              <w:gridCol w:w="398"/>
              <w:gridCol w:w="402"/>
              <w:gridCol w:w="650"/>
              <w:gridCol w:w="721"/>
              <w:gridCol w:w="535"/>
              <w:gridCol w:w="637"/>
              <w:gridCol w:w="731"/>
              <w:gridCol w:w="690"/>
            </w:tblGrid>
            <w:tr w14:paraId="7E92E4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dxa"/>
                  <w:vMerge w:val="restart"/>
                  <w:tcBorders>
                    <w:tl2br w:val="nil"/>
                    <w:tr2bl w:val="nil"/>
                  </w:tcBorders>
                  <w:noWrap/>
                  <w:vAlign w:val="center"/>
                </w:tcPr>
                <w:p w14:paraId="437CAB35">
                  <w:pPr>
                    <w:pStyle w:val="134"/>
                    <w:rPr>
                      <w:color w:val="auto"/>
                      <w:sz w:val="18"/>
                      <w:szCs w:val="18"/>
                    </w:rPr>
                  </w:pPr>
                  <w:r>
                    <w:rPr>
                      <w:rFonts w:hint="eastAsia"/>
                      <w:color w:val="auto"/>
                      <w:sz w:val="18"/>
                      <w:szCs w:val="18"/>
                    </w:rPr>
                    <w:t>序号</w:t>
                  </w:r>
                </w:p>
              </w:tc>
              <w:tc>
                <w:tcPr>
                  <w:tcW w:w="454" w:type="dxa"/>
                  <w:vMerge w:val="restart"/>
                  <w:tcBorders>
                    <w:tl2br w:val="nil"/>
                    <w:tr2bl w:val="nil"/>
                  </w:tcBorders>
                  <w:noWrap/>
                  <w:vAlign w:val="center"/>
                </w:tcPr>
                <w:p w14:paraId="20C0DF75">
                  <w:pPr>
                    <w:pStyle w:val="134"/>
                    <w:rPr>
                      <w:color w:val="auto"/>
                      <w:sz w:val="18"/>
                      <w:szCs w:val="18"/>
                    </w:rPr>
                  </w:pPr>
                  <w:r>
                    <w:rPr>
                      <w:rFonts w:hint="eastAsia"/>
                      <w:color w:val="auto"/>
                      <w:sz w:val="18"/>
                      <w:szCs w:val="18"/>
                    </w:rPr>
                    <w:t>建筑物名称</w:t>
                  </w:r>
                </w:p>
              </w:tc>
              <w:tc>
                <w:tcPr>
                  <w:tcW w:w="743" w:type="dxa"/>
                  <w:vMerge w:val="restart"/>
                  <w:tcBorders>
                    <w:tl2br w:val="nil"/>
                    <w:tr2bl w:val="nil"/>
                  </w:tcBorders>
                  <w:noWrap/>
                  <w:vAlign w:val="center"/>
                </w:tcPr>
                <w:p w14:paraId="22493EC2">
                  <w:pPr>
                    <w:pStyle w:val="134"/>
                    <w:rPr>
                      <w:color w:val="auto"/>
                      <w:sz w:val="18"/>
                      <w:szCs w:val="18"/>
                    </w:rPr>
                  </w:pPr>
                  <w:r>
                    <w:rPr>
                      <w:rFonts w:hint="eastAsia"/>
                      <w:color w:val="auto"/>
                      <w:sz w:val="18"/>
                      <w:szCs w:val="18"/>
                    </w:rPr>
                    <w:t>声源名称</w:t>
                  </w:r>
                </w:p>
              </w:tc>
              <w:tc>
                <w:tcPr>
                  <w:tcW w:w="331" w:type="dxa"/>
                  <w:vMerge w:val="restart"/>
                  <w:tcBorders>
                    <w:tl2br w:val="nil"/>
                    <w:tr2bl w:val="nil"/>
                  </w:tcBorders>
                  <w:noWrap/>
                  <w:vAlign w:val="center"/>
                </w:tcPr>
                <w:p w14:paraId="6EF9553E">
                  <w:pPr>
                    <w:pStyle w:val="134"/>
                    <w:rPr>
                      <w:color w:val="auto"/>
                      <w:sz w:val="18"/>
                      <w:szCs w:val="18"/>
                    </w:rPr>
                  </w:pPr>
                  <w:r>
                    <w:rPr>
                      <w:rFonts w:hint="eastAsia"/>
                      <w:color w:val="auto"/>
                      <w:sz w:val="18"/>
                      <w:szCs w:val="18"/>
                    </w:rPr>
                    <w:t>型号</w:t>
                  </w:r>
                </w:p>
              </w:tc>
              <w:tc>
                <w:tcPr>
                  <w:tcW w:w="952" w:type="dxa"/>
                  <w:tcBorders>
                    <w:tl2br w:val="nil"/>
                    <w:tr2bl w:val="nil"/>
                  </w:tcBorders>
                  <w:noWrap/>
                  <w:vAlign w:val="center"/>
                </w:tcPr>
                <w:p w14:paraId="6E481146">
                  <w:pPr>
                    <w:pStyle w:val="134"/>
                    <w:rPr>
                      <w:color w:val="auto"/>
                      <w:sz w:val="18"/>
                      <w:szCs w:val="18"/>
                    </w:rPr>
                  </w:pPr>
                  <w:r>
                    <w:rPr>
                      <w:rFonts w:hint="eastAsia"/>
                      <w:color w:val="auto"/>
                      <w:sz w:val="18"/>
                      <w:szCs w:val="18"/>
                    </w:rPr>
                    <w:t>声源源强</w:t>
                  </w:r>
                </w:p>
              </w:tc>
              <w:tc>
                <w:tcPr>
                  <w:tcW w:w="1269" w:type="dxa"/>
                  <w:gridSpan w:val="3"/>
                  <w:tcBorders>
                    <w:tl2br w:val="nil"/>
                    <w:tr2bl w:val="nil"/>
                  </w:tcBorders>
                  <w:noWrap/>
                  <w:vAlign w:val="center"/>
                </w:tcPr>
                <w:p w14:paraId="5DCB9E0B">
                  <w:pPr>
                    <w:pStyle w:val="134"/>
                    <w:rPr>
                      <w:color w:val="auto"/>
                      <w:sz w:val="18"/>
                      <w:szCs w:val="18"/>
                    </w:rPr>
                  </w:pPr>
                  <w:r>
                    <w:rPr>
                      <w:rFonts w:hint="eastAsia"/>
                      <w:color w:val="auto"/>
                      <w:sz w:val="18"/>
                      <w:szCs w:val="18"/>
                    </w:rPr>
                    <w:t>空间相对位置/m</w:t>
                  </w:r>
                </w:p>
              </w:tc>
              <w:tc>
                <w:tcPr>
                  <w:tcW w:w="650" w:type="dxa"/>
                  <w:vMerge w:val="restart"/>
                  <w:tcBorders>
                    <w:tl2br w:val="nil"/>
                    <w:tr2bl w:val="nil"/>
                  </w:tcBorders>
                  <w:noWrap/>
                  <w:vAlign w:val="center"/>
                </w:tcPr>
                <w:p w14:paraId="677AF053">
                  <w:pPr>
                    <w:pStyle w:val="134"/>
                    <w:rPr>
                      <w:color w:val="auto"/>
                      <w:sz w:val="18"/>
                      <w:szCs w:val="18"/>
                    </w:rPr>
                  </w:pPr>
                  <w:r>
                    <w:rPr>
                      <w:rFonts w:hint="eastAsia"/>
                      <w:color w:val="auto"/>
                      <w:sz w:val="18"/>
                      <w:szCs w:val="18"/>
                    </w:rPr>
                    <w:t>距室内边界距离/m</w:t>
                  </w:r>
                </w:p>
              </w:tc>
              <w:tc>
                <w:tcPr>
                  <w:tcW w:w="721" w:type="dxa"/>
                  <w:vMerge w:val="restart"/>
                  <w:tcBorders>
                    <w:tl2br w:val="nil"/>
                    <w:tr2bl w:val="nil"/>
                  </w:tcBorders>
                  <w:noWrap/>
                  <w:vAlign w:val="center"/>
                </w:tcPr>
                <w:p w14:paraId="7262824E">
                  <w:pPr>
                    <w:pStyle w:val="134"/>
                    <w:rPr>
                      <w:color w:val="auto"/>
                      <w:sz w:val="18"/>
                      <w:szCs w:val="18"/>
                    </w:rPr>
                  </w:pPr>
                  <w:r>
                    <w:rPr>
                      <w:rFonts w:hint="eastAsia"/>
                      <w:color w:val="auto"/>
                      <w:sz w:val="18"/>
                      <w:szCs w:val="18"/>
                    </w:rPr>
                    <w:t>室内边界声级/dB（A）</w:t>
                  </w:r>
                </w:p>
              </w:tc>
              <w:tc>
                <w:tcPr>
                  <w:tcW w:w="535" w:type="dxa"/>
                  <w:vMerge w:val="restart"/>
                  <w:tcBorders>
                    <w:tl2br w:val="nil"/>
                    <w:tr2bl w:val="nil"/>
                  </w:tcBorders>
                  <w:noWrap/>
                  <w:vAlign w:val="center"/>
                </w:tcPr>
                <w:p w14:paraId="482DE897">
                  <w:pPr>
                    <w:pStyle w:val="134"/>
                    <w:rPr>
                      <w:color w:val="auto"/>
                      <w:sz w:val="18"/>
                      <w:szCs w:val="18"/>
                    </w:rPr>
                  </w:pPr>
                  <w:r>
                    <w:rPr>
                      <w:rFonts w:hint="eastAsia"/>
                      <w:color w:val="auto"/>
                      <w:sz w:val="18"/>
                      <w:szCs w:val="18"/>
                    </w:rPr>
                    <w:t>运行时段</w:t>
                  </w:r>
                </w:p>
              </w:tc>
              <w:tc>
                <w:tcPr>
                  <w:tcW w:w="637" w:type="dxa"/>
                  <w:vMerge w:val="restart"/>
                  <w:tcBorders>
                    <w:tl2br w:val="nil"/>
                    <w:tr2bl w:val="nil"/>
                  </w:tcBorders>
                  <w:noWrap/>
                  <w:vAlign w:val="center"/>
                </w:tcPr>
                <w:p w14:paraId="2440C53E">
                  <w:pPr>
                    <w:pStyle w:val="134"/>
                    <w:rPr>
                      <w:color w:val="auto"/>
                      <w:sz w:val="18"/>
                      <w:szCs w:val="18"/>
                    </w:rPr>
                  </w:pPr>
                  <w:r>
                    <w:rPr>
                      <w:rFonts w:hint="eastAsia"/>
                      <w:color w:val="auto"/>
                      <w:sz w:val="18"/>
                      <w:szCs w:val="18"/>
                    </w:rPr>
                    <w:t>建筑物插入损失/dB（A）</w:t>
                  </w:r>
                </w:p>
              </w:tc>
              <w:tc>
                <w:tcPr>
                  <w:tcW w:w="1421" w:type="dxa"/>
                  <w:gridSpan w:val="2"/>
                  <w:tcBorders>
                    <w:tl2br w:val="nil"/>
                    <w:tr2bl w:val="nil"/>
                  </w:tcBorders>
                  <w:noWrap/>
                  <w:vAlign w:val="center"/>
                </w:tcPr>
                <w:p w14:paraId="63DBB3F0">
                  <w:pPr>
                    <w:pStyle w:val="134"/>
                    <w:rPr>
                      <w:color w:val="auto"/>
                      <w:sz w:val="18"/>
                      <w:szCs w:val="18"/>
                    </w:rPr>
                  </w:pPr>
                  <w:r>
                    <w:rPr>
                      <w:rFonts w:hint="eastAsia"/>
                      <w:color w:val="auto"/>
                      <w:sz w:val="18"/>
                      <w:szCs w:val="18"/>
                    </w:rPr>
                    <w:t>建筑物外噪声</w:t>
                  </w:r>
                </w:p>
              </w:tc>
            </w:tr>
            <w:tr w14:paraId="6B4406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dxa"/>
                  <w:vMerge w:val="continue"/>
                  <w:tcBorders>
                    <w:tl2br w:val="nil"/>
                    <w:tr2bl w:val="nil"/>
                  </w:tcBorders>
                  <w:noWrap/>
                  <w:vAlign w:val="center"/>
                </w:tcPr>
                <w:p w14:paraId="6464BFF8">
                  <w:pPr>
                    <w:pStyle w:val="134"/>
                    <w:rPr>
                      <w:color w:val="auto"/>
                      <w:sz w:val="18"/>
                      <w:szCs w:val="18"/>
                    </w:rPr>
                  </w:pPr>
                </w:p>
              </w:tc>
              <w:tc>
                <w:tcPr>
                  <w:tcW w:w="454" w:type="dxa"/>
                  <w:vMerge w:val="continue"/>
                  <w:tcBorders>
                    <w:tl2br w:val="nil"/>
                    <w:tr2bl w:val="nil"/>
                  </w:tcBorders>
                  <w:noWrap/>
                  <w:vAlign w:val="center"/>
                </w:tcPr>
                <w:p w14:paraId="08257AB8">
                  <w:pPr>
                    <w:pStyle w:val="134"/>
                    <w:rPr>
                      <w:rFonts w:eastAsia="Times New Roman" w:cs="Times New Roman"/>
                      <w:color w:val="auto"/>
                      <w:sz w:val="18"/>
                      <w:szCs w:val="18"/>
                    </w:rPr>
                  </w:pPr>
                </w:p>
              </w:tc>
              <w:tc>
                <w:tcPr>
                  <w:tcW w:w="743" w:type="dxa"/>
                  <w:vMerge w:val="continue"/>
                  <w:tcBorders>
                    <w:tl2br w:val="nil"/>
                    <w:tr2bl w:val="nil"/>
                  </w:tcBorders>
                  <w:noWrap/>
                  <w:vAlign w:val="center"/>
                </w:tcPr>
                <w:p w14:paraId="20E18E5B">
                  <w:pPr>
                    <w:pStyle w:val="134"/>
                    <w:rPr>
                      <w:rFonts w:eastAsia="Times New Roman" w:cs="Times New Roman"/>
                      <w:color w:val="auto"/>
                      <w:sz w:val="18"/>
                      <w:szCs w:val="18"/>
                    </w:rPr>
                  </w:pPr>
                </w:p>
              </w:tc>
              <w:tc>
                <w:tcPr>
                  <w:tcW w:w="331" w:type="dxa"/>
                  <w:vMerge w:val="continue"/>
                  <w:tcBorders>
                    <w:tl2br w:val="nil"/>
                    <w:tr2bl w:val="nil"/>
                  </w:tcBorders>
                  <w:noWrap/>
                  <w:vAlign w:val="center"/>
                </w:tcPr>
                <w:p w14:paraId="081F04AA">
                  <w:pPr>
                    <w:pStyle w:val="134"/>
                    <w:rPr>
                      <w:rFonts w:eastAsia="Times New Roman" w:cs="Times New Roman"/>
                      <w:color w:val="auto"/>
                      <w:sz w:val="18"/>
                      <w:szCs w:val="18"/>
                    </w:rPr>
                  </w:pPr>
                </w:p>
              </w:tc>
              <w:tc>
                <w:tcPr>
                  <w:tcW w:w="952" w:type="dxa"/>
                  <w:tcBorders>
                    <w:tl2br w:val="nil"/>
                    <w:tr2bl w:val="nil"/>
                  </w:tcBorders>
                  <w:noWrap/>
                  <w:vAlign w:val="center"/>
                </w:tcPr>
                <w:p w14:paraId="2902ABCD">
                  <w:pPr>
                    <w:pStyle w:val="134"/>
                    <w:rPr>
                      <w:color w:val="auto"/>
                      <w:sz w:val="18"/>
                      <w:szCs w:val="18"/>
                    </w:rPr>
                  </w:pPr>
                  <w:r>
                    <w:rPr>
                      <w:rFonts w:hint="eastAsia"/>
                      <w:color w:val="auto"/>
                      <w:sz w:val="18"/>
                      <w:szCs w:val="18"/>
                    </w:rPr>
                    <w:t>声压级/距声源距离）/（dB（A）/m）</w:t>
                  </w:r>
                </w:p>
              </w:tc>
              <w:tc>
                <w:tcPr>
                  <w:tcW w:w="469" w:type="dxa"/>
                  <w:tcBorders>
                    <w:tl2br w:val="nil"/>
                    <w:tr2bl w:val="nil"/>
                  </w:tcBorders>
                  <w:noWrap/>
                  <w:vAlign w:val="center"/>
                </w:tcPr>
                <w:p w14:paraId="66859A3B">
                  <w:pPr>
                    <w:pStyle w:val="134"/>
                    <w:rPr>
                      <w:color w:val="auto"/>
                      <w:sz w:val="18"/>
                      <w:szCs w:val="18"/>
                    </w:rPr>
                  </w:pPr>
                  <w:r>
                    <w:rPr>
                      <w:rFonts w:hint="eastAsia"/>
                      <w:color w:val="auto"/>
                      <w:sz w:val="18"/>
                      <w:szCs w:val="18"/>
                    </w:rPr>
                    <w:t>X</w:t>
                  </w:r>
                </w:p>
              </w:tc>
              <w:tc>
                <w:tcPr>
                  <w:tcW w:w="398" w:type="dxa"/>
                  <w:tcBorders>
                    <w:tl2br w:val="nil"/>
                    <w:tr2bl w:val="nil"/>
                  </w:tcBorders>
                  <w:noWrap/>
                  <w:vAlign w:val="center"/>
                </w:tcPr>
                <w:p w14:paraId="2E7AC391">
                  <w:pPr>
                    <w:pStyle w:val="134"/>
                    <w:rPr>
                      <w:color w:val="auto"/>
                      <w:sz w:val="18"/>
                      <w:szCs w:val="18"/>
                    </w:rPr>
                  </w:pPr>
                  <w:r>
                    <w:rPr>
                      <w:rFonts w:hint="eastAsia"/>
                      <w:color w:val="auto"/>
                      <w:sz w:val="18"/>
                      <w:szCs w:val="18"/>
                    </w:rPr>
                    <w:t>Y</w:t>
                  </w:r>
                </w:p>
              </w:tc>
              <w:tc>
                <w:tcPr>
                  <w:tcW w:w="402" w:type="dxa"/>
                  <w:tcBorders>
                    <w:tl2br w:val="nil"/>
                    <w:tr2bl w:val="nil"/>
                  </w:tcBorders>
                  <w:noWrap/>
                  <w:vAlign w:val="center"/>
                </w:tcPr>
                <w:p w14:paraId="36AD6E5D">
                  <w:pPr>
                    <w:pStyle w:val="134"/>
                    <w:rPr>
                      <w:color w:val="auto"/>
                      <w:sz w:val="18"/>
                      <w:szCs w:val="18"/>
                    </w:rPr>
                  </w:pPr>
                  <w:r>
                    <w:rPr>
                      <w:rFonts w:hint="eastAsia"/>
                      <w:color w:val="auto"/>
                      <w:sz w:val="18"/>
                      <w:szCs w:val="18"/>
                    </w:rPr>
                    <w:t>Z</w:t>
                  </w:r>
                </w:p>
              </w:tc>
              <w:tc>
                <w:tcPr>
                  <w:tcW w:w="650" w:type="dxa"/>
                  <w:vMerge w:val="continue"/>
                  <w:tcBorders>
                    <w:tl2br w:val="nil"/>
                    <w:tr2bl w:val="nil"/>
                  </w:tcBorders>
                  <w:noWrap/>
                  <w:vAlign w:val="center"/>
                </w:tcPr>
                <w:p w14:paraId="366FB3B6">
                  <w:pPr>
                    <w:pStyle w:val="134"/>
                    <w:rPr>
                      <w:color w:val="auto"/>
                      <w:sz w:val="18"/>
                      <w:szCs w:val="18"/>
                    </w:rPr>
                  </w:pPr>
                </w:p>
              </w:tc>
              <w:tc>
                <w:tcPr>
                  <w:tcW w:w="721" w:type="dxa"/>
                  <w:vMerge w:val="continue"/>
                  <w:tcBorders>
                    <w:tl2br w:val="nil"/>
                    <w:tr2bl w:val="nil"/>
                  </w:tcBorders>
                  <w:noWrap/>
                  <w:vAlign w:val="center"/>
                </w:tcPr>
                <w:p w14:paraId="764E235B">
                  <w:pPr>
                    <w:pStyle w:val="134"/>
                    <w:rPr>
                      <w:color w:val="auto"/>
                      <w:sz w:val="18"/>
                      <w:szCs w:val="18"/>
                    </w:rPr>
                  </w:pPr>
                </w:p>
              </w:tc>
              <w:tc>
                <w:tcPr>
                  <w:tcW w:w="535" w:type="dxa"/>
                  <w:vMerge w:val="continue"/>
                  <w:tcBorders>
                    <w:tl2br w:val="nil"/>
                    <w:tr2bl w:val="nil"/>
                  </w:tcBorders>
                  <w:noWrap/>
                  <w:vAlign w:val="center"/>
                </w:tcPr>
                <w:p w14:paraId="2EAF5CE3">
                  <w:pPr>
                    <w:pStyle w:val="134"/>
                    <w:rPr>
                      <w:color w:val="auto"/>
                      <w:sz w:val="18"/>
                      <w:szCs w:val="18"/>
                    </w:rPr>
                  </w:pPr>
                </w:p>
              </w:tc>
              <w:tc>
                <w:tcPr>
                  <w:tcW w:w="637" w:type="dxa"/>
                  <w:vMerge w:val="continue"/>
                  <w:tcBorders>
                    <w:tl2br w:val="nil"/>
                    <w:tr2bl w:val="nil"/>
                  </w:tcBorders>
                  <w:noWrap/>
                  <w:vAlign w:val="center"/>
                </w:tcPr>
                <w:p w14:paraId="188B29A3">
                  <w:pPr>
                    <w:pStyle w:val="134"/>
                    <w:rPr>
                      <w:color w:val="auto"/>
                      <w:sz w:val="18"/>
                      <w:szCs w:val="18"/>
                    </w:rPr>
                  </w:pPr>
                </w:p>
              </w:tc>
              <w:tc>
                <w:tcPr>
                  <w:tcW w:w="731" w:type="dxa"/>
                  <w:tcBorders>
                    <w:tl2br w:val="nil"/>
                    <w:tr2bl w:val="nil"/>
                  </w:tcBorders>
                  <w:noWrap/>
                  <w:vAlign w:val="center"/>
                </w:tcPr>
                <w:p w14:paraId="2DC91C65">
                  <w:pPr>
                    <w:pStyle w:val="134"/>
                    <w:rPr>
                      <w:color w:val="auto"/>
                      <w:sz w:val="18"/>
                      <w:szCs w:val="18"/>
                    </w:rPr>
                  </w:pPr>
                  <w:r>
                    <w:rPr>
                      <w:rFonts w:hint="eastAsia"/>
                      <w:color w:val="auto"/>
                      <w:sz w:val="18"/>
                      <w:szCs w:val="18"/>
                    </w:rPr>
                    <w:t>声压级/dB（A）</w:t>
                  </w:r>
                </w:p>
              </w:tc>
              <w:tc>
                <w:tcPr>
                  <w:tcW w:w="690" w:type="dxa"/>
                  <w:tcBorders>
                    <w:tl2br w:val="nil"/>
                    <w:tr2bl w:val="nil"/>
                  </w:tcBorders>
                  <w:noWrap/>
                  <w:vAlign w:val="center"/>
                </w:tcPr>
                <w:p w14:paraId="175321CA">
                  <w:pPr>
                    <w:pStyle w:val="134"/>
                    <w:rPr>
                      <w:color w:val="auto"/>
                      <w:sz w:val="18"/>
                      <w:szCs w:val="18"/>
                    </w:rPr>
                  </w:pPr>
                  <w:r>
                    <w:rPr>
                      <w:rFonts w:hint="eastAsia"/>
                      <w:color w:val="auto"/>
                      <w:sz w:val="18"/>
                      <w:szCs w:val="18"/>
                    </w:rPr>
                    <w:t>建筑物外距离</w:t>
                  </w:r>
                </w:p>
              </w:tc>
            </w:tr>
            <w:tr w14:paraId="5D5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dxa"/>
                  <w:tcBorders>
                    <w:tl2br w:val="nil"/>
                    <w:tr2bl w:val="nil"/>
                  </w:tcBorders>
                  <w:noWrap/>
                  <w:vAlign w:val="center"/>
                </w:tcPr>
                <w:p w14:paraId="2BC28D7F">
                  <w:pPr>
                    <w:pStyle w:val="134"/>
                    <w:rPr>
                      <w:color w:val="auto"/>
                      <w:sz w:val="18"/>
                      <w:szCs w:val="18"/>
                    </w:rPr>
                  </w:pPr>
                  <w:r>
                    <w:rPr>
                      <w:rFonts w:hint="eastAsia"/>
                      <w:color w:val="auto"/>
                      <w:sz w:val="18"/>
                      <w:szCs w:val="18"/>
                    </w:rPr>
                    <w:t>1</w:t>
                  </w:r>
                </w:p>
              </w:tc>
              <w:tc>
                <w:tcPr>
                  <w:tcW w:w="454" w:type="dxa"/>
                  <w:tcBorders>
                    <w:tl2br w:val="nil"/>
                    <w:tr2bl w:val="nil"/>
                  </w:tcBorders>
                  <w:noWrap/>
                  <w:vAlign w:val="center"/>
                </w:tcPr>
                <w:p w14:paraId="61BB1415">
                  <w:pPr>
                    <w:pStyle w:val="134"/>
                    <w:rPr>
                      <w:color w:val="auto"/>
                      <w:sz w:val="18"/>
                      <w:szCs w:val="18"/>
                    </w:rPr>
                  </w:pPr>
                  <w:r>
                    <w:rPr>
                      <w:rFonts w:hint="eastAsia"/>
                      <w:color w:val="auto"/>
                      <w:sz w:val="18"/>
                      <w:szCs w:val="18"/>
                    </w:rPr>
                    <w:t>值班室</w:t>
                  </w:r>
                </w:p>
              </w:tc>
              <w:tc>
                <w:tcPr>
                  <w:tcW w:w="743" w:type="dxa"/>
                  <w:tcBorders>
                    <w:tl2br w:val="nil"/>
                    <w:tr2bl w:val="nil"/>
                  </w:tcBorders>
                  <w:noWrap/>
                  <w:vAlign w:val="center"/>
                </w:tcPr>
                <w:p w14:paraId="60FE4663">
                  <w:pPr>
                    <w:pStyle w:val="134"/>
                    <w:rPr>
                      <w:color w:val="auto"/>
                      <w:sz w:val="18"/>
                      <w:szCs w:val="18"/>
                    </w:rPr>
                  </w:pPr>
                  <w:r>
                    <w:rPr>
                      <w:rFonts w:hint="eastAsia"/>
                      <w:color w:val="auto"/>
                      <w:sz w:val="18"/>
                      <w:szCs w:val="18"/>
                    </w:rPr>
                    <w:t>水泵</w:t>
                  </w:r>
                </w:p>
              </w:tc>
              <w:tc>
                <w:tcPr>
                  <w:tcW w:w="331" w:type="dxa"/>
                  <w:tcBorders>
                    <w:tl2br w:val="nil"/>
                    <w:tr2bl w:val="nil"/>
                  </w:tcBorders>
                  <w:noWrap/>
                  <w:vAlign w:val="center"/>
                </w:tcPr>
                <w:p w14:paraId="15DF3F3A">
                  <w:pPr>
                    <w:pStyle w:val="134"/>
                    <w:rPr>
                      <w:color w:val="auto"/>
                      <w:sz w:val="18"/>
                      <w:szCs w:val="18"/>
                    </w:rPr>
                  </w:pPr>
                  <w:r>
                    <w:rPr>
                      <w:rFonts w:hint="eastAsia"/>
                      <w:color w:val="auto"/>
                      <w:sz w:val="18"/>
                      <w:szCs w:val="18"/>
                    </w:rPr>
                    <w:t>/</w:t>
                  </w:r>
                </w:p>
              </w:tc>
              <w:tc>
                <w:tcPr>
                  <w:tcW w:w="952" w:type="dxa"/>
                  <w:tcBorders>
                    <w:tl2br w:val="nil"/>
                    <w:tr2bl w:val="nil"/>
                  </w:tcBorders>
                  <w:noWrap/>
                  <w:vAlign w:val="center"/>
                </w:tcPr>
                <w:p w14:paraId="30893FD4">
                  <w:pPr>
                    <w:pStyle w:val="134"/>
                    <w:rPr>
                      <w:color w:val="auto"/>
                      <w:sz w:val="18"/>
                      <w:szCs w:val="18"/>
                    </w:rPr>
                  </w:pPr>
                  <w:r>
                    <w:rPr>
                      <w:rFonts w:hint="eastAsia"/>
                      <w:color w:val="auto"/>
                      <w:sz w:val="18"/>
                      <w:szCs w:val="18"/>
                    </w:rPr>
                    <w:t>70/1</w:t>
                  </w:r>
                </w:p>
              </w:tc>
              <w:tc>
                <w:tcPr>
                  <w:tcW w:w="469" w:type="dxa"/>
                  <w:tcBorders>
                    <w:tl2br w:val="nil"/>
                    <w:tr2bl w:val="nil"/>
                  </w:tcBorders>
                  <w:noWrap/>
                  <w:vAlign w:val="center"/>
                </w:tcPr>
                <w:p w14:paraId="1C6284DB">
                  <w:pPr>
                    <w:pStyle w:val="134"/>
                    <w:rPr>
                      <w:color w:val="auto"/>
                      <w:sz w:val="18"/>
                      <w:szCs w:val="18"/>
                    </w:rPr>
                  </w:pPr>
                  <w:r>
                    <w:rPr>
                      <w:rFonts w:hint="eastAsia"/>
                      <w:color w:val="auto"/>
                      <w:sz w:val="18"/>
                      <w:szCs w:val="18"/>
                    </w:rPr>
                    <w:t>6</w:t>
                  </w:r>
                </w:p>
              </w:tc>
              <w:tc>
                <w:tcPr>
                  <w:tcW w:w="398" w:type="dxa"/>
                  <w:tcBorders>
                    <w:tl2br w:val="nil"/>
                    <w:tr2bl w:val="nil"/>
                  </w:tcBorders>
                  <w:noWrap/>
                  <w:vAlign w:val="center"/>
                </w:tcPr>
                <w:p w14:paraId="0A8F7B10">
                  <w:pPr>
                    <w:pStyle w:val="134"/>
                    <w:rPr>
                      <w:color w:val="auto"/>
                      <w:sz w:val="18"/>
                      <w:szCs w:val="18"/>
                    </w:rPr>
                  </w:pPr>
                  <w:r>
                    <w:rPr>
                      <w:rFonts w:hint="eastAsia"/>
                      <w:color w:val="auto"/>
                      <w:sz w:val="18"/>
                      <w:szCs w:val="18"/>
                    </w:rPr>
                    <w:t>4</w:t>
                  </w:r>
                </w:p>
              </w:tc>
              <w:tc>
                <w:tcPr>
                  <w:tcW w:w="402" w:type="dxa"/>
                  <w:tcBorders>
                    <w:tl2br w:val="nil"/>
                    <w:tr2bl w:val="nil"/>
                  </w:tcBorders>
                  <w:noWrap/>
                  <w:vAlign w:val="center"/>
                </w:tcPr>
                <w:p w14:paraId="3D70BC73">
                  <w:pPr>
                    <w:pStyle w:val="134"/>
                    <w:rPr>
                      <w:color w:val="auto"/>
                      <w:sz w:val="18"/>
                      <w:szCs w:val="18"/>
                    </w:rPr>
                  </w:pPr>
                  <w:r>
                    <w:rPr>
                      <w:rFonts w:hint="eastAsia"/>
                      <w:color w:val="auto"/>
                      <w:sz w:val="18"/>
                      <w:szCs w:val="18"/>
                    </w:rPr>
                    <w:t>0.5</w:t>
                  </w:r>
                </w:p>
              </w:tc>
              <w:tc>
                <w:tcPr>
                  <w:tcW w:w="650" w:type="dxa"/>
                  <w:tcBorders>
                    <w:tl2br w:val="nil"/>
                    <w:tr2bl w:val="nil"/>
                  </w:tcBorders>
                  <w:noWrap/>
                  <w:vAlign w:val="center"/>
                </w:tcPr>
                <w:p w14:paraId="28FA64FD">
                  <w:pPr>
                    <w:pStyle w:val="134"/>
                    <w:rPr>
                      <w:color w:val="auto"/>
                      <w:sz w:val="18"/>
                      <w:szCs w:val="18"/>
                    </w:rPr>
                  </w:pPr>
                  <w:r>
                    <w:rPr>
                      <w:rFonts w:hint="eastAsia"/>
                      <w:color w:val="auto"/>
                      <w:sz w:val="18"/>
                      <w:szCs w:val="18"/>
                    </w:rPr>
                    <w:t>3.4</w:t>
                  </w:r>
                </w:p>
              </w:tc>
              <w:tc>
                <w:tcPr>
                  <w:tcW w:w="721" w:type="dxa"/>
                  <w:tcBorders>
                    <w:tl2br w:val="nil"/>
                    <w:tr2bl w:val="nil"/>
                  </w:tcBorders>
                  <w:noWrap/>
                  <w:vAlign w:val="center"/>
                </w:tcPr>
                <w:p w14:paraId="29011641">
                  <w:pPr>
                    <w:pStyle w:val="134"/>
                    <w:rPr>
                      <w:color w:val="auto"/>
                      <w:sz w:val="18"/>
                      <w:szCs w:val="18"/>
                    </w:rPr>
                  </w:pPr>
                  <w:r>
                    <w:rPr>
                      <w:rFonts w:hint="eastAsia"/>
                      <w:color w:val="auto"/>
                      <w:sz w:val="18"/>
                      <w:szCs w:val="18"/>
                    </w:rPr>
                    <w:t>69.5</w:t>
                  </w:r>
                </w:p>
              </w:tc>
              <w:tc>
                <w:tcPr>
                  <w:tcW w:w="535" w:type="dxa"/>
                  <w:tcBorders>
                    <w:tl2br w:val="nil"/>
                    <w:tr2bl w:val="nil"/>
                  </w:tcBorders>
                  <w:noWrap/>
                  <w:vAlign w:val="center"/>
                </w:tcPr>
                <w:p w14:paraId="29BF7503">
                  <w:pPr>
                    <w:pStyle w:val="134"/>
                    <w:rPr>
                      <w:color w:val="auto"/>
                      <w:sz w:val="18"/>
                      <w:szCs w:val="18"/>
                    </w:rPr>
                  </w:pPr>
                  <w:r>
                    <w:rPr>
                      <w:rFonts w:hint="eastAsia"/>
                      <w:color w:val="auto"/>
                      <w:sz w:val="18"/>
                      <w:szCs w:val="18"/>
                    </w:rPr>
                    <w:t>昼夜</w:t>
                  </w:r>
                </w:p>
              </w:tc>
              <w:tc>
                <w:tcPr>
                  <w:tcW w:w="637" w:type="dxa"/>
                  <w:tcBorders>
                    <w:tl2br w:val="nil"/>
                    <w:tr2bl w:val="nil"/>
                  </w:tcBorders>
                  <w:noWrap/>
                  <w:vAlign w:val="center"/>
                </w:tcPr>
                <w:p w14:paraId="30F8ACD0">
                  <w:pPr>
                    <w:pStyle w:val="134"/>
                    <w:rPr>
                      <w:color w:val="auto"/>
                      <w:sz w:val="18"/>
                      <w:szCs w:val="18"/>
                    </w:rPr>
                  </w:pPr>
                  <w:r>
                    <w:rPr>
                      <w:rFonts w:hint="eastAsia"/>
                      <w:color w:val="auto"/>
                      <w:sz w:val="18"/>
                      <w:szCs w:val="18"/>
                    </w:rPr>
                    <w:t>15</w:t>
                  </w:r>
                </w:p>
              </w:tc>
              <w:tc>
                <w:tcPr>
                  <w:tcW w:w="731" w:type="dxa"/>
                  <w:tcBorders>
                    <w:tl2br w:val="nil"/>
                    <w:tr2bl w:val="nil"/>
                  </w:tcBorders>
                  <w:noWrap/>
                  <w:vAlign w:val="center"/>
                </w:tcPr>
                <w:p w14:paraId="4F0A6E4B">
                  <w:pPr>
                    <w:pStyle w:val="134"/>
                    <w:rPr>
                      <w:color w:val="auto"/>
                      <w:sz w:val="18"/>
                      <w:szCs w:val="18"/>
                    </w:rPr>
                  </w:pPr>
                  <w:r>
                    <w:rPr>
                      <w:rFonts w:hint="eastAsia"/>
                      <w:color w:val="auto"/>
                      <w:sz w:val="18"/>
                      <w:szCs w:val="18"/>
                    </w:rPr>
                    <w:t>48.5</w:t>
                  </w:r>
                </w:p>
              </w:tc>
              <w:tc>
                <w:tcPr>
                  <w:tcW w:w="690" w:type="dxa"/>
                  <w:tcBorders>
                    <w:tl2br w:val="nil"/>
                    <w:tr2bl w:val="nil"/>
                  </w:tcBorders>
                  <w:noWrap/>
                  <w:vAlign w:val="center"/>
                </w:tcPr>
                <w:p w14:paraId="5E361F11">
                  <w:pPr>
                    <w:pStyle w:val="134"/>
                    <w:rPr>
                      <w:color w:val="auto"/>
                      <w:sz w:val="18"/>
                      <w:szCs w:val="18"/>
                    </w:rPr>
                  </w:pPr>
                  <w:r>
                    <w:rPr>
                      <w:rFonts w:hint="eastAsia"/>
                      <w:color w:val="auto"/>
                      <w:sz w:val="18"/>
                      <w:szCs w:val="18"/>
                    </w:rPr>
                    <w:t>1</w:t>
                  </w:r>
                </w:p>
              </w:tc>
            </w:tr>
          </w:tbl>
          <w:p w14:paraId="1B73BD2A">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3.2预测点布设</w:t>
            </w:r>
          </w:p>
          <w:p w14:paraId="49AF607D">
            <w:pPr>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本次噪声预测在厂界内共设置</w:t>
            </w:r>
            <w:r>
              <w:rPr>
                <w:rFonts w:hint="eastAsia" w:cs="Times New Roman"/>
                <w:color w:val="auto"/>
                <w:sz w:val="24"/>
                <w:szCs w:val="28"/>
                <w:lang w:val="en-US" w:eastAsia="zh-CN"/>
              </w:rPr>
              <w:t>4</w:t>
            </w:r>
            <w:r>
              <w:rPr>
                <w:rFonts w:hint="default" w:ascii="Times New Roman" w:hAnsi="Times New Roman" w:cs="Times New Roman"/>
                <w:color w:val="auto"/>
                <w:sz w:val="24"/>
                <w:szCs w:val="28"/>
              </w:rPr>
              <w:t>个预测点（1#预测点～</w:t>
            </w:r>
            <w:r>
              <w:rPr>
                <w:rFonts w:hint="eastAsia" w:cs="Times New Roman"/>
                <w:color w:val="auto"/>
                <w:sz w:val="24"/>
                <w:szCs w:val="28"/>
                <w:lang w:val="en-US" w:eastAsia="zh-CN"/>
              </w:rPr>
              <w:t>4</w:t>
            </w:r>
            <w:r>
              <w:rPr>
                <w:rFonts w:hint="default" w:ascii="Times New Roman" w:hAnsi="Times New Roman" w:cs="Times New Roman"/>
                <w:color w:val="auto"/>
                <w:sz w:val="24"/>
                <w:szCs w:val="28"/>
              </w:rPr>
              <w:t>#预测点）。具体点位如下：</w:t>
            </w:r>
          </w:p>
          <w:p w14:paraId="53F3A4DC">
            <w:pPr>
              <w:pStyle w:val="44"/>
              <w:rPr>
                <w:rFonts w:hint="default"/>
                <w:color w:val="auto"/>
              </w:rPr>
            </w:pPr>
            <w:r>
              <w:rPr>
                <w:color w:val="auto"/>
              </w:rPr>
              <w:drawing>
                <wp:inline distT="0" distB="0" distL="114300" distR="114300">
                  <wp:extent cx="5006340" cy="2576830"/>
                  <wp:effectExtent l="9525" t="9525" r="13335" b="2349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5006340" cy="2576830"/>
                          </a:xfrm>
                          <a:prstGeom prst="rect">
                            <a:avLst/>
                          </a:prstGeom>
                          <a:noFill/>
                          <a:ln>
                            <a:solidFill>
                              <a:schemeClr val="tx1"/>
                            </a:solidFill>
                          </a:ln>
                        </pic:spPr>
                      </pic:pic>
                    </a:graphicData>
                  </a:graphic>
                </wp:inline>
              </w:drawing>
            </w:r>
          </w:p>
          <w:p w14:paraId="1C5971BE">
            <w:pPr>
              <w:spacing w:line="360" w:lineRule="auto"/>
              <w:ind w:firstLine="42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图4-</w:t>
            </w:r>
            <w:r>
              <w:rPr>
                <w:rFonts w:hint="eastAsia" w:cs="Times New Roman"/>
                <w:b/>
                <w:bCs/>
                <w:color w:val="auto"/>
                <w:szCs w:val="21"/>
                <w:highlight w:val="none"/>
                <w:lang w:val="en-US" w:eastAsia="zh-CN"/>
              </w:rPr>
              <w:t>2</w:t>
            </w:r>
            <w:r>
              <w:rPr>
                <w:rFonts w:hint="default" w:ascii="Times New Roman" w:hAnsi="Times New Roman" w:cs="Times New Roman"/>
                <w:b/>
                <w:bCs/>
                <w:color w:val="auto"/>
                <w:szCs w:val="21"/>
                <w:highlight w:val="none"/>
              </w:rPr>
              <w:t xml:space="preserve">  噪声预测点位布设图</w:t>
            </w:r>
          </w:p>
          <w:p w14:paraId="2E6D35AE">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3.3地形数据</w:t>
            </w:r>
          </w:p>
          <w:p w14:paraId="2EB11BC5">
            <w:pPr>
              <w:spacing w:line="360" w:lineRule="auto"/>
              <w:ind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szCs w:val="28"/>
                <w:highlight w:val="none"/>
              </w:rPr>
              <w:t>从</w:t>
            </w:r>
            <w:r>
              <w:rPr>
                <w:rFonts w:hint="default" w:ascii="Times New Roman" w:hAnsi="Times New Roman" w:cs="Times New Roman"/>
                <w:color w:val="auto"/>
                <w:sz w:val="24"/>
                <w:szCs w:val="28"/>
                <w:highlight w:val="none"/>
              </w:rPr>
              <w:fldChar w:fldCharType="begin"/>
            </w:r>
            <w:r>
              <w:rPr>
                <w:rFonts w:hint="default" w:ascii="Times New Roman" w:hAnsi="Times New Roman" w:cs="Times New Roman"/>
                <w:color w:val="auto"/>
                <w:sz w:val="24"/>
                <w:szCs w:val="28"/>
                <w:highlight w:val="none"/>
              </w:rPr>
              <w:instrText xml:space="preserve"> HYPERLINK "http://srtm.csi.cgiar.org/selection/inputcoor.asp下载90m分辨率地形高程数据文件srtm_57_07.asc" </w:instrText>
            </w:r>
            <w:r>
              <w:rPr>
                <w:rFonts w:hint="default" w:ascii="Times New Roman" w:hAnsi="Times New Roman" w:cs="Times New Roman"/>
                <w:color w:val="auto"/>
                <w:sz w:val="24"/>
                <w:szCs w:val="28"/>
                <w:highlight w:val="none"/>
              </w:rPr>
              <w:fldChar w:fldCharType="separate"/>
            </w:r>
            <w:r>
              <w:rPr>
                <w:rFonts w:hint="default" w:ascii="Times New Roman" w:hAnsi="Times New Roman" w:cs="Times New Roman"/>
                <w:color w:val="auto"/>
                <w:sz w:val="24"/>
                <w:szCs w:val="28"/>
                <w:highlight w:val="none"/>
              </w:rPr>
              <w:t>http://srtm.csi.cgiar.org/selection/inputcoor.asp下载90m分辨率地形高程数据文件srtm_57_08.asc</w:t>
            </w:r>
            <w:r>
              <w:rPr>
                <w:rFonts w:hint="default" w:ascii="Times New Roman" w:hAnsi="Times New Roman" w:cs="Times New Roman"/>
                <w:color w:val="auto"/>
                <w:sz w:val="24"/>
                <w:szCs w:val="28"/>
                <w:highlight w:val="none"/>
              </w:rPr>
              <w:fldChar w:fldCharType="end"/>
            </w:r>
            <w:r>
              <w:rPr>
                <w:rFonts w:hint="default" w:ascii="Times New Roman" w:hAnsi="Times New Roman" w:cs="Times New Roman"/>
                <w:color w:val="auto"/>
                <w:sz w:val="24"/>
                <w:szCs w:val="28"/>
                <w:highlight w:val="none"/>
              </w:rPr>
              <w:t>，应用GLOBAL Mapper v10.02，选择完全包含预测范围的区域，选取的范围为（10</w:t>
            </w:r>
            <w:r>
              <w:rPr>
                <w:rFonts w:hint="eastAsia" w:cs="Times New Roman"/>
                <w:color w:val="auto"/>
                <w:sz w:val="24"/>
                <w:szCs w:val="28"/>
                <w:highlight w:val="none"/>
                <w:lang w:val="en-US" w:eastAsia="zh-CN"/>
              </w:rPr>
              <w:t>1</w:t>
            </w:r>
            <w:r>
              <w:rPr>
                <w:rFonts w:hint="default" w:ascii="Times New Roman" w:hAnsi="Times New Roman" w:cs="Times New Roman"/>
                <w:color w:val="auto"/>
                <w:sz w:val="24"/>
                <w:szCs w:val="28"/>
                <w:highlight w:val="none"/>
              </w:rPr>
              <w:t>°</w:t>
            </w:r>
            <w:r>
              <w:rPr>
                <w:rFonts w:hint="eastAsia" w:cs="Times New Roman"/>
                <w:color w:val="auto"/>
                <w:sz w:val="24"/>
                <w:szCs w:val="28"/>
                <w:highlight w:val="none"/>
                <w:lang w:val="en-US" w:eastAsia="zh-CN"/>
              </w:rPr>
              <w:t>38</w:t>
            </w:r>
            <w:r>
              <w:rPr>
                <w:rFonts w:hint="default" w:ascii="Times New Roman" w:hAnsi="Times New Roman" w:cs="Times New Roman"/>
                <w:color w:val="auto"/>
                <w:sz w:val="24"/>
                <w:szCs w:val="28"/>
                <w:highlight w:val="none"/>
              </w:rPr>
              <w:t>′</w:t>
            </w:r>
            <w:r>
              <w:rPr>
                <w:rFonts w:hint="eastAsia" w:cs="Times New Roman"/>
                <w:color w:val="auto"/>
                <w:sz w:val="24"/>
                <w:szCs w:val="28"/>
                <w:highlight w:val="none"/>
                <w:lang w:val="en-US" w:eastAsia="zh-CN"/>
              </w:rPr>
              <w:t>57.48</w:t>
            </w:r>
            <w:r>
              <w:rPr>
                <w:rFonts w:hint="default" w:ascii="Times New Roman" w:hAnsi="Times New Roman" w:cs="Times New Roman"/>
                <w:color w:val="auto"/>
                <w:sz w:val="24"/>
                <w:szCs w:val="28"/>
                <w:highlight w:val="none"/>
              </w:rPr>
              <w:t>00″E～10</w:t>
            </w:r>
            <w:r>
              <w:rPr>
                <w:rFonts w:hint="eastAsia" w:cs="Times New Roman"/>
                <w:color w:val="auto"/>
                <w:sz w:val="24"/>
                <w:szCs w:val="28"/>
                <w:highlight w:val="none"/>
                <w:lang w:val="en-US" w:eastAsia="zh-CN"/>
              </w:rPr>
              <w:t>1</w:t>
            </w:r>
            <w:r>
              <w:rPr>
                <w:rFonts w:hint="default" w:ascii="Times New Roman" w:hAnsi="Times New Roman" w:cs="Times New Roman"/>
                <w:color w:val="auto"/>
                <w:sz w:val="24"/>
                <w:szCs w:val="28"/>
                <w:highlight w:val="none"/>
              </w:rPr>
              <w:t>°</w:t>
            </w:r>
            <w:r>
              <w:rPr>
                <w:rFonts w:hint="eastAsia" w:cs="Times New Roman"/>
                <w:color w:val="auto"/>
                <w:sz w:val="24"/>
                <w:szCs w:val="28"/>
                <w:highlight w:val="none"/>
                <w:lang w:val="en-US" w:eastAsia="zh-CN"/>
              </w:rPr>
              <w:t>39</w:t>
            </w:r>
            <w:r>
              <w:rPr>
                <w:rFonts w:hint="default" w:ascii="Times New Roman" w:hAnsi="Times New Roman" w:cs="Times New Roman"/>
                <w:color w:val="auto"/>
                <w:sz w:val="24"/>
                <w:szCs w:val="28"/>
                <w:highlight w:val="none"/>
              </w:rPr>
              <w:t>′</w:t>
            </w:r>
            <w:r>
              <w:rPr>
                <w:rFonts w:hint="eastAsia" w:cs="Times New Roman"/>
                <w:color w:val="auto"/>
                <w:sz w:val="24"/>
                <w:szCs w:val="28"/>
                <w:highlight w:val="none"/>
                <w:lang w:val="en-US" w:eastAsia="zh-CN"/>
              </w:rPr>
              <w:t>14.76</w:t>
            </w:r>
            <w:r>
              <w:rPr>
                <w:rFonts w:hint="default" w:ascii="Times New Roman" w:hAnsi="Times New Roman" w:cs="Times New Roman"/>
                <w:color w:val="auto"/>
                <w:sz w:val="24"/>
                <w:szCs w:val="28"/>
                <w:highlight w:val="none"/>
              </w:rPr>
              <w:t>00″E，24°0</w:t>
            </w:r>
            <w:r>
              <w:rPr>
                <w:rFonts w:hint="eastAsia" w:cs="Times New Roman"/>
                <w:color w:val="auto"/>
                <w:sz w:val="24"/>
                <w:szCs w:val="28"/>
                <w:highlight w:val="none"/>
                <w:lang w:val="en-US" w:eastAsia="zh-CN"/>
              </w:rPr>
              <w:t>6</w:t>
            </w:r>
            <w:r>
              <w:rPr>
                <w:rFonts w:hint="default" w:ascii="Times New Roman" w:hAnsi="Times New Roman" w:cs="Times New Roman"/>
                <w:color w:val="auto"/>
                <w:sz w:val="24"/>
                <w:szCs w:val="28"/>
                <w:highlight w:val="none"/>
              </w:rPr>
              <w:t>′</w:t>
            </w:r>
            <w:r>
              <w:rPr>
                <w:rFonts w:hint="eastAsia" w:cs="Times New Roman"/>
                <w:color w:val="auto"/>
                <w:sz w:val="24"/>
                <w:szCs w:val="28"/>
                <w:highlight w:val="none"/>
                <w:lang w:val="en-US" w:eastAsia="zh-CN"/>
              </w:rPr>
              <w:t>15.8760</w:t>
            </w:r>
            <w:r>
              <w:rPr>
                <w:rFonts w:hint="default" w:ascii="Times New Roman" w:hAnsi="Times New Roman" w:cs="Times New Roman"/>
                <w:color w:val="auto"/>
                <w:sz w:val="24"/>
                <w:szCs w:val="28"/>
                <w:highlight w:val="none"/>
              </w:rPr>
              <w:t>″N～24°0</w:t>
            </w:r>
            <w:r>
              <w:rPr>
                <w:rFonts w:hint="eastAsia" w:cs="Times New Roman"/>
                <w:color w:val="auto"/>
                <w:sz w:val="24"/>
                <w:szCs w:val="28"/>
                <w:highlight w:val="none"/>
                <w:lang w:val="en-US" w:eastAsia="zh-CN"/>
              </w:rPr>
              <w:t>6</w:t>
            </w:r>
            <w:r>
              <w:rPr>
                <w:rFonts w:hint="default" w:ascii="Times New Roman" w:hAnsi="Times New Roman" w:cs="Times New Roman"/>
                <w:color w:val="auto"/>
                <w:sz w:val="24"/>
                <w:szCs w:val="28"/>
                <w:highlight w:val="none"/>
              </w:rPr>
              <w:t>′</w:t>
            </w:r>
            <w:r>
              <w:rPr>
                <w:rFonts w:hint="eastAsia" w:cs="Times New Roman"/>
                <w:color w:val="auto"/>
                <w:sz w:val="24"/>
                <w:szCs w:val="28"/>
                <w:highlight w:val="none"/>
                <w:lang w:val="en-US" w:eastAsia="zh-CN"/>
              </w:rPr>
              <w:t>23.9400</w:t>
            </w:r>
            <w:r>
              <w:rPr>
                <w:rFonts w:hint="default" w:ascii="Times New Roman" w:hAnsi="Times New Roman" w:cs="Times New Roman"/>
                <w:color w:val="auto"/>
                <w:sz w:val="24"/>
                <w:szCs w:val="28"/>
                <w:highlight w:val="none"/>
              </w:rPr>
              <w:t>″N）设置为UTM投影，导出生成AERMAP所需的数字高程DEM文件。</w:t>
            </w:r>
          </w:p>
          <w:p w14:paraId="5B8319F3">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3.4噪声预测结果</w:t>
            </w:r>
          </w:p>
          <w:p w14:paraId="4F8760C2">
            <w:pPr>
              <w:widowControl/>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（1）室外声源预测模式</w:t>
            </w:r>
          </w:p>
          <w:p w14:paraId="1797D862">
            <w:pPr>
              <w:widowControl/>
              <w:autoSpaceDE w:val="0"/>
              <w:autoSpaceDN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根据《环境影响评价技术导则  声环境》（HJ2.4-2021），</w:t>
            </w:r>
            <w:r>
              <w:rPr>
                <w:rFonts w:hint="default" w:ascii="Times New Roman" w:hAnsi="Times New Roman" w:cs="Times New Roman"/>
                <w:color w:val="auto"/>
                <w:sz w:val="24"/>
                <w:lang w:bidi="ar"/>
              </w:rPr>
              <w:t>无指向性点声源几何发散衰减的基本公式：</w:t>
            </w:r>
          </w:p>
          <w:p w14:paraId="3754DC47">
            <w:pPr>
              <w:autoSpaceDE w:val="0"/>
              <w:autoSpaceDN w:val="0"/>
              <w:adjustRightInd w:val="0"/>
              <w:spacing w:before="120" w:beforeLines="50" w:after="120" w:afterLines="50" w:line="360" w:lineRule="auto"/>
              <w:jc w:val="center"/>
              <w:rPr>
                <w:rFonts w:hint="default" w:ascii="Times New Roman" w:hAnsi="Times New Roman" w:cs="Times New Roman"/>
                <w:color w:val="auto"/>
                <w:sz w:val="24"/>
                <w:lang w:val="pt-BR"/>
              </w:rPr>
            </w:pPr>
            <w:r>
              <w:rPr>
                <w:rFonts w:hint="default" w:ascii="Times New Roman" w:hAnsi="Times New Roman" w:cs="Times New Roman"/>
                <w:i/>
                <w:iCs/>
                <w:color w:val="auto"/>
                <w:sz w:val="24"/>
                <w:lang w:val="pt-BR" w:bidi="ar"/>
              </w:rPr>
              <w:t>L</w:t>
            </w:r>
            <w:r>
              <w:rPr>
                <w:rFonts w:hint="default" w:ascii="Times New Roman" w:hAnsi="Times New Roman" w:cs="Times New Roman"/>
                <w:i/>
                <w:iCs/>
                <w:color w:val="auto"/>
                <w:sz w:val="24"/>
                <w:lang w:bidi="ar"/>
              </w:rPr>
              <w:t>p</w:t>
            </w:r>
            <w:r>
              <w:rPr>
                <w:rFonts w:hint="default" w:ascii="Times New Roman" w:hAnsi="Times New Roman" w:cs="Times New Roman"/>
                <w:i/>
                <w:iCs/>
                <w:color w:val="auto"/>
                <w:sz w:val="24"/>
                <w:lang w:val="pt-BR" w:bidi="ar"/>
              </w:rPr>
              <w:t>(r)</w:t>
            </w:r>
            <w:r>
              <w:rPr>
                <w:rFonts w:hint="default" w:ascii="Times New Roman" w:hAnsi="Times New Roman" w:cs="Times New Roman"/>
                <w:color w:val="auto"/>
                <w:sz w:val="24"/>
                <w:lang w:val="pt-BR" w:bidi="ar"/>
              </w:rPr>
              <w:t>=</w:t>
            </w:r>
            <w:r>
              <w:rPr>
                <w:rFonts w:hint="default" w:ascii="Times New Roman" w:hAnsi="Times New Roman" w:cs="Times New Roman"/>
                <w:i/>
                <w:iCs/>
                <w:color w:val="auto"/>
                <w:sz w:val="24"/>
                <w:lang w:val="pt-BR" w:bidi="ar"/>
              </w:rPr>
              <w:t>Lr</w:t>
            </w:r>
            <w:r>
              <w:rPr>
                <w:rFonts w:hint="default" w:ascii="Times New Roman" w:hAnsi="Times New Roman" w:cs="Times New Roman"/>
                <w:i/>
                <w:iCs/>
                <w:color w:val="auto"/>
                <w:sz w:val="24"/>
                <w:vertAlign w:val="subscript"/>
                <w:lang w:val="pt-BR" w:bidi="ar"/>
              </w:rPr>
              <w:t>0</w:t>
            </w:r>
            <w:r>
              <w:rPr>
                <w:rFonts w:hint="default" w:ascii="Times New Roman" w:hAnsi="Times New Roman" w:cs="Times New Roman"/>
                <w:color w:val="auto"/>
                <w:sz w:val="24"/>
                <w:lang w:val="pt-BR" w:bidi="ar"/>
              </w:rPr>
              <w:t>-20lg</w:t>
            </w:r>
            <w:r>
              <w:rPr>
                <w:rFonts w:hint="default" w:ascii="Times New Roman" w:hAnsi="Times New Roman" w:cs="Times New Roman"/>
                <w:i/>
                <w:iCs/>
                <w:color w:val="auto"/>
                <w:sz w:val="24"/>
                <w:lang w:val="pt-BR" w:bidi="ar"/>
              </w:rPr>
              <w:t>(r/r</w:t>
            </w:r>
            <w:r>
              <w:rPr>
                <w:rFonts w:hint="default" w:ascii="Times New Roman" w:hAnsi="Times New Roman" w:cs="Times New Roman"/>
                <w:i/>
                <w:iCs/>
                <w:color w:val="auto"/>
                <w:sz w:val="24"/>
                <w:vertAlign w:val="subscript"/>
                <w:lang w:val="pt-BR" w:bidi="ar"/>
              </w:rPr>
              <w:t>0</w:t>
            </w:r>
            <w:r>
              <w:rPr>
                <w:rFonts w:hint="default" w:ascii="Times New Roman" w:hAnsi="Times New Roman" w:cs="Times New Roman"/>
                <w:i/>
                <w:iCs/>
                <w:color w:val="auto"/>
                <w:sz w:val="24"/>
                <w:lang w:val="pt-BR" w:bidi="ar"/>
              </w:rPr>
              <w:t>)</w:t>
            </w:r>
          </w:p>
          <w:p w14:paraId="4D935DDE">
            <w:pPr>
              <w:autoSpaceDE w:val="0"/>
              <w:autoSpaceDN w:val="0"/>
              <w:adjustRightInd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2984F1D4">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val="pt-BR" w:bidi="ar"/>
              </w:rPr>
              <w:t>L</w:t>
            </w:r>
            <w:r>
              <w:rPr>
                <w:rFonts w:hint="default" w:ascii="Times New Roman" w:hAnsi="Times New Roman" w:cs="Times New Roman"/>
                <w:i/>
                <w:iCs/>
                <w:color w:val="auto"/>
                <w:sz w:val="24"/>
                <w:lang w:bidi="ar"/>
              </w:rPr>
              <w:t>p</w:t>
            </w:r>
            <w:r>
              <w:rPr>
                <w:rFonts w:hint="default" w:ascii="Times New Roman" w:hAnsi="Times New Roman" w:cs="Times New Roman"/>
                <w:i/>
                <w:iCs/>
                <w:color w:val="auto"/>
                <w:sz w:val="24"/>
                <w:lang w:val="pt-BR" w:bidi="ar"/>
              </w:rPr>
              <w:t>(r)</w:t>
            </w:r>
            <w:r>
              <w:rPr>
                <w:rFonts w:hint="default" w:ascii="Times New Roman" w:hAnsi="Times New Roman" w:cs="Times New Roman"/>
                <w:color w:val="auto"/>
                <w:sz w:val="24"/>
                <w:lang w:bidi="ar"/>
              </w:rPr>
              <w:t>—预测点处声压级，dB；</w:t>
            </w:r>
          </w:p>
          <w:p w14:paraId="6C3E263C">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val="pt-BR" w:bidi="ar"/>
              </w:rPr>
              <w:t>Lr</w:t>
            </w:r>
            <w:r>
              <w:rPr>
                <w:rFonts w:hint="default" w:ascii="Times New Roman" w:hAnsi="Times New Roman" w:cs="Times New Roman"/>
                <w:i/>
                <w:iCs/>
                <w:color w:val="auto"/>
                <w:sz w:val="24"/>
                <w:vertAlign w:val="subscript"/>
                <w:lang w:val="pt-BR" w:bidi="ar"/>
              </w:rPr>
              <w:t>0</w:t>
            </w:r>
            <w:r>
              <w:rPr>
                <w:rFonts w:hint="default" w:ascii="Times New Roman" w:hAnsi="Times New Roman" w:cs="Times New Roman"/>
                <w:color w:val="auto"/>
                <w:sz w:val="24"/>
                <w:lang w:bidi="ar"/>
              </w:rPr>
              <w:t>—参考位置r</w:t>
            </w:r>
            <w:r>
              <w:rPr>
                <w:rFonts w:hint="default" w:ascii="Times New Roman" w:hAnsi="Times New Roman" w:cs="Times New Roman"/>
                <w:color w:val="auto"/>
                <w:sz w:val="24"/>
                <w:vertAlign w:val="subscript"/>
                <w:lang w:bidi="ar"/>
              </w:rPr>
              <w:t>0</w:t>
            </w:r>
            <w:r>
              <w:rPr>
                <w:rFonts w:hint="default" w:ascii="Times New Roman" w:hAnsi="Times New Roman" w:cs="Times New Roman"/>
                <w:color w:val="auto"/>
                <w:sz w:val="24"/>
                <w:lang w:bidi="ar"/>
              </w:rPr>
              <w:t>处的声压级，dB；</w:t>
            </w:r>
          </w:p>
          <w:p w14:paraId="274DABEF">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bidi="ar"/>
              </w:rPr>
              <w:t>r</w:t>
            </w:r>
            <w:r>
              <w:rPr>
                <w:rFonts w:hint="default" w:ascii="Times New Roman" w:hAnsi="Times New Roman" w:cs="Times New Roman"/>
                <w:color w:val="auto"/>
                <w:sz w:val="24"/>
                <w:lang w:bidi="ar"/>
              </w:rPr>
              <w:t>—预测点距声源的距离；</w:t>
            </w:r>
          </w:p>
          <w:p w14:paraId="69C9A519">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bidi="ar"/>
              </w:rPr>
              <w:t>r</w:t>
            </w:r>
            <w:r>
              <w:rPr>
                <w:rFonts w:hint="default" w:ascii="Times New Roman" w:hAnsi="Times New Roman" w:cs="Times New Roman"/>
                <w:i/>
                <w:iCs/>
                <w:color w:val="auto"/>
                <w:sz w:val="24"/>
                <w:vertAlign w:val="subscript"/>
                <w:lang w:bidi="ar"/>
              </w:rPr>
              <w:t>0</w:t>
            </w:r>
            <w:r>
              <w:rPr>
                <w:rFonts w:hint="default" w:ascii="Times New Roman" w:hAnsi="Times New Roman" w:cs="Times New Roman"/>
                <w:color w:val="auto"/>
                <w:sz w:val="24"/>
                <w:lang w:bidi="ar"/>
              </w:rPr>
              <w:t>—参考位置距声源的距离；</w:t>
            </w:r>
          </w:p>
          <w:p w14:paraId="77CF8F8A">
            <w:pPr>
              <w:autoSpaceDE w:val="0"/>
              <w:autoSpaceDN w:val="0"/>
              <w:adjustRightInd w:val="0"/>
              <w:snapToGrid w:val="0"/>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bidi="ar"/>
              </w:rPr>
              <w:t>建设项目在各受声点的声源叠加按下列公式计算：</w:t>
            </w:r>
          </w:p>
          <w:p w14:paraId="70C28AB4">
            <w:pPr>
              <w:autoSpaceDE w:val="0"/>
              <w:autoSpaceDN w:val="0"/>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i/>
                <w:iCs/>
                <w:color w:val="auto"/>
                <w:sz w:val="24"/>
                <w:lang w:bidi="ar"/>
              </w:rPr>
              <w:t>Lp</w:t>
            </w:r>
            <w:r>
              <w:rPr>
                <w:rFonts w:hint="default" w:ascii="Times New Roman" w:hAnsi="Times New Roman" w:cs="Times New Roman"/>
                <w:color w:val="auto"/>
                <w:sz w:val="24"/>
                <w:lang w:bidi="ar"/>
              </w:rPr>
              <w:t>=10lg［</w:t>
            </w:r>
            <w:r>
              <w:rPr>
                <w:rFonts w:hint="default" w:ascii="Times New Roman" w:hAnsi="Times New Roman" w:cs="Times New Roman"/>
                <w:color w:val="auto"/>
                <w:sz w:val="24"/>
                <w:lang w:bidi="ar"/>
              </w:rPr>
              <w:object>
                <v:shape id="_x0000_i1027" o:spt="75" type="#_x0000_t75" style="height:33.75pt;width:29.2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default" w:ascii="Times New Roman" w:hAnsi="Times New Roman" w:cs="Times New Roman"/>
                <w:color w:val="auto"/>
                <w:sz w:val="24"/>
                <w:vertAlign w:val="superscript"/>
                <w:lang w:bidi="ar"/>
              </w:rPr>
              <w:t>0.1Li</w:t>
            </w:r>
            <w:r>
              <w:rPr>
                <w:rFonts w:hint="default" w:ascii="Times New Roman" w:hAnsi="Times New Roman" w:cs="Times New Roman"/>
                <w:color w:val="auto"/>
                <w:sz w:val="24"/>
                <w:lang w:bidi="ar"/>
              </w:rPr>
              <w:t>］</w:t>
            </w:r>
          </w:p>
          <w:p w14:paraId="7250190B">
            <w:pPr>
              <w:autoSpaceDE w:val="0"/>
              <w:autoSpaceDN w:val="0"/>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05DDAC5E">
            <w:pPr>
              <w:autoSpaceDE w:val="0"/>
              <w:autoSpaceDN w:val="0"/>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lang w:bidi="ar"/>
              </w:rPr>
              <w:t>Li—第i个声源声值；</w:t>
            </w:r>
          </w:p>
          <w:p w14:paraId="242A3EE2">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bidi="ar"/>
              </w:rPr>
              <w:t>Lp</w:t>
            </w:r>
            <w:r>
              <w:rPr>
                <w:rFonts w:hint="default" w:ascii="Times New Roman" w:hAnsi="Times New Roman" w:cs="Times New Roman"/>
                <w:color w:val="auto"/>
                <w:sz w:val="24"/>
                <w:lang w:bidi="ar"/>
              </w:rPr>
              <w:t>—某点噪声总叠加值；</w:t>
            </w:r>
          </w:p>
          <w:p w14:paraId="03BB2871">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lang w:bidi="ar"/>
              </w:rPr>
              <w:t>n—声源个数。</w:t>
            </w:r>
          </w:p>
          <w:p w14:paraId="3E0B1D57">
            <w:pPr>
              <w:widowControl/>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（2）室内声源预测模式</w:t>
            </w:r>
          </w:p>
          <w:p w14:paraId="4B71657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声环境》（HJ2.4-2021），先计算某室内声源靠近围护结构处产生的倍频带声压级或A声级，计算公式如下：</w:t>
            </w:r>
          </w:p>
          <w:p w14:paraId="584ECF1D">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3028950" cy="666750"/>
                  <wp:effectExtent l="0" t="0" r="0" b="0"/>
                  <wp:docPr id="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1"/>
                          <pic:cNvPicPr>
                            <a:picLocks noChangeAspect="1"/>
                          </pic:cNvPicPr>
                        </pic:nvPicPr>
                        <pic:blipFill>
                          <a:blip r:embed="rId20"/>
                          <a:stretch>
                            <a:fillRect/>
                          </a:stretch>
                        </pic:blipFill>
                        <pic:spPr>
                          <a:xfrm>
                            <a:off x="0" y="0"/>
                            <a:ext cx="3028950" cy="666750"/>
                          </a:xfrm>
                          <a:prstGeom prst="rect">
                            <a:avLst/>
                          </a:prstGeom>
                          <a:noFill/>
                          <a:ln>
                            <a:noFill/>
                          </a:ln>
                        </pic:spPr>
                      </pic:pic>
                    </a:graphicData>
                  </a:graphic>
                </wp:inline>
              </w:drawing>
            </w:r>
          </w:p>
          <w:p w14:paraId="626C648C">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735A46F7">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p1</w:t>
            </w:r>
            <w:r>
              <w:rPr>
                <w:rFonts w:hint="default" w:ascii="Times New Roman" w:hAnsi="Times New Roman" w:cs="Times New Roman"/>
                <w:color w:val="auto"/>
                <w:sz w:val="24"/>
                <w:lang w:bidi="ar"/>
              </w:rPr>
              <w:t>—靠近开口处（或窗户）室内某倍频带的声压级或A声级，dB；</w:t>
            </w:r>
          </w:p>
          <w:p w14:paraId="69617873">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Lw—点声源声功率级（A计权或倍频带），dB；</w:t>
            </w:r>
          </w:p>
          <w:p w14:paraId="5B56C465">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Q—指向性因数；通常对无指向性声源，当声源放在房间中心时，Q=1；当放在一面墙的中心时，Q=2；当放在两面墙夹角处时，Q=4；当放在三面墙夹角处时，Q=8；</w:t>
            </w:r>
          </w:p>
          <w:p w14:paraId="2AB930C2">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R—房间常数；R=Sa/(1-a），S为房间内表面面积，m</w:t>
            </w:r>
            <w:r>
              <w:rPr>
                <w:rFonts w:hint="default" w:ascii="Times New Roman" w:hAnsi="Times New Roman" w:cs="Times New Roman"/>
                <w:color w:val="auto"/>
                <w:sz w:val="24"/>
                <w:vertAlign w:val="superscript"/>
                <w:lang w:bidi="ar"/>
              </w:rPr>
              <w:t>2</w:t>
            </w:r>
            <w:r>
              <w:rPr>
                <w:rFonts w:hint="default" w:ascii="Times New Roman" w:hAnsi="Times New Roman" w:cs="Times New Roman"/>
                <w:color w:val="auto"/>
                <w:sz w:val="24"/>
                <w:lang w:bidi="ar"/>
              </w:rPr>
              <w:t>；a为平均吸声系数；</w:t>
            </w:r>
          </w:p>
          <w:p w14:paraId="1D9042B1">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r—声源到靠近围护结构某点处的距离，m。</w:t>
            </w:r>
          </w:p>
          <w:p w14:paraId="425B4D54">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然后按如下式计算出所有室内声源在围护结构处产生的i倍频带叠加声压级：</w:t>
            </w:r>
          </w:p>
          <w:p w14:paraId="43B25EDD">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762250" cy="714375"/>
                  <wp:effectExtent l="0" t="0" r="0" b="9525"/>
                  <wp:docPr id="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2"/>
                          <pic:cNvPicPr>
                            <a:picLocks noChangeAspect="1"/>
                          </pic:cNvPicPr>
                        </pic:nvPicPr>
                        <pic:blipFill>
                          <a:blip r:embed="rId21"/>
                          <a:stretch>
                            <a:fillRect/>
                          </a:stretch>
                        </pic:blipFill>
                        <pic:spPr>
                          <a:xfrm>
                            <a:off x="0" y="0"/>
                            <a:ext cx="2762250" cy="714375"/>
                          </a:xfrm>
                          <a:prstGeom prst="rect">
                            <a:avLst/>
                          </a:prstGeom>
                          <a:noFill/>
                          <a:ln>
                            <a:noFill/>
                          </a:ln>
                        </pic:spPr>
                      </pic:pic>
                    </a:graphicData>
                  </a:graphic>
                </wp:inline>
              </w:drawing>
            </w:r>
          </w:p>
          <w:p w14:paraId="2CEE2BD6">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48148BA1">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pli</w:t>
            </w:r>
            <w:r>
              <w:rPr>
                <w:rFonts w:hint="default" w:ascii="Times New Roman" w:hAnsi="Times New Roman" w:cs="Times New Roman"/>
                <w:color w:val="auto"/>
                <w:sz w:val="24"/>
                <w:lang w:bidi="ar"/>
              </w:rPr>
              <w:t>(T)—靠近围护结构处室内N个声源i倍频带的叠加声压级，dB；</w:t>
            </w:r>
          </w:p>
          <w:p w14:paraId="573D85FD">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Lpi—室内j声源i倍频带的声压级，dB；</w:t>
            </w:r>
          </w:p>
          <w:p w14:paraId="6E4A2754">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N—室内声源总数。</w:t>
            </w:r>
          </w:p>
          <w:p w14:paraId="2DD3BB5A">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在室内近似为扩散声场时，按下式计算出靠近室外围护结构处的声压级：</w:t>
            </w:r>
          </w:p>
          <w:p w14:paraId="2EC72CA9">
            <w:pPr>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w:t>
            </w:r>
            <w:r>
              <w:rPr>
                <w:rFonts w:hint="default" w:ascii="Times New Roman" w:hAnsi="Times New Roman" w:cs="Times New Roman"/>
                <w:color w:val="auto"/>
                <w:sz w:val="28"/>
                <w:szCs w:val="28"/>
                <w:vertAlign w:val="subscript"/>
              </w:rPr>
              <w:t>p2i</w:t>
            </w:r>
            <w:r>
              <w:rPr>
                <w:rFonts w:hint="default" w:ascii="Times New Roman" w:hAnsi="Times New Roman" w:cs="Times New Roman"/>
                <w:color w:val="auto"/>
                <w:sz w:val="28"/>
                <w:szCs w:val="28"/>
              </w:rPr>
              <w:t>(T)=L</w:t>
            </w:r>
            <w:r>
              <w:rPr>
                <w:rFonts w:hint="default" w:ascii="Times New Roman" w:hAnsi="Times New Roman" w:cs="Times New Roman"/>
                <w:color w:val="auto"/>
                <w:sz w:val="28"/>
                <w:szCs w:val="28"/>
                <w:vertAlign w:val="subscript"/>
              </w:rPr>
              <w:t>pli</w:t>
            </w:r>
            <w:r>
              <w:rPr>
                <w:rFonts w:hint="default" w:ascii="Times New Roman" w:hAnsi="Times New Roman" w:cs="Times New Roman"/>
                <w:color w:val="auto"/>
                <w:sz w:val="28"/>
                <w:szCs w:val="28"/>
              </w:rPr>
              <w:t>(T)-(TL</w:t>
            </w:r>
            <w:r>
              <w:rPr>
                <w:rFonts w:hint="default" w:ascii="Times New Roman" w:hAnsi="Times New Roman" w:cs="Times New Roman"/>
                <w:color w:val="auto"/>
                <w:sz w:val="28"/>
                <w:szCs w:val="28"/>
                <w:vertAlign w:val="subscript"/>
              </w:rPr>
              <w:t>i</w:t>
            </w:r>
            <w:r>
              <w:rPr>
                <w:rFonts w:hint="default" w:ascii="Times New Roman" w:hAnsi="Times New Roman" w:cs="Times New Roman"/>
                <w:color w:val="auto"/>
                <w:sz w:val="28"/>
                <w:szCs w:val="28"/>
              </w:rPr>
              <w:t>+6)</w:t>
            </w:r>
          </w:p>
          <w:p w14:paraId="2A09156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3985F6BE">
            <w:pPr>
              <w:spacing w:line="360" w:lineRule="auto"/>
              <w:ind w:firstLine="1200" w:firstLineChars="5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2pi</w:t>
            </w:r>
            <w:r>
              <w:rPr>
                <w:rFonts w:hint="default" w:ascii="Times New Roman" w:hAnsi="Times New Roman" w:cs="Times New Roman"/>
                <w:color w:val="auto"/>
                <w:sz w:val="24"/>
                <w:lang w:bidi="ar"/>
              </w:rPr>
              <w:t>（T）—靠近围护结构处室外N个声源i倍频带的叠加声压级，dB；</w:t>
            </w:r>
          </w:p>
          <w:p w14:paraId="63579BF5">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1pi</w:t>
            </w:r>
            <w:r>
              <w:rPr>
                <w:rFonts w:hint="default" w:ascii="Times New Roman" w:hAnsi="Times New Roman" w:cs="Times New Roman"/>
                <w:color w:val="auto"/>
                <w:sz w:val="24"/>
                <w:lang w:bidi="ar"/>
              </w:rPr>
              <w:t>（T）—靠近围护结构处室内N个声源i倍频带的叠加声压级，dB；</w:t>
            </w:r>
          </w:p>
          <w:p w14:paraId="3306E40A">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T</w:t>
            </w:r>
            <w:r>
              <w:rPr>
                <w:rFonts w:hint="default" w:ascii="Times New Roman" w:hAnsi="Times New Roman" w:cs="Times New Roman"/>
                <w:color w:val="auto"/>
                <w:sz w:val="24"/>
                <w:vertAlign w:val="subscript"/>
                <w:lang w:bidi="ar"/>
              </w:rPr>
              <w:t>L</w:t>
            </w:r>
            <w:r>
              <w:rPr>
                <w:rFonts w:hint="default" w:ascii="Times New Roman" w:hAnsi="Times New Roman" w:cs="Times New Roman"/>
                <w:color w:val="auto"/>
                <w:sz w:val="24"/>
                <w:lang w:bidi="ar"/>
              </w:rPr>
              <w:t>—围护结构i倍频带的隔声量，dB。</w:t>
            </w:r>
          </w:p>
          <w:p w14:paraId="2A672BE6">
            <w:pPr>
              <w:widowControl/>
              <w:autoSpaceDE w:val="0"/>
              <w:autoSpaceDN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bidi="ar"/>
              </w:rPr>
              <w:t>然后按下式将室外声源的声压级和透过面积换算成等效的室外声源，计算出中心位置位于透</w:t>
            </w:r>
            <w:r>
              <w:rPr>
                <w:rFonts w:hint="default" w:ascii="Times New Roman" w:hAnsi="Times New Roman" w:cs="Times New Roman"/>
                <w:color w:val="auto"/>
                <w:sz w:val="24"/>
              </w:rPr>
              <w:t>声面积（S）处的等效声源的倍频带声功率级。</w:t>
            </w:r>
          </w:p>
          <w:p w14:paraId="530BEF58">
            <w:pPr>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Lw=L</w:t>
            </w:r>
            <w:r>
              <w:rPr>
                <w:rFonts w:hint="default" w:ascii="Times New Roman" w:hAnsi="Times New Roman" w:cs="Times New Roman"/>
                <w:color w:val="auto"/>
                <w:sz w:val="28"/>
                <w:szCs w:val="28"/>
                <w:vertAlign w:val="subscript"/>
              </w:rPr>
              <w:t>P2</w:t>
            </w:r>
            <w:r>
              <w:rPr>
                <w:rFonts w:hint="default" w:ascii="Times New Roman" w:hAnsi="Times New Roman" w:cs="Times New Roman"/>
                <w:color w:val="auto"/>
                <w:sz w:val="28"/>
                <w:szCs w:val="28"/>
              </w:rPr>
              <w:t>(T)+10lgS</w:t>
            </w:r>
          </w:p>
          <w:p w14:paraId="0BE9E62D">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273012B5">
            <w:pPr>
              <w:widowControl/>
              <w:autoSpaceDE w:val="0"/>
              <w:autoSpaceDN w:val="0"/>
              <w:spacing w:line="360" w:lineRule="auto"/>
              <w:ind w:firstLine="960" w:firstLineChars="4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Lw—中心位置位于透声面积（S）处的等效声源的倍频带声功率级，dB；</w:t>
            </w:r>
          </w:p>
          <w:p w14:paraId="7A4A72BB">
            <w:pPr>
              <w:widowControl/>
              <w:autoSpaceDE w:val="0"/>
              <w:autoSpaceDN w:val="0"/>
              <w:spacing w:line="360" w:lineRule="auto"/>
              <w:ind w:firstLine="960" w:firstLineChars="4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p2</w:t>
            </w:r>
            <w:r>
              <w:rPr>
                <w:rFonts w:hint="default" w:ascii="Times New Roman" w:hAnsi="Times New Roman" w:cs="Times New Roman"/>
                <w:color w:val="auto"/>
                <w:sz w:val="24"/>
                <w:lang w:bidi="ar"/>
              </w:rPr>
              <w:t>(T)—靠近围护结构处室外声源的声压级，dB；</w:t>
            </w:r>
          </w:p>
          <w:p w14:paraId="15206CFE">
            <w:pPr>
              <w:widowControl/>
              <w:autoSpaceDE w:val="0"/>
              <w:autoSpaceDN w:val="0"/>
              <w:spacing w:line="360" w:lineRule="auto"/>
              <w:ind w:firstLine="960" w:firstLineChars="4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S—透声面积，m</w:t>
            </w:r>
            <w:r>
              <w:rPr>
                <w:rFonts w:hint="default" w:ascii="Times New Roman" w:hAnsi="Times New Roman" w:cs="Times New Roman"/>
                <w:color w:val="auto"/>
                <w:sz w:val="24"/>
                <w:vertAlign w:val="superscript"/>
                <w:lang w:bidi="ar"/>
              </w:rPr>
              <w:t>2</w:t>
            </w:r>
            <w:r>
              <w:rPr>
                <w:rFonts w:hint="default" w:ascii="Times New Roman" w:hAnsi="Times New Roman" w:cs="Times New Roman"/>
                <w:color w:val="auto"/>
                <w:sz w:val="24"/>
                <w:lang w:bidi="ar"/>
              </w:rPr>
              <w:t>。</w:t>
            </w:r>
          </w:p>
          <w:p w14:paraId="180205E5">
            <w:pPr>
              <w:widowControl/>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然后按室外声源预测方法计算预测点处的A声级。</w:t>
            </w:r>
          </w:p>
          <w:p w14:paraId="17E97751">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预测结果见下表：</w:t>
            </w:r>
          </w:p>
          <w:p w14:paraId="7293217C">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rPr>
              <w:t xml:space="preserve">     厂界噪声预测结果    单位：dB(A)</w:t>
            </w:r>
          </w:p>
          <w:tbl>
            <w:tblPr>
              <w:tblStyle w:val="36"/>
              <w:tblW w:w="4998"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63"/>
              <w:gridCol w:w="1789"/>
              <w:gridCol w:w="2199"/>
              <w:gridCol w:w="1584"/>
              <w:gridCol w:w="1301"/>
            </w:tblGrid>
            <w:tr w14:paraId="228FF42D">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6" w:type="pct"/>
                  <w:vMerge w:val="restart"/>
                  <w:tcBorders>
                    <w:tl2br w:val="nil"/>
                    <w:tr2bl w:val="nil"/>
                  </w:tcBorders>
                  <w:vAlign w:val="center"/>
                </w:tcPr>
                <w:p w14:paraId="57142FA7">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编号</w:t>
                  </w:r>
                </w:p>
              </w:tc>
              <w:tc>
                <w:tcPr>
                  <w:tcW w:w="1099" w:type="pct"/>
                  <w:vMerge w:val="restart"/>
                  <w:tcBorders>
                    <w:tl2br w:val="nil"/>
                    <w:tr2bl w:val="nil"/>
                  </w:tcBorders>
                  <w:vAlign w:val="center"/>
                </w:tcPr>
                <w:p w14:paraId="3C74F707">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噪声源贡献值</w:t>
                  </w:r>
                </w:p>
              </w:tc>
              <w:tc>
                <w:tcPr>
                  <w:tcW w:w="2324" w:type="pct"/>
                  <w:gridSpan w:val="2"/>
                  <w:tcBorders>
                    <w:right w:val="single" w:color="auto" w:sz="4" w:space="0"/>
                    <w:tl2br w:val="nil"/>
                    <w:tr2bl w:val="nil"/>
                  </w:tcBorders>
                  <w:vAlign w:val="center"/>
                </w:tcPr>
                <w:p w14:paraId="1C5A28CF">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标准值</w:t>
                  </w:r>
                </w:p>
              </w:tc>
              <w:tc>
                <w:tcPr>
                  <w:tcW w:w="799" w:type="pct"/>
                  <w:vMerge w:val="restart"/>
                  <w:tcBorders>
                    <w:left w:val="single" w:color="auto" w:sz="4" w:space="0"/>
                    <w:tl2br w:val="nil"/>
                    <w:tr2bl w:val="nil"/>
                  </w:tcBorders>
                  <w:vAlign w:val="center"/>
                </w:tcPr>
                <w:p w14:paraId="2BEB79F2">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达标情况</w:t>
                  </w:r>
                </w:p>
              </w:tc>
            </w:tr>
            <w:tr w14:paraId="2FCF4BF9">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6" w:type="pct"/>
                  <w:vMerge w:val="continue"/>
                  <w:tcBorders>
                    <w:tl2br w:val="nil"/>
                    <w:tr2bl w:val="nil"/>
                  </w:tcBorders>
                  <w:vAlign w:val="center"/>
                </w:tcPr>
                <w:p w14:paraId="4C71B733">
                  <w:pPr>
                    <w:widowControl/>
                    <w:jc w:val="center"/>
                    <w:textAlignment w:val="center"/>
                    <w:rPr>
                      <w:rFonts w:hint="default" w:ascii="Times New Roman" w:hAnsi="Times New Roman" w:cs="Times New Roman"/>
                      <w:color w:val="auto"/>
                      <w:kern w:val="0"/>
                      <w:sz w:val="18"/>
                      <w:szCs w:val="18"/>
                      <w:highlight w:val="none"/>
                      <w:lang w:bidi="ar"/>
                    </w:rPr>
                  </w:pPr>
                </w:p>
              </w:tc>
              <w:tc>
                <w:tcPr>
                  <w:tcW w:w="1099" w:type="pct"/>
                  <w:vMerge w:val="continue"/>
                  <w:tcBorders>
                    <w:tl2br w:val="nil"/>
                    <w:tr2bl w:val="nil"/>
                  </w:tcBorders>
                  <w:vAlign w:val="center"/>
                </w:tcPr>
                <w:p w14:paraId="418E0475">
                  <w:pPr>
                    <w:widowControl/>
                    <w:jc w:val="center"/>
                    <w:textAlignment w:val="center"/>
                    <w:rPr>
                      <w:rFonts w:hint="default" w:ascii="Times New Roman" w:hAnsi="Times New Roman" w:cs="Times New Roman"/>
                      <w:color w:val="auto"/>
                      <w:kern w:val="0"/>
                      <w:sz w:val="18"/>
                      <w:szCs w:val="18"/>
                      <w:highlight w:val="none"/>
                      <w:lang w:bidi="ar"/>
                    </w:rPr>
                  </w:pPr>
                </w:p>
              </w:tc>
              <w:tc>
                <w:tcPr>
                  <w:tcW w:w="1351" w:type="pct"/>
                  <w:tcBorders>
                    <w:tl2br w:val="nil"/>
                    <w:tr2bl w:val="nil"/>
                  </w:tcBorders>
                  <w:vAlign w:val="center"/>
                </w:tcPr>
                <w:p w14:paraId="615CE872">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昼间</w:t>
                  </w:r>
                </w:p>
              </w:tc>
              <w:tc>
                <w:tcPr>
                  <w:tcW w:w="972" w:type="pct"/>
                  <w:tcBorders>
                    <w:right w:val="single" w:color="auto" w:sz="4" w:space="0"/>
                    <w:tl2br w:val="nil"/>
                    <w:tr2bl w:val="nil"/>
                  </w:tcBorders>
                  <w:vAlign w:val="center"/>
                </w:tcPr>
                <w:p w14:paraId="444E4770">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夜间</w:t>
                  </w:r>
                </w:p>
              </w:tc>
              <w:tc>
                <w:tcPr>
                  <w:tcW w:w="799" w:type="pct"/>
                  <w:vMerge w:val="continue"/>
                  <w:tcBorders>
                    <w:left w:val="single" w:color="auto" w:sz="4" w:space="0"/>
                    <w:tl2br w:val="nil"/>
                    <w:tr2bl w:val="nil"/>
                  </w:tcBorders>
                  <w:vAlign w:val="center"/>
                </w:tcPr>
                <w:p w14:paraId="0A176E5B">
                  <w:pPr>
                    <w:widowControl/>
                    <w:jc w:val="center"/>
                    <w:textAlignment w:val="center"/>
                    <w:rPr>
                      <w:rFonts w:hint="default" w:ascii="Times New Roman" w:hAnsi="Times New Roman" w:cs="Times New Roman"/>
                      <w:color w:val="auto"/>
                      <w:kern w:val="0"/>
                      <w:sz w:val="18"/>
                      <w:szCs w:val="18"/>
                      <w:highlight w:val="none"/>
                      <w:lang w:bidi="ar"/>
                    </w:rPr>
                  </w:pPr>
                </w:p>
              </w:tc>
            </w:tr>
            <w:tr w14:paraId="32A12C26">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6" w:type="pct"/>
                  <w:tcBorders>
                    <w:tl2br w:val="nil"/>
                    <w:tr2bl w:val="nil"/>
                  </w:tcBorders>
                  <w:vAlign w:val="center"/>
                </w:tcPr>
                <w:p w14:paraId="7621AC20">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1#</w:t>
                  </w:r>
                </w:p>
              </w:tc>
              <w:tc>
                <w:tcPr>
                  <w:tcW w:w="1099" w:type="pct"/>
                  <w:tcBorders>
                    <w:tl2br w:val="nil"/>
                    <w:tr2bl w:val="nil"/>
                  </w:tcBorders>
                  <w:vAlign w:val="center"/>
                </w:tcPr>
                <w:p w14:paraId="04D540A3">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17.93</w:t>
                  </w:r>
                </w:p>
              </w:tc>
              <w:tc>
                <w:tcPr>
                  <w:tcW w:w="1351" w:type="pct"/>
                  <w:tcBorders>
                    <w:tl2br w:val="nil"/>
                    <w:tr2bl w:val="nil"/>
                  </w:tcBorders>
                  <w:vAlign w:val="center"/>
                </w:tcPr>
                <w:p w14:paraId="63D9992A">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60</w:t>
                  </w:r>
                </w:p>
              </w:tc>
              <w:tc>
                <w:tcPr>
                  <w:tcW w:w="972" w:type="pct"/>
                  <w:tcBorders>
                    <w:tl2br w:val="nil"/>
                    <w:tr2bl w:val="nil"/>
                  </w:tcBorders>
                  <w:vAlign w:val="center"/>
                </w:tcPr>
                <w:p w14:paraId="2DD5CBA2">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w:t>
                  </w:r>
                </w:p>
              </w:tc>
              <w:tc>
                <w:tcPr>
                  <w:tcW w:w="799" w:type="pct"/>
                  <w:tcBorders>
                    <w:tl2br w:val="nil"/>
                    <w:tr2bl w:val="nil"/>
                  </w:tcBorders>
                  <w:vAlign w:val="center"/>
                </w:tcPr>
                <w:p w14:paraId="7DF1C47D">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1439502E">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6" w:type="pct"/>
                  <w:tcBorders>
                    <w:tl2br w:val="nil"/>
                    <w:tr2bl w:val="nil"/>
                  </w:tcBorders>
                  <w:vAlign w:val="center"/>
                </w:tcPr>
                <w:p w14:paraId="415B0FD5">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2#</w:t>
                  </w:r>
                </w:p>
              </w:tc>
              <w:tc>
                <w:tcPr>
                  <w:tcW w:w="1099" w:type="pct"/>
                  <w:tcBorders>
                    <w:tl2br w:val="nil"/>
                    <w:tr2bl w:val="nil"/>
                  </w:tcBorders>
                  <w:vAlign w:val="center"/>
                </w:tcPr>
                <w:p w14:paraId="5D7B35D2">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42.62</w:t>
                  </w:r>
                </w:p>
              </w:tc>
              <w:tc>
                <w:tcPr>
                  <w:tcW w:w="1351" w:type="pct"/>
                  <w:tcBorders>
                    <w:bottom w:val="single" w:color="auto" w:sz="4" w:space="0"/>
                    <w:tl2br w:val="nil"/>
                    <w:tr2bl w:val="nil"/>
                  </w:tcBorders>
                  <w:vAlign w:val="center"/>
                </w:tcPr>
                <w:p w14:paraId="7A1F0E34">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60</w:t>
                  </w:r>
                </w:p>
              </w:tc>
              <w:tc>
                <w:tcPr>
                  <w:tcW w:w="972" w:type="pct"/>
                  <w:tcBorders>
                    <w:bottom w:val="single" w:color="auto" w:sz="4" w:space="0"/>
                    <w:tl2br w:val="nil"/>
                    <w:tr2bl w:val="nil"/>
                  </w:tcBorders>
                  <w:vAlign w:val="center"/>
                </w:tcPr>
                <w:p w14:paraId="1470D09D">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w:t>
                  </w:r>
                </w:p>
              </w:tc>
              <w:tc>
                <w:tcPr>
                  <w:tcW w:w="799" w:type="pct"/>
                  <w:tcBorders>
                    <w:tl2br w:val="nil"/>
                    <w:tr2bl w:val="nil"/>
                  </w:tcBorders>
                  <w:vAlign w:val="center"/>
                </w:tcPr>
                <w:p w14:paraId="46FFC3EB">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544F34C0">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6" w:type="pct"/>
                  <w:tcBorders>
                    <w:tl2br w:val="nil"/>
                    <w:tr2bl w:val="nil"/>
                  </w:tcBorders>
                  <w:vAlign w:val="center"/>
                </w:tcPr>
                <w:p w14:paraId="3A481151">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3#</w:t>
                  </w:r>
                </w:p>
              </w:tc>
              <w:tc>
                <w:tcPr>
                  <w:tcW w:w="1099" w:type="pct"/>
                  <w:tcBorders>
                    <w:tl2br w:val="nil"/>
                    <w:tr2bl w:val="nil"/>
                  </w:tcBorders>
                  <w:vAlign w:val="center"/>
                </w:tcPr>
                <w:p w14:paraId="79CD2FF5">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45.53</w:t>
                  </w:r>
                </w:p>
              </w:tc>
              <w:tc>
                <w:tcPr>
                  <w:tcW w:w="1351" w:type="pct"/>
                  <w:tcBorders>
                    <w:top w:val="single" w:color="auto" w:sz="4" w:space="0"/>
                    <w:tl2br w:val="nil"/>
                    <w:tr2bl w:val="nil"/>
                  </w:tcBorders>
                  <w:vAlign w:val="center"/>
                </w:tcPr>
                <w:p w14:paraId="00EDBE16">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60</w:t>
                  </w:r>
                </w:p>
              </w:tc>
              <w:tc>
                <w:tcPr>
                  <w:tcW w:w="972" w:type="pct"/>
                  <w:tcBorders>
                    <w:top w:val="single" w:color="auto" w:sz="4" w:space="0"/>
                    <w:tl2br w:val="nil"/>
                    <w:tr2bl w:val="nil"/>
                  </w:tcBorders>
                  <w:vAlign w:val="center"/>
                </w:tcPr>
                <w:p w14:paraId="3BA1F00A">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w:t>
                  </w:r>
                </w:p>
              </w:tc>
              <w:tc>
                <w:tcPr>
                  <w:tcW w:w="799" w:type="pct"/>
                  <w:tcBorders>
                    <w:tl2br w:val="nil"/>
                    <w:tr2bl w:val="nil"/>
                  </w:tcBorders>
                  <w:vAlign w:val="center"/>
                </w:tcPr>
                <w:p w14:paraId="4E828341">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r w14:paraId="33C643CF">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76" w:type="pct"/>
                  <w:tcBorders>
                    <w:tl2br w:val="nil"/>
                    <w:tr2bl w:val="nil"/>
                  </w:tcBorders>
                  <w:vAlign w:val="center"/>
                </w:tcPr>
                <w:p w14:paraId="1ED1C522">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4#</w:t>
                  </w:r>
                </w:p>
              </w:tc>
              <w:tc>
                <w:tcPr>
                  <w:tcW w:w="1099" w:type="pct"/>
                  <w:tcBorders>
                    <w:tl2br w:val="nil"/>
                    <w:tr2bl w:val="nil"/>
                  </w:tcBorders>
                  <w:vAlign w:val="center"/>
                </w:tcPr>
                <w:p w14:paraId="708469B6">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42.53</w:t>
                  </w:r>
                </w:p>
              </w:tc>
              <w:tc>
                <w:tcPr>
                  <w:tcW w:w="1351" w:type="pct"/>
                  <w:tcBorders>
                    <w:tl2br w:val="nil"/>
                    <w:tr2bl w:val="nil"/>
                  </w:tcBorders>
                  <w:vAlign w:val="center"/>
                </w:tcPr>
                <w:p w14:paraId="1B504E5C">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60</w:t>
                  </w:r>
                </w:p>
              </w:tc>
              <w:tc>
                <w:tcPr>
                  <w:tcW w:w="972" w:type="pct"/>
                  <w:tcBorders>
                    <w:tl2br w:val="nil"/>
                    <w:tr2bl w:val="nil"/>
                  </w:tcBorders>
                  <w:vAlign w:val="center"/>
                </w:tcPr>
                <w:p w14:paraId="72DAEB06">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50</w:t>
                  </w:r>
                </w:p>
              </w:tc>
              <w:tc>
                <w:tcPr>
                  <w:tcW w:w="799" w:type="pct"/>
                  <w:tcBorders>
                    <w:tl2br w:val="nil"/>
                    <w:tr2bl w:val="nil"/>
                  </w:tcBorders>
                  <w:vAlign w:val="center"/>
                </w:tcPr>
                <w:p w14:paraId="53772995">
                  <w:pPr>
                    <w:widowControl/>
                    <w:jc w:val="center"/>
                    <w:textAlignment w:val="center"/>
                    <w:rPr>
                      <w:rFonts w:hint="default" w:ascii="Times New Roman" w:hAnsi="Times New Roman" w:cs="Times New Roman"/>
                      <w:color w:val="auto"/>
                      <w:kern w:val="0"/>
                      <w:sz w:val="18"/>
                      <w:szCs w:val="18"/>
                      <w:highlight w:val="none"/>
                      <w:lang w:bidi="ar"/>
                    </w:rPr>
                  </w:pPr>
                  <w:r>
                    <w:rPr>
                      <w:rFonts w:hint="default" w:ascii="Times New Roman" w:hAnsi="Times New Roman" w:cs="Times New Roman"/>
                      <w:color w:val="auto"/>
                      <w:kern w:val="0"/>
                      <w:sz w:val="18"/>
                      <w:szCs w:val="18"/>
                      <w:highlight w:val="none"/>
                      <w:lang w:bidi="ar"/>
                    </w:rPr>
                    <w:t>达标</w:t>
                  </w:r>
                </w:p>
              </w:tc>
            </w:tr>
          </w:tbl>
          <w:p w14:paraId="24D43779">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噪声等声值线图见下图。</w:t>
            </w:r>
          </w:p>
          <w:p w14:paraId="1325C77D">
            <w:pPr>
              <w:spacing w:line="360" w:lineRule="auto"/>
              <w:rPr>
                <w:rFonts w:hint="eastAsia"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drawing>
                <wp:inline distT="0" distB="0" distL="114300" distR="114300">
                  <wp:extent cx="5161280" cy="2245360"/>
                  <wp:effectExtent l="9525" t="9525" r="10795" b="1206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22"/>
                          <a:stretch>
                            <a:fillRect/>
                          </a:stretch>
                        </pic:blipFill>
                        <pic:spPr>
                          <a:xfrm>
                            <a:off x="0" y="0"/>
                            <a:ext cx="5161280" cy="2245360"/>
                          </a:xfrm>
                          <a:prstGeom prst="rect">
                            <a:avLst/>
                          </a:prstGeom>
                          <a:ln>
                            <a:solidFill>
                              <a:schemeClr val="tx1"/>
                            </a:solidFill>
                          </a:ln>
                        </pic:spPr>
                      </pic:pic>
                    </a:graphicData>
                  </a:graphic>
                </wp:inline>
              </w:drawing>
            </w:r>
          </w:p>
          <w:p w14:paraId="5D2F4768">
            <w:pPr>
              <w:spacing w:line="360" w:lineRule="auto"/>
              <w:ind w:firstLine="42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图4-</w:t>
            </w:r>
            <w:r>
              <w:rPr>
                <w:rFonts w:hint="eastAsia" w:cs="Times New Roman"/>
                <w:b/>
                <w:bCs/>
                <w:color w:val="auto"/>
                <w:szCs w:val="21"/>
                <w:highlight w:val="none"/>
                <w:lang w:val="en-US" w:eastAsia="zh-CN"/>
              </w:rPr>
              <w:t>3</w:t>
            </w:r>
            <w:r>
              <w:rPr>
                <w:rFonts w:hint="default" w:ascii="Times New Roman" w:hAnsi="Times New Roman" w:cs="Times New Roman"/>
                <w:b/>
                <w:bCs/>
                <w:color w:val="auto"/>
                <w:szCs w:val="21"/>
                <w:highlight w:val="none"/>
              </w:rPr>
              <w:t xml:space="preserve">  噪声等声值线预测图</w:t>
            </w:r>
          </w:p>
          <w:p w14:paraId="0189A37F">
            <w:pPr>
              <w:pStyle w:val="6"/>
              <w:ind w:firstLine="480"/>
              <w:rPr>
                <w:rFonts w:cs="Times New Roman"/>
                <w:color w:val="auto"/>
              </w:rPr>
            </w:pPr>
            <w:r>
              <w:rPr>
                <w:rFonts w:hint="eastAsia" w:cs="Times New Roman"/>
                <w:color w:val="auto"/>
              </w:rPr>
              <w:t>根据预测结果，</w:t>
            </w:r>
            <w:r>
              <w:rPr>
                <w:rFonts w:cs="Times New Roman"/>
                <w:color w:val="auto"/>
              </w:rPr>
              <w:t>项目运营期厂界噪声</w:t>
            </w:r>
            <w:r>
              <w:rPr>
                <w:rFonts w:hint="eastAsia" w:cs="Times New Roman"/>
                <w:color w:val="auto"/>
              </w:rPr>
              <w:t>贡献值</w:t>
            </w:r>
            <w:r>
              <w:rPr>
                <w:rFonts w:cs="Times New Roman"/>
                <w:color w:val="auto"/>
              </w:rPr>
              <w:t>满足《工业企业厂界环境噪声排放标准》（GB12348-2008）</w:t>
            </w:r>
            <w:r>
              <w:rPr>
                <w:rFonts w:hint="eastAsia" w:cs="Times New Roman"/>
                <w:color w:val="auto"/>
              </w:rPr>
              <w:t>2</w:t>
            </w:r>
            <w:r>
              <w:rPr>
                <w:rFonts w:cs="Times New Roman"/>
                <w:color w:val="auto"/>
              </w:rPr>
              <w:t>类标准要求。</w:t>
            </w:r>
          </w:p>
          <w:p w14:paraId="5D65A3BC">
            <w:pPr>
              <w:pStyle w:val="6"/>
              <w:ind w:firstLine="480"/>
              <w:rPr>
                <w:rFonts w:hint="default" w:ascii="Times New Roman" w:hAnsi="Times New Roman" w:cs="Times New Roman"/>
                <w:b/>
                <w:bCs/>
                <w:color w:val="auto"/>
                <w:sz w:val="24"/>
              </w:rPr>
            </w:pPr>
            <w:r>
              <w:rPr>
                <w:rFonts w:cs="Times New Roman"/>
                <w:color w:val="auto"/>
              </w:rPr>
              <w:t>本项目周边</w:t>
            </w:r>
            <w:r>
              <w:rPr>
                <w:rFonts w:hint="eastAsia" w:cs="Times New Roman"/>
                <w:color w:val="auto"/>
                <w:lang w:val="en-US" w:eastAsia="zh-CN"/>
              </w:rPr>
              <w:t>5</w:t>
            </w:r>
            <w:r>
              <w:rPr>
                <w:rFonts w:cs="Times New Roman"/>
                <w:color w:val="auto"/>
              </w:rPr>
              <w:t>0m范围内无居民、医院、学校等声环境保护目标，因此本评价不开展环境保护目标噪声达标情况分析。</w:t>
            </w:r>
          </w:p>
          <w:p w14:paraId="50EEE34B">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w:t>
            </w:r>
            <w:r>
              <w:rPr>
                <w:rFonts w:hint="eastAsia" w:cs="Times New Roman"/>
                <w:b/>
                <w:bCs/>
                <w:color w:val="auto"/>
                <w:sz w:val="24"/>
                <w:lang w:val="en-US" w:eastAsia="zh-CN"/>
              </w:rPr>
              <w:t>4</w:t>
            </w:r>
            <w:r>
              <w:rPr>
                <w:rFonts w:hint="default" w:ascii="Times New Roman" w:hAnsi="Times New Roman" w:cs="Times New Roman"/>
                <w:b/>
                <w:bCs/>
                <w:color w:val="auto"/>
                <w:sz w:val="24"/>
              </w:rPr>
              <w:t>监测要求</w:t>
            </w:r>
          </w:p>
          <w:p w14:paraId="06686E11">
            <w:pPr>
              <w:pStyle w:val="32"/>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根据《排污单位自行监测技术指南</w:t>
            </w:r>
            <w:r>
              <w:rPr>
                <w:rFonts w:hint="eastAsia"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总则》</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HJ819-2017</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，制定本项目噪声监测计划如下</w:t>
            </w:r>
            <w:r>
              <w:rPr>
                <w:rFonts w:hint="eastAsia" w:ascii="Times New Roman" w:hAnsi="Times New Roman" w:cs="Times New Roman"/>
                <w:color w:val="auto"/>
                <w:szCs w:val="24"/>
                <w:lang w:eastAsia="zh-CN"/>
              </w:rPr>
              <w:t>：</w:t>
            </w:r>
          </w:p>
          <w:p w14:paraId="4EA099CC">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rPr>
              <w:t xml:space="preserve">   噪声自行监测计划表</w:t>
            </w:r>
          </w:p>
          <w:tbl>
            <w:tblPr>
              <w:tblStyle w:val="3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1100"/>
              <w:gridCol w:w="1127"/>
              <w:gridCol w:w="3212"/>
            </w:tblGrid>
            <w:tr w14:paraId="7EED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51" w:type="pct"/>
                  <w:tcBorders>
                    <w:top w:val="single" w:color="000000" w:sz="4" w:space="0"/>
                    <w:bottom w:val="single" w:color="000000" w:sz="4" w:space="0"/>
                    <w:right w:val="single" w:color="000000" w:sz="4" w:space="0"/>
                  </w:tcBorders>
                  <w:vAlign w:val="center"/>
                </w:tcPr>
                <w:p w14:paraId="0239146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677" w:type="pct"/>
                  <w:tcBorders>
                    <w:top w:val="single" w:color="000000" w:sz="4" w:space="0"/>
                    <w:left w:val="single" w:color="000000" w:sz="4" w:space="0"/>
                    <w:bottom w:val="single" w:color="000000" w:sz="4" w:space="0"/>
                    <w:right w:val="single" w:color="000000" w:sz="4" w:space="0"/>
                  </w:tcBorders>
                  <w:vAlign w:val="center"/>
                </w:tcPr>
                <w:p w14:paraId="62D19A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694" w:type="pct"/>
                  <w:tcBorders>
                    <w:top w:val="single" w:color="000000" w:sz="4" w:space="0"/>
                    <w:left w:val="single" w:color="000000" w:sz="4" w:space="0"/>
                    <w:bottom w:val="single" w:color="000000" w:sz="4" w:space="0"/>
                    <w:right w:val="single" w:color="000000" w:sz="4" w:space="0"/>
                  </w:tcBorders>
                  <w:vAlign w:val="center"/>
                </w:tcPr>
                <w:p w14:paraId="1E1A3E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监测频率</w:t>
                  </w:r>
                </w:p>
              </w:tc>
              <w:tc>
                <w:tcPr>
                  <w:tcW w:w="1977" w:type="pct"/>
                  <w:tcBorders>
                    <w:top w:val="single" w:color="000000" w:sz="4" w:space="0"/>
                    <w:left w:val="single" w:color="000000" w:sz="4" w:space="0"/>
                    <w:bottom w:val="single" w:color="000000" w:sz="4" w:space="0"/>
                    <w:right w:val="nil"/>
                  </w:tcBorders>
                  <w:vAlign w:val="center"/>
                </w:tcPr>
                <w:p w14:paraId="6FD2A41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0DE1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tcBorders>
                    <w:top w:val="single" w:color="000000" w:sz="4" w:space="0"/>
                    <w:left w:val="nil"/>
                    <w:bottom w:val="single" w:color="000000" w:sz="4" w:space="0"/>
                    <w:right w:val="single" w:color="000000" w:sz="4" w:space="0"/>
                  </w:tcBorders>
                  <w:vAlign w:val="center"/>
                </w:tcPr>
                <w:p w14:paraId="674B3A3A">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厂界东、南、西、北厂界</w:t>
                  </w:r>
                </w:p>
              </w:tc>
              <w:tc>
                <w:tcPr>
                  <w:tcW w:w="677" w:type="pct"/>
                  <w:tcBorders>
                    <w:top w:val="single" w:color="000000" w:sz="4" w:space="0"/>
                    <w:left w:val="single" w:color="000000" w:sz="4" w:space="0"/>
                    <w:bottom w:val="single" w:color="000000" w:sz="4" w:space="0"/>
                    <w:right w:val="single" w:color="000000" w:sz="4" w:space="0"/>
                  </w:tcBorders>
                  <w:vAlign w:val="center"/>
                </w:tcPr>
                <w:p w14:paraId="4C05A633">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dB(A)</w:t>
                  </w:r>
                </w:p>
              </w:tc>
              <w:tc>
                <w:tcPr>
                  <w:tcW w:w="694" w:type="pct"/>
                  <w:tcBorders>
                    <w:top w:val="single" w:color="000000" w:sz="4" w:space="0"/>
                    <w:left w:val="single" w:color="000000" w:sz="4" w:space="0"/>
                    <w:bottom w:val="single" w:color="000000" w:sz="4" w:space="0"/>
                    <w:right w:val="single" w:color="000000" w:sz="4" w:space="0"/>
                  </w:tcBorders>
                  <w:vAlign w:val="center"/>
                </w:tcPr>
                <w:p w14:paraId="0FC5D8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zh-CN"/>
                    </w:rPr>
                    <w:t>1次/</w:t>
                  </w:r>
                  <w:r>
                    <w:rPr>
                      <w:rFonts w:hint="default" w:ascii="Times New Roman" w:hAnsi="Times New Roman" w:cs="Times New Roman"/>
                      <w:color w:val="auto"/>
                      <w:sz w:val="18"/>
                      <w:szCs w:val="18"/>
                    </w:rPr>
                    <w:t>季度</w:t>
                  </w:r>
                </w:p>
              </w:tc>
              <w:tc>
                <w:tcPr>
                  <w:tcW w:w="1977" w:type="pct"/>
                  <w:tcBorders>
                    <w:top w:val="single" w:color="000000" w:sz="4" w:space="0"/>
                    <w:left w:val="single" w:color="000000" w:sz="4" w:space="0"/>
                    <w:bottom w:val="single" w:color="000000" w:sz="4" w:space="0"/>
                    <w:right w:val="nil"/>
                  </w:tcBorders>
                  <w:vAlign w:val="center"/>
                </w:tcPr>
                <w:p w14:paraId="34070F4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《工业企业厂界环境噪声排放标准》（GB12348-2008）</w:t>
                  </w:r>
                  <w:r>
                    <w:rPr>
                      <w:rFonts w:hint="eastAsia" w:cs="Times New Roman"/>
                      <w:color w:val="auto"/>
                      <w:sz w:val="18"/>
                      <w:szCs w:val="18"/>
                      <w:lang w:val="en-US" w:eastAsia="zh-CN"/>
                    </w:rPr>
                    <w:t>2</w:t>
                  </w:r>
                  <w:r>
                    <w:rPr>
                      <w:rFonts w:hint="default" w:ascii="Times New Roman" w:hAnsi="Times New Roman" w:cs="Times New Roman"/>
                      <w:color w:val="auto"/>
                      <w:sz w:val="18"/>
                      <w:szCs w:val="18"/>
                    </w:rPr>
                    <w:t>类标准要求</w:t>
                  </w:r>
                </w:p>
              </w:tc>
            </w:tr>
          </w:tbl>
          <w:p w14:paraId="08A6B0BA">
            <w:pPr>
              <w:pStyle w:val="32"/>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此外，为了方便验收，本次环评罗列了如下竣工验收监测计划，具体如下：</w:t>
            </w:r>
          </w:p>
          <w:p w14:paraId="76F8BCF1">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6</w:t>
            </w:r>
            <w:r>
              <w:rPr>
                <w:rFonts w:hint="default" w:ascii="Times New Roman" w:hAnsi="Times New Roman" w:cs="Times New Roman"/>
                <w:b w:val="0"/>
                <w:bCs w:val="0"/>
                <w:color w:val="auto"/>
                <w:sz w:val="21"/>
                <w:szCs w:val="21"/>
              </w:rPr>
              <w:t xml:space="preserve">   本项目噪声竣工验收监测情况一览表</w:t>
            </w:r>
          </w:p>
          <w:tbl>
            <w:tblPr>
              <w:tblStyle w:val="36"/>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8"/>
              <w:gridCol w:w="1079"/>
              <w:gridCol w:w="1595"/>
              <w:gridCol w:w="3209"/>
            </w:tblGrid>
            <w:tr w14:paraId="3FB6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3" w:type="pct"/>
                  <w:tcBorders>
                    <w:top w:val="single" w:color="000000" w:sz="4" w:space="0"/>
                    <w:bottom w:val="single" w:color="000000" w:sz="4" w:space="0"/>
                    <w:right w:val="single" w:color="000000" w:sz="4" w:space="0"/>
                  </w:tcBorders>
                  <w:vAlign w:val="center"/>
                </w:tcPr>
                <w:p w14:paraId="6B263E1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665" w:type="pct"/>
                  <w:tcBorders>
                    <w:top w:val="single" w:color="000000" w:sz="4" w:space="0"/>
                    <w:left w:val="single" w:color="000000" w:sz="4" w:space="0"/>
                    <w:bottom w:val="single" w:color="000000" w:sz="4" w:space="0"/>
                    <w:right w:val="single" w:color="000000" w:sz="4" w:space="0"/>
                  </w:tcBorders>
                  <w:vAlign w:val="center"/>
                </w:tcPr>
                <w:p w14:paraId="1D00F5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983" w:type="pct"/>
                  <w:tcBorders>
                    <w:top w:val="single" w:color="000000" w:sz="4" w:space="0"/>
                    <w:left w:val="single" w:color="000000" w:sz="4" w:space="0"/>
                    <w:bottom w:val="single" w:color="000000" w:sz="4" w:space="0"/>
                    <w:right w:val="single" w:color="000000" w:sz="4" w:space="0"/>
                  </w:tcBorders>
                  <w:vAlign w:val="center"/>
                </w:tcPr>
                <w:p w14:paraId="1169F5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监测频率</w:t>
                  </w:r>
                </w:p>
              </w:tc>
              <w:tc>
                <w:tcPr>
                  <w:tcW w:w="1977" w:type="pct"/>
                  <w:tcBorders>
                    <w:top w:val="single" w:color="000000" w:sz="4" w:space="0"/>
                    <w:left w:val="single" w:color="000000" w:sz="4" w:space="0"/>
                    <w:bottom w:val="single" w:color="000000" w:sz="4" w:space="0"/>
                    <w:right w:val="nil"/>
                  </w:tcBorders>
                  <w:vAlign w:val="center"/>
                </w:tcPr>
                <w:p w14:paraId="1A24252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75BE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3" w:type="pct"/>
                  <w:tcBorders>
                    <w:top w:val="single" w:color="000000" w:sz="4" w:space="0"/>
                    <w:left w:val="nil"/>
                    <w:bottom w:val="single" w:color="000000" w:sz="4" w:space="0"/>
                    <w:right w:val="single" w:color="000000" w:sz="4" w:space="0"/>
                  </w:tcBorders>
                  <w:vAlign w:val="center"/>
                </w:tcPr>
                <w:p w14:paraId="5AE12F52">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厂界东、南、西、北厂界</w:t>
                  </w:r>
                </w:p>
              </w:tc>
              <w:tc>
                <w:tcPr>
                  <w:tcW w:w="665" w:type="pct"/>
                  <w:tcBorders>
                    <w:top w:val="single" w:color="000000" w:sz="4" w:space="0"/>
                    <w:left w:val="single" w:color="000000" w:sz="4" w:space="0"/>
                    <w:bottom w:val="single" w:color="000000" w:sz="4" w:space="0"/>
                    <w:right w:val="single" w:color="000000" w:sz="4" w:space="0"/>
                  </w:tcBorders>
                  <w:vAlign w:val="center"/>
                </w:tcPr>
                <w:p w14:paraId="68E54251">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dB(A)</w:t>
                  </w:r>
                </w:p>
              </w:tc>
              <w:tc>
                <w:tcPr>
                  <w:tcW w:w="983" w:type="pct"/>
                  <w:tcBorders>
                    <w:top w:val="single" w:color="000000" w:sz="4" w:space="0"/>
                    <w:left w:val="single" w:color="000000" w:sz="4" w:space="0"/>
                    <w:bottom w:val="single" w:color="000000" w:sz="4" w:space="0"/>
                    <w:right w:val="single" w:color="000000" w:sz="4" w:space="0"/>
                  </w:tcBorders>
                  <w:vAlign w:val="center"/>
                </w:tcPr>
                <w:p w14:paraId="0136B4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连续监测2天，每天昼夜各一次</w:t>
                  </w:r>
                </w:p>
              </w:tc>
              <w:tc>
                <w:tcPr>
                  <w:tcW w:w="1977" w:type="pct"/>
                  <w:tcBorders>
                    <w:top w:val="single" w:color="000000" w:sz="4" w:space="0"/>
                    <w:left w:val="single" w:color="000000" w:sz="4" w:space="0"/>
                    <w:bottom w:val="single" w:color="000000" w:sz="4" w:space="0"/>
                    <w:right w:val="nil"/>
                  </w:tcBorders>
                  <w:vAlign w:val="center"/>
                </w:tcPr>
                <w:p w14:paraId="02491A4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《工业企业厂界环境噪声排放标准》（GB12348-2008）</w:t>
                  </w:r>
                  <w:r>
                    <w:rPr>
                      <w:rFonts w:hint="eastAsia" w:cs="Times New Roman"/>
                      <w:color w:val="auto"/>
                      <w:sz w:val="18"/>
                      <w:szCs w:val="18"/>
                      <w:lang w:val="en-US" w:eastAsia="zh-CN"/>
                    </w:rPr>
                    <w:t>2</w:t>
                  </w:r>
                  <w:r>
                    <w:rPr>
                      <w:rFonts w:hint="default" w:ascii="Times New Roman" w:hAnsi="Times New Roman" w:cs="Times New Roman"/>
                      <w:color w:val="auto"/>
                      <w:sz w:val="18"/>
                      <w:szCs w:val="18"/>
                    </w:rPr>
                    <w:t>类标准要求</w:t>
                  </w:r>
                </w:p>
              </w:tc>
            </w:tr>
          </w:tbl>
          <w:p w14:paraId="76F6BE26">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4、固体废物影响</w:t>
            </w:r>
          </w:p>
          <w:p w14:paraId="72E9B5FB">
            <w:pPr>
              <w:pStyle w:val="4"/>
              <w:autoSpaceDE w:val="0"/>
              <w:spacing w:line="360" w:lineRule="auto"/>
              <w:ind w:firstLine="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4.1项目固体废物产生情况</w:t>
            </w:r>
          </w:p>
          <w:p w14:paraId="6C9DE931">
            <w:pPr>
              <w:tabs>
                <w:tab w:val="left" w:pos="195"/>
              </w:tabs>
              <w:spacing w:line="360" w:lineRule="auto"/>
              <w:ind w:firstLine="480" w:firstLineChars="200"/>
              <w:rPr>
                <w:rFonts w:hint="default"/>
                <w:color w:val="auto"/>
              </w:rPr>
            </w:pPr>
            <w:r>
              <w:rPr>
                <w:rFonts w:hint="default" w:ascii="Times New Roman" w:hAnsi="Times New Roman" w:eastAsia="宋体" w:cs="Times New Roman"/>
                <w:color w:val="auto"/>
                <w:sz w:val="24"/>
              </w:rPr>
              <w:t>项目营运期固废</w:t>
            </w:r>
            <w:r>
              <w:rPr>
                <w:rFonts w:hint="eastAsia" w:cs="Times New Roman"/>
                <w:color w:val="auto"/>
                <w:sz w:val="24"/>
                <w:lang w:val="en-US" w:eastAsia="zh-CN"/>
              </w:rPr>
              <w:t>主要为</w:t>
            </w:r>
            <w:r>
              <w:rPr>
                <w:rFonts w:hint="default" w:ascii="Times New Roman" w:hAnsi="Times New Roman" w:eastAsia="宋体" w:cs="Times New Roman"/>
                <w:color w:val="auto"/>
                <w:sz w:val="24"/>
              </w:rPr>
              <w:t>废包装</w:t>
            </w:r>
            <w:r>
              <w:rPr>
                <w:rFonts w:hint="eastAsia" w:ascii="Times New Roman" w:hAnsi="Times New Roman" w:eastAsia="宋体" w:cs="Times New Roman"/>
                <w:color w:val="auto"/>
                <w:sz w:val="24"/>
                <w:lang w:val="en-US" w:eastAsia="zh-CN"/>
              </w:rPr>
              <w:t>材料</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生活垃圾</w:t>
            </w:r>
            <w:r>
              <w:rPr>
                <w:rFonts w:hint="eastAsia" w:cs="Times New Roman"/>
                <w:color w:val="auto"/>
                <w:sz w:val="24"/>
                <w:lang w:val="en-US" w:eastAsia="zh-CN"/>
              </w:rPr>
              <w:t>、化粪池污泥及变质、失效及过期的爆破器材</w:t>
            </w:r>
            <w:r>
              <w:rPr>
                <w:rFonts w:hint="default" w:ascii="Times New Roman" w:hAnsi="Times New Roman" w:eastAsia="宋体" w:cs="Times New Roman"/>
                <w:color w:val="auto"/>
                <w:sz w:val="24"/>
              </w:rPr>
              <w:t>。</w:t>
            </w:r>
          </w:p>
          <w:p w14:paraId="4E405578">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1、废包装材料</w:t>
            </w:r>
          </w:p>
          <w:p w14:paraId="17A3E98E">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爆破器材在收发和分装过程中</w:t>
            </w:r>
            <w:r>
              <w:rPr>
                <w:rFonts w:hint="eastAsia" w:cs="Times New Roman"/>
                <w:color w:val="auto"/>
                <w:sz w:val="24"/>
                <w:lang w:val="en-US" w:eastAsia="zh-CN"/>
              </w:rPr>
              <w:t>会</w:t>
            </w:r>
            <w:r>
              <w:rPr>
                <w:rFonts w:hint="default" w:ascii="Times New Roman" w:hAnsi="Times New Roman" w:cs="Times New Roman"/>
                <w:color w:val="auto"/>
                <w:sz w:val="24"/>
              </w:rPr>
              <w:t>产生废弃外包装物，</w:t>
            </w:r>
            <w:r>
              <w:rPr>
                <w:rFonts w:hint="eastAsia" w:cs="Times New Roman"/>
                <w:color w:val="auto"/>
                <w:sz w:val="24"/>
                <w:lang w:val="en-US" w:eastAsia="zh-CN"/>
              </w:rPr>
              <w:t>根据类比其他同类项目，</w:t>
            </w:r>
            <w:r>
              <w:rPr>
                <w:rFonts w:hint="default" w:ascii="Times New Roman" w:hAnsi="Times New Roman" w:cs="Times New Roman"/>
                <w:color w:val="auto"/>
                <w:sz w:val="24"/>
              </w:rPr>
              <w:t>本项目</w:t>
            </w:r>
            <w:r>
              <w:rPr>
                <w:rFonts w:hint="eastAsia" w:cs="Times New Roman"/>
                <w:color w:val="auto"/>
                <w:sz w:val="24"/>
                <w:lang w:val="en-US" w:eastAsia="zh-CN"/>
              </w:rPr>
              <w:t>废包装材料</w:t>
            </w:r>
            <w:r>
              <w:rPr>
                <w:rFonts w:hint="default" w:ascii="Times New Roman" w:hAnsi="Times New Roman" w:cs="Times New Roman"/>
                <w:color w:val="auto"/>
                <w:sz w:val="24"/>
              </w:rPr>
              <w:t>按</w:t>
            </w:r>
            <w:r>
              <w:rPr>
                <w:rFonts w:hint="eastAsia" w:cs="Times New Roman"/>
                <w:color w:val="auto"/>
                <w:sz w:val="24"/>
                <w:lang w:val="en-US" w:eastAsia="zh-CN"/>
              </w:rPr>
              <w:t>储存量的</w:t>
            </w:r>
            <w:r>
              <w:rPr>
                <w:rFonts w:hint="default" w:ascii="Times New Roman" w:hAnsi="Times New Roman" w:cs="Times New Roman"/>
                <w:color w:val="auto"/>
                <w:sz w:val="24"/>
              </w:rPr>
              <w:t>1.5%计，则产生量约为0.</w:t>
            </w:r>
            <w:r>
              <w:rPr>
                <w:rFonts w:hint="eastAsia" w:cs="Times New Roman"/>
                <w:color w:val="auto"/>
                <w:sz w:val="24"/>
                <w:lang w:val="en-US" w:eastAsia="zh-CN"/>
              </w:rPr>
              <w:t>23</w:t>
            </w:r>
            <w:r>
              <w:rPr>
                <w:rFonts w:hint="default" w:ascii="Times New Roman" w:hAnsi="Times New Roman" w:cs="Times New Roman"/>
                <w:color w:val="auto"/>
                <w:sz w:val="24"/>
              </w:rPr>
              <w:t>t/a</w:t>
            </w:r>
            <w:r>
              <w:rPr>
                <w:rFonts w:hint="eastAsia" w:cs="Times New Roman"/>
                <w:color w:val="auto"/>
                <w:sz w:val="24"/>
                <w:lang w:eastAsia="zh-CN"/>
              </w:rPr>
              <w:t>，</w:t>
            </w:r>
            <w:r>
              <w:rPr>
                <w:rFonts w:hint="default" w:ascii="Times New Roman" w:hAnsi="Times New Roman" w:cs="Times New Roman"/>
                <w:color w:val="auto"/>
                <w:sz w:val="24"/>
              </w:rPr>
              <w:t>为废纸箱、废塑料，不直接接触炸药内药品组分，属于一般固废，可回收的外售给废品收购站，不可回收的由环卫部门处置。</w:t>
            </w:r>
          </w:p>
          <w:p w14:paraId="661CA02A">
            <w:pPr>
              <w:spacing w:line="360" w:lineRule="auto"/>
              <w:ind w:firstLine="482" w:firstLineChars="200"/>
              <w:rPr>
                <w:rFonts w:hint="default" w:ascii="Times New Roman" w:hAnsi="Times New Roman" w:cs="Times New Roman"/>
                <w:b/>
                <w:color w:val="auto"/>
                <w:sz w:val="24"/>
                <w:lang w:val="en-US" w:eastAsia="zh-CN"/>
              </w:rPr>
            </w:pPr>
            <w:r>
              <w:rPr>
                <w:rFonts w:hint="eastAsia" w:cs="Times New Roman"/>
                <w:b/>
                <w:color w:val="auto"/>
                <w:sz w:val="24"/>
                <w:lang w:val="en-US" w:eastAsia="zh-CN"/>
              </w:rPr>
              <w:t>2、</w:t>
            </w:r>
            <w:r>
              <w:rPr>
                <w:rFonts w:hint="default" w:ascii="Times New Roman" w:hAnsi="Times New Roman" w:cs="Times New Roman"/>
                <w:b/>
                <w:color w:val="auto"/>
                <w:sz w:val="24"/>
                <w:lang w:val="en-US" w:eastAsia="zh-CN"/>
              </w:rPr>
              <w:t>生活垃圾</w:t>
            </w:r>
          </w:p>
          <w:p w14:paraId="73394A6A">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项目职工</w:t>
            </w:r>
            <w:r>
              <w:rPr>
                <w:rFonts w:hint="eastAsia" w:cs="Times New Roman"/>
                <w:color w:val="auto"/>
                <w:sz w:val="24"/>
                <w:lang w:val="en-US" w:eastAsia="zh-CN"/>
              </w:rPr>
              <w:t>人数为1</w:t>
            </w:r>
            <w:r>
              <w:rPr>
                <w:rFonts w:hint="default" w:ascii="Times New Roman" w:hAnsi="Times New Roman" w:cs="Times New Roman"/>
                <w:color w:val="auto"/>
                <w:sz w:val="24"/>
              </w:rPr>
              <w:t>0人，生活垃圾按1.2kg/d.人计，经核算，生活垃圾产生量为</w:t>
            </w:r>
            <w:r>
              <w:rPr>
                <w:rFonts w:hint="eastAsia" w:cs="Times New Roman"/>
                <w:color w:val="auto"/>
                <w:sz w:val="24"/>
                <w:lang w:val="en-US" w:eastAsia="zh-CN"/>
              </w:rPr>
              <w:t>12</w:t>
            </w:r>
            <w:r>
              <w:rPr>
                <w:rFonts w:hint="default" w:ascii="Times New Roman" w:hAnsi="Times New Roman" w:cs="Times New Roman"/>
                <w:color w:val="auto"/>
                <w:sz w:val="24"/>
              </w:rPr>
              <w:t>kg/d、</w:t>
            </w:r>
            <w:r>
              <w:rPr>
                <w:rFonts w:hint="eastAsia" w:cs="Times New Roman"/>
                <w:color w:val="auto"/>
                <w:sz w:val="24"/>
                <w:lang w:val="en-US" w:eastAsia="zh-CN"/>
              </w:rPr>
              <w:t>4.38</w:t>
            </w:r>
            <w:r>
              <w:rPr>
                <w:rFonts w:hint="default" w:ascii="Times New Roman" w:hAnsi="Times New Roman" w:cs="Times New Roman"/>
                <w:color w:val="auto"/>
                <w:sz w:val="24"/>
              </w:rPr>
              <w:t>t/a，生活垃圾统一收集后</w:t>
            </w:r>
            <w:r>
              <w:rPr>
                <w:rFonts w:hint="eastAsia" w:cs="Times New Roman"/>
                <w:color w:val="auto"/>
                <w:sz w:val="24"/>
                <w:lang w:val="en-US" w:eastAsia="zh-CN"/>
              </w:rPr>
              <w:t>按当地</w:t>
            </w:r>
            <w:r>
              <w:rPr>
                <w:rFonts w:hint="default" w:ascii="Times New Roman" w:hAnsi="Times New Roman" w:cs="Times New Roman"/>
                <w:color w:val="auto"/>
                <w:sz w:val="24"/>
              </w:rPr>
              <w:t>环卫部门</w:t>
            </w:r>
            <w:r>
              <w:rPr>
                <w:rFonts w:hint="eastAsia" w:cs="Times New Roman"/>
                <w:color w:val="auto"/>
                <w:sz w:val="24"/>
                <w:lang w:val="en-US" w:eastAsia="zh-CN"/>
              </w:rPr>
              <w:t>的要求进行</w:t>
            </w:r>
            <w:r>
              <w:rPr>
                <w:rFonts w:hint="default" w:ascii="Times New Roman" w:hAnsi="Times New Roman" w:cs="Times New Roman"/>
                <w:color w:val="auto"/>
                <w:sz w:val="24"/>
              </w:rPr>
              <w:t>处置。</w:t>
            </w:r>
          </w:p>
          <w:p w14:paraId="77E8B892">
            <w:pPr>
              <w:spacing w:line="360" w:lineRule="auto"/>
              <w:ind w:firstLine="482" w:firstLineChars="200"/>
              <w:rPr>
                <w:rFonts w:hint="default" w:ascii="Times New Roman" w:hAnsi="Times New Roman" w:cs="Times New Roman"/>
                <w:b/>
                <w:color w:val="auto"/>
                <w:sz w:val="24"/>
                <w:lang w:val="en-US" w:eastAsia="zh-CN"/>
              </w:rPr>
            </w:pPr>
            <w:r>
              <w:rPr>
                <w:rFonts w:hint="eastAsia" w:cs="Times New Roman"/>
                <w:b/>
                <w:color w:val="auto"/>
                <w:sz w:val="24"/>
                <w:lang w:val="en-US" w:eastAsia="zh-CN"/>
              </w:rPr>
              <w:t>3</w:t>
            </w:r>
            <w:r>
              <w:rPr>
                <w:rFonts w:hint="eastAsia" w:ascii="Times New Roman" w:hAnsi="Times New Roman" w:cs="Times New Roman"/>
                <w:b/>
                <w:color w:val="auto"/>
                <w:sz w:val="24"/>
                <w:lang w:val="en-US" w:eastAsia="zh-CN"/>
              </w:rPr>
              <w:t>、</w:t>
            </w:r>
            <w:r>
              <w:rPr>
                <w:rFonts w:hint="default" w:ascii="Times New Roman" w:hAnsi="Times New Roman" w:cs="Times New Roman"/>
                <w:b/>
                <w:color w:val="auto"/>
                <w:sz w:val="24"/>
                <w:lang w:val="en-US" w:eastAsia="zh-CN"/>
              </w:rPr>
              <w:t>化粪池污泥</w:t>
            </w:r>
          </w:p>
          <w:p w14:paraId="7BE32204">
            <w:pPr>
              <w:tabs>
                <w:tab w:val="left" w:pos="195"/>
              </w:tabs>
              <w:adjustRightInd w:val="0"/>
              <w:snapToGrid w:val="0"/>
              <w:spacing w:line="360" w:lineRule="auto"/>
              <w:ind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根据《集中式污染治理设施产排污系数手册（2010修订）》，化粪池污泥的产排污系数取值为6.0t/万t，项目进入化粪池中的废水量为</w:t>
            </w:r>
            <w:r>
              <w:rPr>
                <w:rFonts w:hint="eastAsia" w:cs="Times New Roman"/>
                <w:color w:val="auto"/>
                <w:sz w:val="24"/>
                <w:highlight w:val="none"/>
                <w:lang w:val="en-US" w:eastAsia="zh-CN"/>
              </w:rPr>
              <w:t>87.6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污泥产生量=0.0</w:t>
            </w:r>
            <w:r>
              <w:rPr>
                <w:rFonts w:hint="eastAsia" w:cs="Times New Roman"/>
                <w:color w:val="auto"/>
                <w:sz w:val="24"/>
                <w:highlight w:val="none"/>
                <w:lang w:val="en-US" w:eastAsia="zh-CN"/>
              </w:rPr>
              <w:t>0876</w:t>
            </w:r>
            <w:r>
              <w:rPr>
                <w:rFonts w:hint="eastAsia" w:ascii="Times New Roman" w:hAnsi="Times New Roman" w:eastAsia="宋体" w:cs="Times New Roman"/>
                <w:color w:val="auto"/>
                <w:sz w:val="24"/>
                <w:highlight w:val="none"/>
                <w:lang w:val="en-US" w:eastAsia="zh-CN"/>
              </w:rPr>
              <w:t>万t×6.0t/万t=</w:t>
            </w:r>
            <w:r>
              <w:rPr>
                <w:rFonts w:hint="eastAsia" w:cs="Times New Roman"/>
                <w:color w:val="auto"/>
                <w:sz w:val="24"/>
                <w:highlight w:val="none"/>
                <w:lang w:val="en-US" w:eastAsia="zh-CN"/>
              </w:rPr>
              <w:t>0.053</w:t>
            </w:r>
            <w:r>
              <w:rPr>
                <w:rFonts w:hint="eastAsia" w:ascii="Times New Roman" w:hAnsi="Times New Roman" w:eastAsia="宋体" w:cs="Times New Roman"/>
                <w:color w:val="auto"/>
                <w:sz w:val="24"/>
                <w:highlight w:val="none"/>
                <w:lang w:val="en-US" w:eastAsia="zh-CN"/>
              </w:rPr>
              <w:t>t/a，故化粪池污泥产生量约为</w:t>
            </w:r>
            <w:r>
              <w:rPr>
                <w:rFonts w:hint="eastAsia" w:cs="Times New Roman"/>
                <w:color w:val="auto"/>
                <w:sz w:val="24"/>
                <w:highlight w:val="none"/>
                <w:lang w:val="en-US" w:eastAsia="zh-CN"/>
              </w:rPr>
              <w:t>0.053</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委托周边村民定期清掏后作为农肥使用。</w:t>
            </w:r>
          </w:p>
          <w:p w14:paraId="34529AB5">
            <w:pPr>
              <w:spacing w:line="360" w:lineRule="auto"/>
              <w:ind w:firstLine="482" w:firstLineChars="200"/>
              <w:rPr>
                <w:rFonts w:hint="eastAsia" w:ascii="Times New Roman" w:hAnsi="Times New Roman" w:cs="Times New Roman"/>
                <w:b/>
                <w:color w:val="auto"/>
                <w:sz w:val="24"/>
                <w:lang w:val="en-US" w:eastAsia="zh-CN"/>
              </w:rPr>
            </w:pPr>
            <w:r>
              <w:rPr>
                <w:rFonts w:hint="eastAsia" w:cs="Times New Roman"/>
                <w:b/>
                <w:color w:val="auto"/>
                <w:sz w:val="24"/>
                <w:lang w:val="en-US" w:eastAsia="zh-CN"/>
              </w:rPr>
              <w:t>4、</w:t>
            </w:r>
            <w:r>
              <w:rPr>
                <w:rFonts w:hint="eastAsia" w:ascii="Times New Roman" w:hAnsi="Times New Roman" w:cs="Times New Roman"/>
                <w:b/>
                <w:color w:val="auto"/>
                <w:sz w:val="24"/>
                <w:lang w:val="en-US" w:eastAsia="zh-CN"/>
              </w:rPr>
              <w:t>变质</w:t>
            </w:r>
            <w:r>
              <w:rPr>
                <w:rFonts w:hint="eastAsia" w:cs="Times New Roman"/>
                <w:b/>
                <w:color w:val="auto"/>
                <w:sz w:val="24"/>
                <w:lang w:val="en-US" w:eastAsia="zh-CN"/>
              </w:rPr>
              <w:t>、</w:t>
            </w:r>
            <w:r>
              <w:rPr>
                <w:rFonts w:hint="eastAsia" w:ascii="Times New Roman" w:hAnsi="Times New Roman" w:cs="Times New Roman"/>
                <w:b/>
                <w:color w:val="auto"/>
                <w:sz w:val="24"/>
                <w:lang w:val="en-US" w:eastAsia="zh-CN"/>
              </w:rPr>
              <w:t>失效及过期的爆破器材</w:t>
            </w:r>
          </w:p>
          <w:p w14:paraId="4207B2C9">
            <w:pPr>
              <w:tabs>
                <w:tab w:val="left" w:pos="195"/>
              </w:tabs>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项目运营过程中可能会存在变质</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失效及过期的爆破器材，产生量较小，约为0.05t/a，按照《国家危险废物名录》（2025年版），变质、失效及过期的爆破器材属于危险废物名录中“HW</w:t>
            </w:r>
            <w:r>
              <w:rPr>
                <w:rFonts w:hint="eastAsia" w:cs="Times New Roman"/>
                <w:color w:val="auto"/>
                <w:sz w:val="24"/>
                <w:highlight w:val="none"/>
                <w:lang w:val="en-US" w:eastAsia="zh-CN"/>
              </w:rPr>
              <w:t>49其他废物</w:t>
            </w:r>
            <w:r>
              <w:rPr>
                <w:rFonts w:hint="eastAsia" w:ascii="Times New Roman" w:hAnsi="Times New Roman" w:eastAsia="宋体" w:cs="Times New Roman"/>
                <w:color w:val="auto"/>
                <w:sz w:val="24"/>
                <w:highlight w:val="none"/>
                <w:lang w:val="en-US" w:eastAsia="zh-CN"/>
              </w:rPr>
              <w:t>”，废物代码为900-</w:t>
            </w:r>
            <w:r>
              <w:rPr>
                <w:rFonts w:hint="eastAsia" w:cs="Times New Roman"/>
                <w:color w:val="auto"/>
                <w:sz w:val="24"/>
                <w:highlight w:val="none"/>
                <w:lang w:val="en-US" w:eastAsia="zh-CN"/>
              </w:rPr>
              <w:t>999</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49</w:t>
            </w:r>
            <w:r>
              <w:rPr>
                <w:rFonts w:hint="eastAsia" w:ascii="Times New Roman" w:hAnsi="Times New Roman" w:eastAsia="宋体" w:cs="Times New Roman"/>
                <w:color w:val="auto"/>
                <w:sz w:val="24"/>
                <w:highlight w:val="none"/>
                <w:lang w:val="en-US" w:eastAsia="zh-CN"/>
              </w:rPr>
              <w:t>，危险特性T/C/I/R。经收集后上报公安机关，</w:t>
            </w:r>
            <w:r>
              <w:rPr>
                <w:rFonts w:hint="eastAsia" w:cs="Times New Roman"/>
                <w:color w:val="auto"/>
                <w:sz w:val="24"/>
                <w:highlight w:val="none"/>
                <w:lang w:val="en-US" w:eastAsia="zh-CN"/>
              </w:rPr>
              <w:t>并在公安机关监督下由专业销毁单位处置，严禁自行处理</w:t>
            </w:r>
            <w:r>
              <w:rPr>
                <w:rFonts w:hint="eastAsia" w:ascii="Times New Roman" w:hAnsi="Times New Roman" w:eastAsia="宋体" w:cs="Times New Roman"/>
                <w:color w:val="auto"/>
                <w:sz w:val="24"/>
                <w:highlight w:val="none"/>
                <w:lang w:val="en-US" w:eastAsia="zh-CN"/>
              </w:rPr>
              <w:t>。</w:t>
            </w:r>
          </w:p>
          <w:p w14:paraId="5E0F3B6E">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4.2项目固体废物属性判定</w:t>
            </w:r>
          </w:p>
          <w:p w14:paraId="0967CC12">
            <w:pPr>
              <w:pStyle w:val="4"/>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根据《中华人民共和国固体废物污染环境防治法》、《固体废物鉴别标准  通则》（GB34330-2025），对建设单位产生的物质（除目标产物，即产品、副产品外）依据产生来源、利用和处置过程鉴别属于固体废物并且作为固体废物管理的物质，应按照《国家危险废物名录》（2025年版）、《危险废物鉴别标准  通则》（GB5085.7）等进行属性判定。</w:t>
            </w:r>
          </w:p>
          <w:p w14:paraId="6E0C9199">
            <w:pPr>
              <w:spacing w:line="360" w:lineRule="auto"/>
              <w:ind w:firstLine="480" w:firstLineChars="200"/>
              <w:rPr>
                <w:rFonts w:hint="default" w:ascii="Times New Roman" w:hAnsi="Times New Roman" w:eastAsia="黑体" w:cs="Times New Roman"/>
                <w:color w:val="auto"/>
                <w:szCs w:val="21"/>
              </w:rPr>
            </w:pPr>
            <w:r>
              <w:rPr>
                <w:rFonts w:hint="default" w:ascii="Times New Roman" w:hAnsi="Times New Roman" w:cs="Times New Roman"/>
                <w:color w:val="auto"/>
                <w:sz w:val="24"/>
              </w:rPr>
              <w:t>根据《固体废物鉴别标准  通则》（GB34330-2025）的规定对本项目副产物的属性进行判定，见下表。</w:t>
            </w:r>
          </w:p>
          <w:p w14:paraId="733A8A39">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7</w:t>
            </w:r>
            <w:r>
              <w:rPr>
                <w:rFonts w:hint="default" w:ascii="Times New Roman" w:hAnsi="Times New Roman" w:cs="Times New Roman"/>
                <w:b w:val="0"/>
                <w:bCs w:val="0"/>
                <w:color w:val="auto"/>
                <w:sz w:val="21"/>
                <w:szCs w:val="21"/>
              </w:rPr>
              <w:t xml:space="preserve">   本项目运营过程中产生的固体废物属性判定结果一览表</w:t>
            </w:r>
          </w:p>
          <w:tbl>
            <w:tblPr>
              <w:tblStyle w:val="3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444"/>
              <w:gridCol w:w="1614"/>
              <w:gridCol w:w="1481"/>
              <w:gridCol w:w="1801"/>
              <w:gridCol w:w="1110"/>
            </w:tblGrid>
            <w:tr w14:paraId="6B0A62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27D59F6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887" w:type="pct"/>
                  <w:tcBorders>
                    <w:tl2br w:val="nil"/>
                    <w:tr2bl w:val="nil"/>
                  </w:tcBorders>
                  <w:vAlign w:val="center"/>
                </w:tcPr>
                <w:p w14:paraId="4951CFA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固废名称</w:t>
                  </w:r>
                </w:p>
              </w:tc>
              <w:tc>
                <w:tcPr>
                  <w:tcW w:w="991" w:type="pct"/>
                  <w:tcBorders>
                    <w:tl2br w:val="nil"/>
                    <w:tr2bl w:val="nil"/>
                  </w:tcBorders>
                  <w:vAlign w:val="center"/>
                </w:tcPr>
                <w:p w14:paraId="6298C05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产生工序</w:t>
                  </w:r>
                </w:p>
              </w:tc>
              <w:tc>
                <w:tcPr>
                  <w:tcW w:w="909" w:type="pct"/>
                  <w:tcBorders>
                    <w:tl2br w:val="nil"/>
                    <w:tr2bl w:val="nil"/>
                  </w:tcBorders>
                  <w:vAlign w:val="center"/>
                </w:tcPr>
                <w:p w14:paraId="1918A98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主要成分</w:t>
                  </w:r>
                </w:p>
              </w:tc>
              <w:tc>
                <w:tcPr>
                  <w:tcW w:w="1106" w:type="pct"/>
                  <w:tcBorders>
                    <w:tl2br w:val="nil"/>
                    <w:tr2bl w:val="nil"/>
                  </w:tcBorders>
                  <w:vAlign w:val="center"/>
                </w:tcPr>
                <w:p w14:paraId="622D19B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是否属于固体废物</w:t>
                  </w:r>
                </w:p>
              </w:tc>
              <w:tc>
                <w:tcPr>
                  <w:tcW w:w="681" w:type="pct"/>
                  <w:tcBorders>
                    <w:tl2br w:val="nil"/>
                    <w:tr2bl w:val="nil"/>
                  </w:tcBorders>
                  <w:vAlign w:val="center"/>
                </w:tcPr>
                <w:p w14:paraId="773FF0E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判定依据</w:t>
                  </w:r>
                </w:p>
              </w:tc>
            </w:tr>
            <w:tr w14:paraId="03587D4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08626DA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887" w:type="pct"/>
                  <w:tcBorders>
                    <w:tl2br w:val="nil"/>
                    <w:tr2bl w:val="nil"/>
                  </w:tcBorders>
                  <w:vAlign w:val="center"/>
                </w:tcPr>
                <w:p w14:paraId="4315F41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废包装材料</w:t>
                  </w:r>
                </w:p>
              </w:tc>
              <w:tc>
                <w:tcPr>
                  <w:tcW w:w="991" w:type="pct"/>
                  <w:tcBorders>
                    <w:tl2br w:val="nil"/>
                    <w:tr2bl w:val="nil"/>
                  </w:tcBorders>
                  <w:vAlign w:val="center"/>
                </w:tcPr>
                <w:p w14:paraId="3C41EE52">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爆破器材的储存</w:t>
                  </w:r>
                </w:p>
              </w:tc>
              <w:tc>
                <w:tcPr>
                  <w:tcW w:w="909" w:type="pct"/>
                  <w:tcBorders>
                    <w:tl2br w:val="nil"/>
                    <w:tr2bl w:val="nil"/>
                  </w:tcBorders>
                  <w:vAlign w:val="center"/>
                </w:tcPr>
                <w:p w14:paraId="4860A312">
                  <w:pPr>
                    <w:pStyle w:val="4"/>
                    <w:adjustRightInd/>
                    <w:spacing w:line="276" w:lineRule="auto"/>
                    <w:ind w:firstLine="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纸制品</w:t>
                  </w:r>
                </w:p>
              </w:tc>
              <w:tc>
                <w:tcPr>
                  <w:tcW w:w="1106" w:type="pct"/>
                  <w:tcBorders>
                    <w:tl2br w:val="nil"/>
                    <w:tr2bl w:val="nil"/>
                  </w:tcBorders>
                  <w:vAlign w:val="center"/>
                </w:tcPr>
                <w:p w14:paraId="3E5CB6DE">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81" w:type="pct"/>
                  <w:tcBorders>
                    <w:tl2br w:val="nil"/>
                    <w:tr2bl w:val="nil"/>
                  </w:tcBorders>
                  <w:vAlign w:val="center"/>
                </w:tcPr>
                <w:p w14:paraId="05E02783">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A.2d(1)</w:t>
                  </w:r>
                </w:p>
              </w:tc>
            </w:tr>
            <w:tr w14:paraId="5695D4B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091D99C1">
                  <w:pPr>
                    <w:pStyle w:val="4"/>
                    <w:adjustRightInd/>
                    <w:spacing w:line="276" w:lineRule="auto"/>
                    <w:ind w:firstLine="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2</w:t>
                  </w:r>
                </w:p>
              </w:tc>
              <w:tc>
                <w:tcPr>
                  <w:tcW w:w="887" w:type="pct"/>
                  <w:tcBorders>
                    <w:tl2br w:val="nil"/>
                    <w:tr2bl w:val="nil"/>
                  </w:tcBorders>
                  <w:vAlign w:val="center"/>
                </w:tcPr>
                <w:p w14:paraId="4FA02CA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991" w:type="pct"/>
                  <w:tcBorders>
                    <w:tl2br w:val="nil"/>
                    <w:tr2bl w:val="nil"/>
                  </w:tcBorders>
                  <w:vAlign w:val="center"/>
                </w:tcPr>
                <w:p w14:paraId="4EDDA43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办公生活</w:t>
                  </w:r>
                </w:p>
              </w:tc>
              <w:tc>
                <w:tcPr>
                  <w:tcW w:w="909" w:type="pct"/>
                  <w:tcBorders>
                    <w:tl2br w:val="nil"/>
                    <w:tr2bl w:val="nil"/>
                  </w:tcBorders>
                  <w:vAlign w:val="center"/>
                </w:tcPr>
                <w:p w14:paraId="27F27A06">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包装物、纸屑等</w:t>
                  </w:r>
                </w:p>
              </w:tc>
              <w:tc>
                <w:tcPr>
                  <w:tcW w:w="1106" w:type="pct"/>
                  <w:tcBorders>
                    <w:tl2br w:val="nil"/>
                    <w:tr2bl w:val="nil"/>
                  </w:tcBorders>
                  <w:vAlign w:val="center"/>
                </w:tcPr>
                <w:p w14:paraId="1C40050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81" w:type="pct"/>
                  <w:tcBorders>
                    <w:tl2br w:val="nil"/>
                    <w:tr2bl w:val="nil"/>
                  </w:tcBorders>
                  <w:vAlign w:val="center"/>
                </w:tcPr>
                <w:p w14:paraId="5F0ED1D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A.3d(2)</w:t>
                  </w:r>
                </w:p>
              </w:tc>
            </w:tr>
            <w:tr w14:paraId="2F87EAD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4D0E4A9E">
                  <w:pPr>
                    <w:pStyle w:val="4"/>
                    <w:adjustRightInd/>
                    <w:spacing w:line="276" w:lineRule="auto"/>
                    <w:ind w:firstLine="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3</w:t>
                  </w:r>
                </w:p>
              </w:tc>
              <w:tc>
                <w:tcPr>
                  <w:tcW w:w="887" w:type="pct"/>
                  <w:tcBorders>
                    <w:tl2br w:val="nil"/>
                    <w:tr2bl w:val="nil"/>
                  </w:tcBorders>
                  <w:vAlign w:val="center"/>
                </w:tcPr>
                <w:p w14:paraId="38517CF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污泥</w:t>
                  </w:r>
                </w:p>
              </w:tc>
              <w:tc>
                <w:tcPr>
                  <w:tcW w:w="991" w:type="pct"/>
                  <w:tcBorders>
                    <w:tl2br w:val="nil"/>
                    <w:tr2bl w:val="nil"/>
                  </w:tcBorders>
                  <w:vAlign w:val="center"/>
                </w:tcPr>
                <w:p w14:paraId="293318D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909" w:type="pct"/>
                  <w:tcBorders>
                    <w:tl2br w:val="nil"/>
                    <w:tr2bl w:val="nil"/>
                  </w:tcBorders>
                  <w:vAlign w:val="center"/>
                </w:tcPr>
                <w:p w14:paraId="284C000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有机物、无机物</w:t>
                  </w:r>
                </w:p>
              </w:tc>
              <w:tc>
                <w:tcPr>
                  <w:tcW w:w="1106" w:type="pct"/>
                  <w:tcBorders>
                    <w:tl2br w:val="nil"/>
                    <w:tr2bl w:val="nil"/>
                  </w:tcBorders>
                  <w:vAlign w:val="center"/>
                </w:tcPr>
                <w:p w14:paraId="06A9571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81" w:type="pct"/>
                  <w:tcBorders>
                    <w:tl2br w:val="nil"/>
                    <w:tr2bl w:val="nil"/>
                  </w:tcBorders>
                  <w:vAlign w:val="center"/>
                </w:tcPr>
                <w:p w14:paraId="2980068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A.3d(2)</w:t>
                  </w:r>
                </w:p>
              </w:tc>
            </w:tr>
            <w:tr w14:paraId="69A69FA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4F7ABF96">
                  <w:pPr>
                    <w:pStyle w:val="4"/>
                    <w:adjustRightInd/>
                    <w:spacing w:line="276" w:lineRule="auto"/>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887" w:type="pct"/>
                  <w:tcBorders>
                    <w:tl2br w:val="nil"/>
                    <w:tr2bl w:val="nil"/>
                  </w:tcBorders>
                  <w:vAlign w:val="center"/>
                </w:tcPr>
                <w:p w14:paraId="721B3D6A">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变质、失效及过期的爆破器材</w:t>
                  </w:r>
                </w:p>
              </w:tc>
              <w:tc>
                <w:tcPr>
                  <w:tcW w:w="991" w:type="pct"/>
                  <w:tcBorders>
                    <w:tl2br w:val="nil"/>
                    <w:tr2bl w:val="nil"/>
                  </w:tcBorders>
                  <w:vAlign w:val="center"/>
                </w:tcPr>
                <w:p w14:paraId="5D75B3FD">
                  <w:pPr>
                    <w:pStyle w:val="4"/>
                    <w:adjustRightInd/>
                    <w:spacing w:line="276" w:lineRule="auto"/>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储存过程</w:t>
                  </w:r>
                </w:p>
              </w:tc>
              <w:tc>
                <w:tcPr>
                  <w:tcW w:w="909" w:type="pct"/>
                  <w:tcBorders>
                    <w:tl2br w:val="nil"/>
                    <w:tr2bl w:val="nil"/>
                  </w:tcBorders>
                  <w:vAlign w:val="center"/>
                </w:tcPr>
                <w:p w14:paraId="28719083">
                  <w:pPr>
                    <w:pStyle w:val="4"/>
                    <w:adjustRightInd/>
                    <w:spacing w:line="276" w:lineRule="auto"/>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硝酸铵</w:t>
                  </w:r>
                </w:p>
              </w:tc>
              <w:tc>
                <w:tcPr>
                  <w:tcW w:w="1106" w:type="pct"/>
                  <w:tcBorders>
                    <w:tl2br w:val="nil"/>
                    <w:tr2bl w:val="nil"/>
                  </w:tcBorders>
                  <w:vAlign w:val="center"/>
                </w:tcPr>
                <w:p w14:paraId="456FEB68">
                  <w:pPr>
                    <w:pStyle w:val="4"/>
                    <w:adjustRightInd/>
                    <w:spacing w:line="276" w:lineRule="auto"/>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是</w:t>
                  </w:r>
                </w:p>
              </w:tc>
              <w:tc>
                <w:tcPr>
                  <w:tcW w:w="681" w:type="pct"/>
                  <w:tcBorders>
                    <w:tl2br w:val="nil"/>
                    <w:tr2bl w:val="nil"/>
                  </w:tcBorders>
                  <w:vAlign w:val="center"/>
                </w:tcPr>
                <w:p w14:paraId="7814858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w:t>
                  </w:r>
                  <w:r>
                    <w:rPr>
                      <w:rFonts w:hint="eastAsia" w:ascii="Times New Roman" w:hAnsi="Times New Roman" w:cs="Times New Roman"/>
                      <w:color w:val="auto"/>
                      <w:sz w:val="18"/>
                      <w:szCs w:val="18"/>
                      <w:lang w:val="en-US" w:eastAsia="zh-CN"/>
                    </w:rPr>
                    <w:t>1a</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w:t>
                  </w:r>
                </w:p>
              </w:tc>
            </w:tr>
          </w:tbl>
          <w:p w14:paraId="0C4A47D4">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对于本项目产生的固体废物，根据《国家危险废物名录》（2025版）、《危险废物鉴别标准  通则》（GB5085.7）以及《建设项目危险废物环境影响评价指南》，判定是否属于危险废物，判定结果见下表。</w:t>
            </w:r>
          </w:p>
          <w:p w14:paraId="18B24930">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8</w:t>
            </w:r>
            <w:r>
              <w:rPr>
                <w:rFonts w:hint="default" w:ascii="Times New Roman" w:hAnsi="Times New Roman" w:cs="Times New Roman"/>
                <w:b w:val="0"/>
                <w:bCs w:val="0"/>
                <w:color w:val="auto"/>
                <w:sz w:val="21"/>
                <w:szCs w:val="21"/>
              </w:rPr>
              <w:t xml:space="preserve">  本项目固体废物危险属性判定结果一览表</w:t>
            </w:r>
          </w:p>
          <w:tbl>
            <w:tblPr>
              <w:tblStyle w:val="36"/>
              <w:tblW w:w="492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06"/>
              <w:gridCol w:w="1124"/>
              <w:gridCol w:w="1014"/>
              <w:gridCol w:w="707"/>
              <w:gridCol w:w="1595"/>
              <w:gridCol w:w="997"/>
              <w:gridCol w:w="889"/>
              <w:gridCol w:w="1293"/>
            </w:tblGrid>
            <w:tr w14:paraId="300B73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 w:type="pct"/>
                  <w:vMerge w:val="restart"/>
                  <w:tcBorders>
                    <w:tl2br w:val="nil"/>
                    <w:tr2bl w:val="nil"/>
                  </w:tcBorders>
                  <w:vAlign w:val="center"/>
                </w:tcPr>
                <w:p w14:paraId="0AAE809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700" w:type="pct"/>
                  <w:vMerge w:val="restart"/>
                  <w:tcBorders>
                    <w:tl2br w:val="nil"/>
                    <w:tr2bl w:val="nil"/>
                  </w:tcBorders>
                  <w:vAlign w:val="center"/>
                </w:tcPr>
                <w:p w14:paraId="6389007E">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固废名称</w:t>
                  </w:r>
                </w:p>
              </w:tc>
              <w:tc>
                <w:tcPr>
                  <w:tcW w:w="631" w:type="pct"/>
                  <w:vMerge w:val="restart"/>
                  <w:tcBorders>
                    <w:tl2br w:val="nil"/>
                    <w:tr2bl w:val="nil"/>
                  </w:tcBorders>
                  <w:vAlign w:val="center"/>
                </w:tcPr>
                <w:p w14:paraId="19E4CC79">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产生工序</w:t>
                  </w:r>
                </w:p>
              </w:tc>
              <w:tc>
                <w:tcPr>
                  <w:tcW w:w="440" w:type="pct"/>
                  <w:vMerge w:val="restart"/>
                  <w:tcBorders>
                    <w:tl2br w:val="nil"/>
                    <w:tr2bl w:val="nil"/>
                  </w:tcBorders>
                  <w:vAlign w:val="center"/>
                </w:tcPr>
                <w:p w14:paraId="79850A9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形态</w:t>
                  </w:r>
                </w:p>
              </w:tc>
              <w:tc>
                <w:tcPr>
                  <w:tcW w:w="993" w:type="pct"/>
                  <w:vMerge w:val="restart"/>
                  <w:tcBorders>
                    <w:tl2br w:val="nil"/>
                    <w:tr2bl w:val="nil"/>
                  </w:tcBorders>
                  <w:vAlign w:val="center"/>
                </w:tcPr>
                <w:p w14:paraId="7FF4D58A">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属性（危险废物、一般工业固体废物或待鉴定）</w:t>
                  </w:r>
                </w:p>
              </w:tc>
              <w:tc>
                <w:tcPr>
                  <w:tcW w:w="621" w:type="pct"/>
                  <w:vMerge w:val="restart"/>
                  <w:tcBorders>
                    <w:tl2br w:val="nil"/>
                    <w:tr2bl w:val="nil"/>
                  </w:tcBorders>
                  <w:vAlign w:val="center"/>
                </w:tcPr>
                <w:p w14:paraId="6EB10B70">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危险特性鉴别方法</w:t>
                  </w:r>
                </w:p>
              </w:tc>
              <w:tc>
                <w:tcPr>
                  <w:tcW w:w="1359" w:type="pct"/>
                  <w:gridSpan w:val="2"/>
                  <w:tcBorders>
                    <w:tl2br w:val="nil"/>
                    <w:tr2bl w:val="nil"/>
                  </w:tcBorders>
                  <w:vAlign w:val="center"/>
                </w:tcPr>
                <w:p w14:paraId="1910AEB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废物代码</w:t>
                  </w:r>
                </w:p>
              </w:tc>
            </w:tr>
            <w:tr w14:paraId="74BA9C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 w:type="pct"/>
                  <w:vMerge w:val="continue"/>
                  <w:tcBorders>
                    <w:tl2br w:val="nil"/>
                    <w:tr2bl w:val="nil"/>
                  </w:tcBorders>
                  <w:vAlign w:val="center"/>
                </w:tcPr>
                <w:p w14:paraId="4248B77F">
                  <w:pPr>
                    <w:widowControl/>
                    <w:spacing w:line="276" w:lineRule="auto"/>
                    <w:jc w:val="center"/>
                    <w:rPr>
                      <w:rFonts w:hint="default" w:ascii="Times New Roman" w:hAnsi="Times New Roman" w:cs="Times New Roman"/>
                      <w:color w:val="auto"/>
                      <w:sz w:val="18"/>
                      <w:szCs w:val="18"/>
                    </w:rPr>
                  </w:pPr>
                </w:p>
              </w:tc>
              <w:tc>
                <w:tcPr>
                  <w:tcW w:w="700" w:type="pct"/>
                  <w:vMerge w:val="continue"/>
                  <w:tcBorders>
                    <w:tl2br w:val="nil"/>
                    <w:tr2bl w:val="nil"/>
                  </w:tcBorders>
                  <w:vAlign w:val="center"/>
                </w:tcPr>
                <w:p w14:paraId="7AB468D0">
                  <w:pPr>
                    <w:widowControl/>
                    <w:spacing w:line="276" w:lineRule="auto"/>
                    <w:jc w:val="center"/>
                    <w:rPr>
                      <w:rFonts w:hint="default" w:ascii="Times New Roman" w:hAnsi="Times New Roman" w:cs="Times New Roman"/>
                      <w:color w:val="auto"/>
                      <w:sz w:val="18"/>
                      <w:szCs w:val="18"/>
                    </w:rPr>
                  </w:pPr>
                </w:p>
              </w:tc>
              <w:tc>
                <w:tcPr>
                  <w:tcW w:w="631" w:type="pct"/>
                  <w:vMerge w:val="continue"/>
                  <w:tcBorders>
                    <w:tl2br w:val="nil"/>
                    <w:tr2bl w:val="nil"/>
                  </w:tcBorders>
                  <w:vAlign w:val="center"/>
                </w:tcPr>
                <w:p w14:paraId="7625E00E">
                  <w:pPr>
                    <w:widowControl/>
                    <w:spacing w:line="276" w:lineRule="auto"/>
                    <w:jc w:val="center"/>
                    <w:rPr>
                      <w:rFonts w:hint="default" w:ascii="Times New Roman" w:hAnsi="Times New Roman" w:cs="Times New Roman"/>
                      <w:color w:val="auto"/>
                      <w:sz w:val="18"/>
                      <w:szCs w:val="18"/>
                    </w:rPr>
                  </w:pPr>
                </w:p>
              </w:tc>
              <w:tc>
                <w:tcPr>
                  <w:tcW w:w="440" w:type="pct"/>
                  <w:vMerge w:val="continue"/>
                  <w:tcBorders>
                    <w:tl2br w:val="nil"/>
                    <w:tr2bl w:val="nil"/>
                  </w:tcBorders>
                  <w:vAlign w:val="center"/>
                </w:tcPr>
                <w:p w14:paraId="261179E4">
                  <w:pPr>
                    <w:widowControl/>
                    <w:spacing w:line="276" w:lineRule="auto"/>
                    <w:jc w:val="center"/>
                    <w:rPr>
                      <w:rFonts w:hint="default" w:ascii="Times New Roman" w:hAnsi="Times New Roman" w:cs="Times New Roman"/>
                      <w:color w:val="auto"/>
                      <w:sz w:val="18"/>
                      <w:szCs w:val="18"/>
                    </w:rPr>
                  </w:pPr>
                </w:p>
              </w:tc>
              <w:tc>
                <w:tcPr>
                  <w:tcW w:w="993" w:type="pct"/>
                  <w:vMerge w:val="continue"/>
                  <w:tcBorders>
                    <w:tl2br w:val="nil"/>
                    <w:tr2bl w:val="nil"/>
                  </w:tcBorders>
                  <w:vAlign w:val="center"/>
                </w:tcPr>
                <w:p w14:paraId="077DDC99">
                  <w:pPr>
                    <w:widowControl/>
                    <w:spacing w:line="276" w:lineRule="auto"/>
                    <w:jc w:val="center"/>
                    <w:rPr>
                      <w:rFonts w:hint="default" w:ascii="Times New Roman" w:hAnsi="Times New Roman" w:cs="Times New Roman"/>
                      <w:color w:val="auto"/>
                      <w:sz w:val="18"/>
                      <w:szCs w:val="18"/>
                    </w:rPr>
                  </w:pPr>
                </w:p>
              </w:tc>
              <w:tc>
                <w:tcPr>
                  <w:tcW w:w="621" w:type="pct"/>
                  <w:vMerge w:val="continue"/>
                  <w:tcBorders>
                    <w:tl2br w:val="nil"/>
                    <w:tr2bl w:val="nil"/>
                  </w:tcBorders>
                  <w:vAlign w:val="center"/>
                </w:tcPr>
                <w:p w14:paraId="028498FA">
                  <w:pPr>
                    <w:widowControl/>
                    <w:spacing w:line="276" w:lineRule="auto"/>
                    <w:jc w:val="center"/>
                    <w:rPr>
                      <w:rFonts w:hint="default" w:ascii="Times New Roman" w:hAnsi="Times New Roman" w:cs="Times New Roman"/>
                      <w:color w:val="auto"/>
                      <w:sz w:val="18"/>
                      <w:szCs w:val="18"/>
                    </w:rPr>
                  </w:pPr>
                </w:p>
              </w:tc>
              <w:tc>
                <w:tcPr>
                  <w:tcW w:w="553" w:type="pct"/>
                  <w:tcBorders>
                    <w:tl2br w:val="nil"/>
                    <w:tr2bl w:val="nil"/>
                  </w:tcBorders>
                  <w:vAlign w:val="center"/>
                </w:tcPr>
                <w:p w14:paraId="33ED558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805" w:type="pct"/>
                  <w:tcBorders>
                    <w:tl2br w:val="nil"/>
                    <w:tr2bl w:val="nil"/>
                  </w:tcBorders>
                  <w:vAlign w:val="center"/>
                </w:tcPr>
                <w:p w14:paraId="32F8254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废物代码</w:t>
                  </w:r>
                </w:p>
              </w:tc>
            </w:tr>
            <w:tr w14:paraId="355D0F3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 w:type="pct"/>
                  <w:tcBorders>
                    <w:tl2br w:val="nil"/>
                    <w:tr2bl w:val="nil"/>
                  </w:tcBorders>
                  <w:vAlign w:val="center"/>
                </w:tcPr>
                <w:p w14:paraId="3604BCEA">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00" w:type="pct"/>
                  <w:tcBorders>
                    <w:tl2br w:val="nil"/>
                    <w:tr2bl w:val="nil"/>
                  </w:tcBorders>
                  <w:vAlign w:val="center"/>
                </w:tcPr>
                <w:p w14:paraId="6ED01A85">
                  <w:pPr>
                    <w:pStyle w:val="4"/>
                    <w:adjustRightInd/>
                    <w:spacing w:line="276"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废包装材料</w:t>
                  </w:r>
                </w:p>
              </w:tc>
              <w:tc>
                <w:tcPr>
                  <w:tcW w:w="631" w:type="pct"/>
                  <w:tcBorders>
                    <w:tl2br w:val="nil"/>
                    <w:tr2bl w:val="nil"/>
                  </w:tcBorders>
                  <w:vAlign w:val="center"/>
                </w:tcPr>
                <w:p w14:paraId="40966564">
                  <w:pPr>
                    <w:pStyle w:val="4"/>
                    <w:adjustRightInd/>
                    <w:spacing w:line="276" w:lineRule="auto"/>
                    <w:ind w:firstLine="0" w:firstLineChars="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爆破器材的储存</w:t>
                  </w:r>
                </w:p>
              </w:tc>
              <w:tc>
                <w:tcPr>
                  <w:tcW w:w="440" w:type="pct"/>
                  <w:tcBorders>
                    <w:tl2br w:val="nil"/>
                    <w:tr2bl w:val="nil"/>
                  </w:tcBorders>
                  <w:vAlign w:val="center"/>
                </w:tcPr>
                <w:p w14:paraId="64BC779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93" w:type="pct"/>
                  <w:tcBorders>
                    <w:tl2br w:val="nil"/>
                    <w:tr2bl w:val="nil"/>
                  </w:tcBorders>
                  <w:vAlign w:val="center"/>
                </w:tcPr>
                <w:p w14:paraId="2D446932">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一般工业固废</w:t>
                  </w:r>
                </w:p>
              </w:tc>
              <w:tc>
                <w:tcPr>
                  <w:tcW w:w="621" w:type="pct"/>
                  <w:tcBorders>
                    <w:tl2br w:val="nil"/>
                    <w:tr2bl w:val="nil"/>
                  </w:tcBorders>
                  <w:vAlign w:val="center"/>
                </w:tcPr>
                <w:p w14:paraId="3484636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359" w:type="pct"/>
                  <w:gridSpan w:val="2"/>
                  <w:tcBorders>
                    <w:tl2br w:val="nil"/>
                    <w:tr2bl w:val="nil"/>
                  </w:tcBorders>
                  <w:vAlign w:val="center"/>
                </w:tcPr>
                <w:p w14:paraId="3516F4EF">
                  <w:pPr>
                    <w:pStyle w:val="4"/>
                    <w:adjustRightInd/>
                    <w:spacing w:line="276" w:lineRule="auto"/>
                    <w:ind w:firstLine="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cs="Times New Roman"/>
                      <w:bCs/>
                      <w:color w:val="auto"/>
                      <w:kern w:val="0"/>
                      <w:sz w:val="18"/>
                      <w:szCs w:val="18"/>
                      <w:lang w:val="en-US" w:eastAsia="zh-CN"/>
                    </w:rPr>
                    <w:t>900-099-S59</w:t>
                  </w:r>
                </w:p>
              </w:tc>
            </w:tr>
            <w:tr w14:paraId="0726E5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 w:type="pct"/>
                  <w:tcBorders>
                    <w:tl2br w:val="nil"/>
                    <w:tr2bl w:val="nil"/>
                  </w:tcBorders>
                  <w:shd w:val="clear" w:color="auto" w:fill="auto"/>
                  <w:vAlign w:val="center"/>
                </w:tcPr>
                <w:p w14:paraId="049A6811">
                  <w:pPr>
                    <w:pStyle w:val="4"/>
                    <w:adjustRightInd/>
                    <w:spacing w:line="276"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w:t>
                  </w:r>
                </w:p>
              </w:tc>
              <w:tc>
                <w:tcPr>
                  <w:tcW w:w="700" w:type="pct"/>
                  <w:tcBorders>
                    <w:tl2br w:val="nil"/>
                    <w:tr2bl w:val="nil"/>
                  </w:tcBorders>
                  <w:vAlign w:val="center"/>
                </w:tcPr>
                <w:p w14:paraId="3296F96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631" w:type="pct"/>
                  <w:tcBorders>
                    <w:tl2br w:val="nil"/>
                    <w:tr2bl w:val="nil"/>
                  </w:tcBorders>
                  <w:vAlign w:val="center"/>
                </w:tcPr>
                <w:p w14:paraId="64EB3BE9">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办公生活</w:t>
                  </w:r>
                </w:p>
              </w:tc>
              <w:tc>
                <w:tcPr>
                  <w:tcW w:w="440" w:type="pct"/>
                  <w:tcBorders>
                    <w:tl2br w:val="nil"/>
                    <w:tr2bl w:val="nil"/>
                  </w:tcBorders>
                  <w:vAlign w:val="center"/>
                </w:tcPr>
                <w:p w14:paraId="2F6642C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93" w:type="pct"/>
                  <w:tcBorders>
                    <w:tl2br w:val="nil"/>
                    <w:tr2bl w:val="nil"/>
                  </w:tcBorders>
                  <w:vAlign w:val="center"/>
                </w:tcPr>
                <w:p w14:paraId="011C535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621" w:type="pct"/>
                  <w:tcBorders>
                    <w:tl2br w:val="nil"/>
                    <w:tr2bl w:val="nil"/>
                  </w:tcBorders>
                  <w:vAlign w:val="center"/>
                </w:tcPr>
                <w:p w14:paraId="36B5E6E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359" w:type="pct"/>
                  <w:gridSpan w:val="2"/>
                  <w:tcBorders>
                    <w:tl2br w:val="nil"/>
                    <w:tr2bl w:val="nil"/>
                  </w:tcBorders>
                  <w:vAlign w:val="center"/>
                </w:tcPr>
                <w:p w14:paraId="7B69066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900-099-S64</w:t>
                  </w:r>
                </w:p>
              </w:tc>
            </w:tr>
            <w:tr w14:paraId="5626D9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 w:type="pct"/>
                  <w:tcBorders>
                    <w:tl2br w:val="nil"/>
                    <w:tr2bl w:val="nil"/>
                  </w:tcBorders>
                  <w:vAlign w:val="center"/>
                </w:tcPr>
                <w:p w14:paraId="7A45CBED">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700" w:type="pct"/>
                  <w:tcBorders>
                    <w:tl2br w:val="nil"/>
                    <w:tr2bl w:val="nil"/>
                  </w:tcBorders>
                  <w:vAlign w:val="center"/>
                </w:tcPr>
                <w:p w14:paraId="62AD382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污泥</w:t>
                  </w:r>
                </w:p>
              </w:tc>
              <w:tc>
                <w:tcPr>
                  <w:tcW w:w="631" w:type="pct"/>
                  <w:tcBorders>
                    <w:tl2br w:val="nil"/>
                    <w:tr2bl w:val="nil"/>
                  </w:tcBorders>
                  <w:vAlign w:val="center"/>
                </w:tcPr>
                <w:p w14:paraId="2A4F661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440" w:type="pct"/>
                  <w:tcBorders>
                    <w:tl2br w:val="nil"/>
                    <w:tr2bl w:val="nil"/>
                  </w:tcBorders>
                  <w:vAlign w:val="center"/>
                </w:tcPr>
                <w:p w14:paraId="430B5B5D">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93" w:type="pct"/>
                  <w:tcBorders>
                    <w:tl2br w:val="nil"/>
                    <w:tr2bl w:val="nil"/>
                  </w:tcBorders>
                  <w:vAlign w:val="center"/>
                </w:tcPr>
                <w:p w14:paraId="25BCD9A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621" w:type="pct"/>
                  <w:tcBorders>
                    <w:tl2br w:val="nil"/>
                    <w:tr2bl w:val="nil"/>
                  </w:tcBorders>
                  <w:vAlign w:val="center"/>
                </w:tcPr>
                <w:p w14:paraId="58F781F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359" w:type="pct"/>
                  <w:gridSpan w:val="2"/>
                  <w:tcBorders>
                    <w:tl2br w:val="nil"/>
                    <w:tr2bl w:val="nil"/>
                  </w:tcBorders>
                  <w:vAlign w:val="center"/>
                </w:tcPr>
                <w:p w14:paraId="2A428CF8">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900-099-S64</w:t>
                  </w:r>
                </w:p>
              </w:tc>
            </w:tr>
            <w:tr w14:paraId="361E456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252" w:type="pct"/>
                  <w:tcBorders>
                    <w:tl2br w:val="nil"/>
                    <w:tr2bl w:val="nil"/>
                  </w:tcBorders>
                  <w:vAlign w:val="center"/>
                </w:tcPr>
                <w:p w14:paraId="3FAC560C">
                  <w:pPr>
                    <w:pStyle w:val="4"/>
                    <w:adjustRightInd/>
                    <w:spacing w:line="276" w:lineRule="auto"/>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700" w:type="pct"/>
                  <w:tcBorders>
                    <w:tl2br w:val="nil"/>
                    <w:tr2bl w:val="nil"/>
                  </w:tcBorders>
                  <w:vAlign w:val="center"/>
                </w:tcPr>
                <w:p w14:paraId="3081C16E">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变质、失效及过期的爆破器材</w:t>
                  </w:r>
                </w:p>
              </w:tc>
              <w:tc>
                <w:tcPr>
                  <w:tcW w:w="631" w:type="pct"/>
                  <w:tcBorders>
                    <w:tl2br w:val="nil"/>
                    <w:tr2bl w:val="nil"/>
                  </w:tcBorders>
                  <w:vAlign w:val="center"/>
                </w:tcPr>
                <w:p w14:paraId="6A4FBE30">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储存过程</w:t>
                  </w:r>
                </w:p>
              </w:tc>
              <w:tc>
                <w:tcPr>
                  <w:tcW w:w="440" w:type="pct"/>
                  <w:tcBorders>
                    <w:tl2br w:val="nil"/>
                    <w:tr2bl w:val="nil"/>
                  </w:tcBorders>
                  <w:vAlign w:val="center"/>
                </w:tcPr>
                <w:p w14:paraId="7E01431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93" w:type="pct"/>
                  <w:tcBorders>
                    <w:tl2br w:val="nil"/>
                    <w:tr2bl w:val="nil"/>
                  </w:tcBorders>
                  <w:vAlign w:val="center"/>
                </w:tcPr>
                <w:p w14:paraId="2FD6C1B3">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危险废物</w:t>
                  </w:r>
                </w:p>
              </w:tc>
              <w:tc>
                <w:tcPr>
                  <w:tcW w:w="621" w:type="pct"/>
                  <w:tcBorders>
                    <w:tl2br w:val="nil"/>
                    <w:tr2bl w:val="nil"/>
                  </w:tcBorders>
                  <w:vAlign w:val="center"/>
                </w:tcPr>
                <w:p w14:paraId="4D5919F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553" w:type="pct"/>
                  <w:tcBorders>
                    <w:right w:val="single" w:color="auto" w:sz="4" w:space="0"/>
                    <w:tl2br w:val="nil"/>
                    <w:tr2bl w:val="nil"/>
                  </w:tcBorders>
                  <w:vAlign w:val="center"/>
                </w:tcPr>
                <w:p w14:paraId="26DC86B9">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HW49</w:t>
                  </w:r>
                </w:p>
              </w:tc>
              <w:tc>
                <w:tcPr>
                  <w:tcW w:w="805" w:type="pct"/>
                  <w:tcBorders>
                    <w:left w:val="single" w:color="auto" w:sz="4" w:space="0"/>
                    <w:tl2br w:val="nil"/>
                    <w:tr2bl w:val="nil"/>
                  </w:tcBorders>
                  <w:vAlign w:val="center"/>
                </w:tcPr>
                <w:p w14:paraId="5198E58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900-999-49</w:t>
                  </w:r>
                </w:p>
              </w:tc>
            </w:tr>
          </w:tbl>
          <w:p w14:paraId="2B75507E">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4.3项目固体废物产生及处置方式</w:t>
            </w:r>
          </w:p>
          <w:p w14:paraId="4E9DA9D2">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w:t>
            </w:r>
            <w:r>
              <w:rPr>
                <w:rFonts w:hint="eastAsia" w:ascii="Times New Roman" w:hAnsi="Times New Roman" w:cs="Times New Roman"/>
                <w:b w:val="0"/>
                <w:bCs w:val="0"/>
                <w:color w:val="auto"/>
                <w:sz w:val="21"/>
                <w:szCs w:val="21"/>
                <w:lang w:val="en-US" w:eastAsia="zh-CN"/>
              </w:rPr>
              <w:t xml:space="preserve">9 </w:t>
            </w:r>
            <w:r>
              <w:rPr>
                <w:rFonts w:hint="default" w:ascii="Times New Roman" w:hAnsi="Times New Roman" w:cs="Times New Roman"/>
                <w:b w:val="0"/>
                <w:bCs w:val="0"/>
                <w:color w:val="auto"/>
                <w:sz w:val="21"/>
                <w:szCs w:val="21"/>
              </w:rPr>
              <w:t xml:space="preserve">   项目固体废物产生及处置情况表</w:t>
            </w:r>
          </w:p>
          <w:tbl>
            <w:tblPr>
              <w:tblStyle w:val="36"/>
              <w:tblW w:w="4995"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6"/>
              <w:gridCol w:w="892"/>
              <w:gridCol w:w="1257"/>
              <w:gridCol w:w="941"/>
              <w:gridCol w:w="774"/>
              <w:gridCol w:w="1547"/>
              <w:gridCol w:w="812"/>
              <w:gridCol w:w="1333"/>
            </w:tblGrid>
            <w:tr w14:paraId="746407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1188B209">
                  <w:pPr>
                    <w:pStyle w:val="97"/>
                    <w:jc w:val="center"/>
                    <w:rPr>
                      <w:rFonts w:hint="default" w:ascii="Times New Roman" w:hAnsi="Times New Roman" w:eastAsia="宋体" w:cs="Times New Roman"/>
                      <w:color w:val="auto"/>
                      <w:sz w:val="18"/>
                      <w:szCs w:val="18"/>
                    </w:rPr>
                  </w:pPr>
                  <w:bookmarkStart w:id="32" w:name="_Hlk220339226"/>
                  <w:r>
                    <w:rPr>
                      <w:rFonts w:hint="default" w:ascii="Times New Roman" w:hAnsi="Times New Roman" w:eastAsia="宋体" w:cs="Times New Roman"/>
                      <w:color w:val="auto"/>
                      <w:sz w:val="18"/>
                      <w:szCs w:val="18"/>
                    </w:rPr>
                    <w:t>序号</w:t>
                  </w:r>
                </w:p>
              </w:tc>
              <w:tc>
                <w:tcPr>
                  <w:tcW w:w="548" w:type="pct"/>
                  <w:tcBorders>
                    <w:tl2br w:val="nil"/>
                    <w:tr2bl w:val="nil"/>
                  </w:tcBorders>
                  <w:vAlign w:val="center"/>
                </w:tcPr>
                <w:p w14:paraId="4422C774">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772" w:type="pct"/>
                  <w:tcBorders>
                    <w:tl2br w:val="nil"/>
                    <w:tr2bl w:val="nil"/>
                  </w:tcBorders>
                  <w:vAlign w:val="center"/>
                </w:tcPr>
                <w:p w14:paraId="054A9239">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属性</w:t>
                  </w:r>
                </w:p>
              </w:tc>
              <w:tc>
                <w:tcPr>
                  <w:tcW w:w="578" w:type="pct"/>
                  <w:tcBorders>
                    <w:tl2br w:val="nil"/>
                    <w:tr2bl w:val="nil"/>
                  </w:tcBorders>
                  <w:vAlign w:val="center"/>
                </w:tcPr>
                <w:p w14:paraId="18D84976">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物理性状</w:t>
                  </w:r>
                </w:p>
              </w:tc>
              <w:tc>
                <w:tcPr>
                  <w:tcW w:w="475" w:type="pct"/>
                  <w:tcBorders>
                    <w:tl2br w:val="nil"/>
                    <w:tr2bl w:val="nil"/>
                  </w:tcBorders>
                  <w:vAlign w:val="center"/>
                </w:tcPr>
                <w:p w14:paraId="3C86E28C">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产生量</w:t>
                  </w:r>
                </w:p>
                <w:p w14:paraId="1DADF4EB">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951" w:type="pct"/>
                  <w:tcBorders>
                    <w:tl2br w:val="nil"/>
                    <w:tr2bl w:val="nil"/>
                  </w:tcBorders>
                  <w:vAlign w:val="center"/>
                </w:tcPr>
                <w:p w14:paraId="3599AFF7">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利用处置方式和去向</w:t>
                  </w:r>
                </w:p>
              </w:tc>
              <w:tc>
                <w:tcPr>
                  <w:tcW w:w="499" w:type="pct"/>
                  <w:tcBorders>
                    <w:tl2br w:val="nil"/>
                    <w:tr2bl w:val="nil"/>
                  </w:tcBorders>
                  <w:vAlign w:val="center"/>
                </w:tcPr>
                <w:p w14:paraId="64007357">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利用或处置量（t/a）</w:t>
                  </w:r>
                </w:p>
              </w:tc>
              <w:tc>
                <w:tcPr>
                  <w:tcW w:w="819" w:type="pct"/>
                  <w:tcBorders>
                    <w:tl2br w:val="nil"/>
                    <w:tr2bl w:val="nil"/>
                  </w:tcBorders>
                  <w:vAlign w:val="center"/>
                </w:tcPr>
                <w:p w14:paraId="0055BDEE">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环境管理要求</w:t>
                  </w:r>
                </w:p>
              </w:tc>
            </w:tr>
            <w:tr w14:paraId="69382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3C7F15F5">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1</w:t>
                  </w:r>
                </w:p>
              </w:tc>
              <w:tc>
                <w:tcPr>
                  <w:tcW w:w="548" w:type="pct"/>
                  <w:tcBorders>
                    <w:tl2br w:val="nil"/>
                    <w:tr2bl w:val="nil"/>
                  </w:tcBorders>
                  <w:vAlign w:val="center"/>
                </w:tcPr>
                <w:p w14:paraId="727A2301">
                  <w:pPr>
                    <w:pStyle w:val="4"/>
                    <w:adjustRightInd/>
                    <w:spacing w:line="276" w:lineRule="auto"/>
                    <w:ind w:firstLine="0" w:firstLineChars="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废包装材料</w:t>
                  </w:r>
                </w:p>
              </w:tc>
              <w:tc>
                <w:tcPr>
                  <w:tcW w:w="772" w:type="pct"/>
                  <w:tcBorders>
                    <w:tl2br w:val="nil"/>
                    <w:tr2bl w:val="nil"/>
                  </w:tcBorders>
                  <w:vAlign w:val="center"/>
                </w:tcPr>
                <w:p w14:paraId="529DD6BF">
                  <w:pPr>
                    <w:adjustRightInd/>
                    <w:spacing w:line="276" w:lineRule="auto"/>
                    <w:ind w:firstLine="0"/>
                    <w:jc w:val="center"/>
                    <w:rPr>
                      <w:rFonts w:hint="default" w:ascii="Times New Roman" w:hAnsi="Times New Roman" w:cs="Times New Roman"/>
                      <w:color w:val="auto"/>
                      <w:sz w:val="18"/>
                      <w:szCs w:val="18"/>
                      <w:highlight w:val="yellow"/>
                    </w:rPr>
                  </w:pPr>
                  <w:r>
                    <w:rPr>
                      <w:rFonts w:hint="eastAsia" w:ascii="Times New Roman" w:hAnsi="Times New Roman" w:cs="Times New Roman"/>
                      <w:color w:val="auto"/>
                      <w:sz w:val="18"/>
                      <w:szCs w:val="18"/>
                      <w:lang w:val="en-US" w:eastAsia="zh-CN"/>
                    </w:rPr>
                    <w:t>危险废物</w:t>
                  </w:r>
                </w:p>
              </w:tc>
              <w:tc>
                <w:tcPr>
                  <w:tcW w:w="578" w:type="pct"/>
                  <w:tcBorders>
                    <w:tl2br w:val="nil"/>
                    <w:tr2bl w:val="nil"/>
                  </w:tcBorders>
                  <w:vAlign w:val="center"/>
                </w:tcPr>
                <w:p w14:paraId="0C44411F">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475" w:type="pct"/>
                  <w:tcBorders>
                    <w:tl2br w:val="nil"/>
                    <w:tr2bl w:val="nil"/>
                  </w:tcBorders>
                  <w:vAlign w:val="center"/>
                </w:tcPr>
                <w:p w14:paraId="3182ECAC">
                  <w:pPr>
                    <w:pStyle w:val="9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0.23</w:t>
                  </w:r>
                </w:p>
              </w:tc>
              <w:tc>
                <w:tcPr>
                  <w:tcW w:w="951" w:type="pct"/>
                  <w:tcBorders>
                    <w:tl2br w:val="nil"/>
                    <w:tr2bl w:val="nil"/>
                  </w:tcBorders>
                  <w:vAlign w:val="center"/>
                </w:tcPr>
                <w:p w14:paraId="49A691E4">
                  <w:pPr>
                    <w:pStyle w:val="97"/>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可回收的外售给废品收购站，不可回收的由环卫部门处置。</w:t>
                  </w:r>
                </w:p>
              </w:tc>
              <w:tc>
                <w:tcPr>
                  <w:tcW w:w="499" w:type="pct"/>
                  <w:tcBorders>
                    <w:tl2br w:val="nil"/>
                    <w:tr2bl w:val="nil"/>
                  </w:tcBorders>
                  <w:vAlign w:val="center"/>
                </w:tcPr>
                <w:p w14:paraId="4ECEFA7F">
                  <w:pPr>
                    <w:pStyle w:val="9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0.23</w:t>
                  </w:r>
                </w:p>
              </w:tc>
              <w:tc>
                <w:tcPr>
                  <w:tcW w:w="819" w:type="pct"/>
                  <w:tcBorders>
                    <w:tl2br w:val="nil"/>
                    <w:tr2bl w:val="nil"/>
                  </w:tcBorders>
                  <w:vAlign w:val="center"/>
                </w:tcPr>
                <w:p w14:paraId="756CC7C1">
                  <w:pPr>
                    <w:pStyle w:val="97"/>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rPr>
                    <w:t>按</w:t>
                  </w:r>
                  <w:r>
                    <w:rPr>
                      <w:rFonts w:hint="eastAsia" w:ascii="Times New Roman" w:hAnsi="Times New Roman" w:eastAsia="宋体" w:cs="Times New Roman"/>
                      <w:color w:val="auto"/>
                      <w:sz w:val="18"/>
                      <w:szCs w:val="18"/>
                      <w:lang w:val="en-US" w:eastAsia="zh-CN"/>
                    </w:rPr>
                    <w:t>一般工业固废进行管理</w:t>
                  </w:r>
                </w:p>
              </w:tc>
            </w:tr>
            <w:tr w14:paraId="5C9456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082A9E8B">
                  <w:pPr>
                    <w:pStyle w:val="4"/>
                    <w:adjustRightInd/>
                    <w:spacing w:line="276" w:lineRule="auto"/>
                    <w:ind w:firstLine="0"/>
                    <w:jc w:val="center"/>
                    <w:rPr>
                      <w:rFonts w:hint="default" w:ascii="Times New Roman" w:hAnsi="Times New Roman" w:eastAsia="宋体" w:cs="Times New Roman"/>
                      <w:color w:val="auto"/>
                      <w:sz w:val="18"/>
                      <w:szCs w:val="18"/>
                      <w:highlight w:val="yellow"/>
                      <w:lang w:eastAsia="zh-CN"/>
                    </w:rPr>
                  </w:pPr>
                  <w:r>
                    <w:rPr>
                      <w:rFonts w:hint="eastAsia" w:ascii="Times New Roman" w:hAnsi="Times New Roman" w:cs="Times New Roman"/>
                      <w:color w:val="auto"/>
                      <w:sz w:val="18"/>
                      <w:szCs w:val="18"/>
                      <w:lang w:val="en-US" w:eastAsia="zh-CN"/>
                    </w:rPr>
                    <w:t>2</w:t>
                  </w:r>
                </w:p>
              </w:tc>
              <w:tc>
                <w:tcPr>
                  <w:tcW w:w="548" w:type="pct"/>
                  <w:tcBorders>
                    <w:tl2br w:val="nil"/>
                    <w:tr2bl w:val="nil"/>
                  </w:tcBorders>
                  <w:vAlign w:val="center"/>
                </w:tcPr>
                <w:p w14:paraId="6610EB92">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生活垃圾</w:t>
                  </w:r>
                </w:p>
              </w:tc>
              <w:tc>
                <w:tcPr>
                  <w:tcW w:w="772" w:type="pct"/>
                  <w:tcBorders>
                    <w:tl2br w:val="nil"/>
                    <w:tr2bl w:val="nil"/>
                  </w:tcBorders>
                  <w:vAlign w:val="center"/>
                </w:tcPr>
                <w:p w14:paraId="322A3F45">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生活垃圾</w:t>
                  </w:r>
                </w:p>
              </w:tc>
              <w:tc>
                <w:tcPr>
                  <w:tcW w:w="578" w:type="pct"/>
                  <w:tcBorders>
                    <w:tl2br w:val="nil"/>
                    <w:tr2bl w:val="nil"/>
                  </w:tcBorders>
                  <w:vAlign w:val="center"/>
                </w:tcPr>
                <w:p w14:paraId="19C9FDE1">
                  <w:pPr>
                    <w:spacing w:line="276" w:lineRule="auto"/>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475" w:type="pct"/>
                  <w:tcBorders>
                    <w:tl2br w:val="nil"/>
                    <w:tr2bl w:val="nil"/>
                  </w:tcBorders>
                  <w:vAlign w:val="center"/>
                </w:tcPr>
                <w:p w14:paraId="751D62F9">
                  <w:pPr>
                    <w:pStyle w:val="9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4.38</w:t>
                  </w:r>
                </w:p>
              </w:tc>
              <w:tc>
                <w:tcPr>
                  <w:tcW w:w="951" w:type="pct"/>
                  <w:tcBorders>
                    <w:tl2br w:val="nil"/>
                    <w:tr2bl w:val="nil"/>
                  </w:tcBorders>
                  <w:vAlign w:val="center"/>
                </w:tcPr>
                <w:p w14:paraId="036ADA2E">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设置可移动式垃圾桶，分类收集后统一运至环卫部门指定地点处理。</w:t>
                  </w:r>
                </w:p>
              </w:tc>
              <w:tc>
                <w:tcPr>
                  <w:tcW w:w="499" w:type="pct"/>
                  <w:tcBorders>
                    <w:tl2br w:val="nil"/>
                    <w:tr2bl w:val="nil"/>
                  </w:tcBorders>
                  <w:vAlign w:val="center"/>
                </w:tcPr>
                <w:p w14:paraId="3540C398">
                  <w:pPr>
                    <w:pStyle w:val="9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4.38</w:t>
                  </w:r>
                </w:p>
              </w:tc>
              <w:tc>
                <w:tcPr>
                  <w:tcW w:w="819" w:type="pct"/>
                  <w:tcBorders>
                    <w:tl2br w:val="nil"/>
                    <w:tr2bl w:val="nil"/>
                  </w:tcBorders>
                  <w:vAlign w:val="center"/>
                </w:tcPr>
                <w:p w14:paraId="109C707E">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设置垃圾桶收集，禁止随意丢弃</w:t>
                  </w:r>
                </w:p>
              </w:tc>
            </w:tr>
            <w:tr w14:paraId="4759CF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41BB1CB2">
                  <w:pPr>
                    <w:pStyle w:val="4"/>
                    <w:adjustRightInd/>
                    <w:spacing w:line="276" w:lineRule="auto"/>
                    <w:ind w:firstLine="0"/>
                    <w:jc w:val="center"/>
                    <w:rPr>
                      <w:rFonts w:hint="default" w:ascii="Times New Roman" w:hAnsi="Times New Roman" w:eastAsia="宋体" w:cs="Times New Roman"/>
                      <w:color w:val="auto"/>
                      <w:sz w:val="18"/>
                      <w:szCs w:val="18"/>
                      <w:highlight w:val="yellow"/>
                      <w:lang w:eastAsia="zh-CN"/>
                    </w:rPr>
                  </w:pPr>
                  <w:r>
                    <w:rPr>
                      <w:rFonts w:hint="eastAsia" w:ascii="Times New Roman" w:hAnsi="Times New Roman" w:cs="Times New Roman"/>
                      <w:color w:val="auto"/>
                      <w:sz w:val="18"/>
                      <w:szCs w:val="18"/>
                      <w:lang w:val="en-US" w:eastAsia="zh-CN"/>
                    </w:rPr>
                    <w:t>3</w:t>
                  </w:r>
                </w:p>
              </w:tc>
              <w:tc>
                <w:tcPr>
                  <w:tcW w:w="548" w:type="pct"/>
                  <w:tcBorders>
                    <w:tl2br w:val="nil"/>
                    <w:tr2bl w:val="nil"/>
                  </w:tcBorders>
                  <w:vAlign w:val="center"/>
                </w:tcPr>
                <w:p w14:paraId="4248A76A">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化粪池污泥</w:t>
                  </w:r>
                </w:p>
              </w:tc>
              <w:tc>
                <w:tcPr>
                  <w:tcW w:w="772" w:type="pct"/>
                  <w:tcBorders>
                    <w:tl2br w:val="nil"/>
                    <w:tr2bl w:val="nil"/>
                  </w:tcBorders>
                  <w:vAlign w:val="center"/>
                </w:tcPr>
                <w:p w14:paraId="784B63AC">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生活垃圾</w:t>
                  </w:r>
                </w:p>
              </w:tc>
              <w:tc>
                <w:tcPr>
                  <w:tcW w:w="578" w:type="pct"/>
                  <w:tcBorders>
                    <w:tl2br w:val="nil"/>
                    <w:tr2bl w:val="nil"/>
                  </w:tcBorders>
                  <w:vAlign w:val="center"/>
                </w:tcPr>
                <w:p w14:paraId="7F3BB956">
                  <w:pPr>
                    <w:spacing w:line="276" w:lineRule="auto"/>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475" w:type="pct"/>
                  <w:tcBorders>
                    <w:tl2br w:val="nil"/>
                    <w:tr2bl w:val="nil"/>
                  </w:tcBorders>
                  <w:vAlign w:val="center"/>
                </w:tcPr>
                <w:p w14:paraId="31422230">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w:t>
                  </w:r>
                  <w:r>
                    <w:rPr>
                      <w:rFonts w:hint="eastAsia" w:ascii="Times New Roman" w:hAnsi="Times New Roman" w:eastAsia="宋体" w:cs="Times New Roman"/>
                      <w:color w:val="auto"/>
                      <w:sz w:val="18"/>
                      <w:szCs w:val="18"/>
                      <w:lang w:val="en-US" w:eastAsia="zh-CN"/>
                    </w:rPr>
                    <w:t>053</w:t>
                  </w:r>
                </w:p>
              </w:tc>
              <w:tc>
                <w:tcPr>
                  <w:tcW w:w="951" w:type="pct"/>
                  <w:tcBorders>
                    <w:tl2br w:val="nil"/>
                    <w:tr2bl w:val="nil"/>
                  </w:tcBorders>
                  <w:vAlign w:val="center"/>
                </w:tcPr>
                <w:p w14:paraId="51264E59">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定期清掏后委托周边村民清掏后作为农肥使用。</w:t>
                  </w:r>
                </w:p>
              </w:tc>
              <w:tc>
                <w:tcPr>
                  <w:tcW w:w="499" w:type="pct"/>
                  <w:tcBorders>
                    <w:tl2br w:val="nil"/>
                    <w:tr2bl w:val="nil"/>
                  </w:tcBorders>
                  <w:vAlign w:val="center"/>
                </w:tcPr>
                <w:p w14:paraId="45988E0A">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w:t>
                  </w:r>
                  <w:r>
                    <w:rPr>
                      <w:rFonts w:hint="eastAsia" w:ascii="Times New Roman" w:hAnsi="Times New Roman" w:eastAsia="宋体" w:cs="Times New Roman"/>
                      <w:color w:val="auto"/>
                      <w:sz w:val="18"/>
                      <w:szCs w:val="18"/>
                      <w:lang w:val="en-US" w:eastAsia="zh-CN"/>
                    </w:rPr>
                    <w:t>053</w:t>
                  </w:r>
                </w:p>
              </w:tc>
              <w:tc>
                <w:tcPr>
                  <w:tcW w:w="819" w:type="pct"/>
                  <w:tcBorders>
                    <w:tl2br w:val="nil"/>
                    <w:tr2bl w:val="nil"/>
                  </w:tcBorders>
                  <w:vAlign w:val="center"/>
                </w:tcPr>
                <w:p w14:paraId="088DEA15">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妥善处置</w:t>
                  </w:r>
                </w:p>
              </w:tc>
            </w:tr>
            <w:tr w14:paraId="175127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28F6A174">
                  <w:pPr>
                    <w:pStyle w:val="4"/>
                    <w:adjustRightInd/>
                    <w:spacing w:line="276" w:lineRule="auto"/>
                    <w:ind w:firstLine="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548" w:type="pct"/>
                  <w:tcBorders>
                    <w:tl2br w:val="nil"/>
                    <w:tr2bl w:val="nil"/>
                  </w:tcBorders>
                  <w:vAlign w:val="center"/>
                </w:tcPr>
                <w:p w14:paraId="039A50B8">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变质、失效及过期的爆破器材</w:t>
                  </w:r>
                </w:p>
              </w:tc>
              <w:tc>
                <w:tcPr>
                  <w:tcW w:w="772" w:type="pct"/>
                  <w:tcBorders>
                    <w:tl2br w:val="nil"/>
                    <w:tr2bl w:val="nil"/>
                  </w:tcBorders>
                  <w:vAlign w:val="center"/>
                </w:tcPr>
                <w:p w14:paraId="6019FA9B">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危险废物</w:t>
                  </w:r>
                </w:p>
              </w:tc>
              <w:tc>
                <w:tcPr>
                  <w:tcW w:w="578" w:type="pct"/>
                  <w:tcBorders>
                    <w:tl2br w:val="nil"/>
                    <w:tr2bl w:val="nil"/>
                  </w:tcBorders>
                  <w:vAlign w:val="center"/>
                </w:tcPr>
                <w:p w14:paraId="27F4B7A6">
                  <w:pPr>
                    <w:spacing w:line="276"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固态</w:t>
                  </w:r>
                </w:p>
              </w:tc>
              <w:tc>
                <w:tcPr>
                  <w:tcW w:w="475" w:type="pct"/>
                  <w:tcBorders>
                    <w:tl2br w:val="nil"/>
                    <w:tr2bl w:val="nil"/>
                  </w:tcBorders>
                  <w:vAlign w:val="center"/>
                </w:tcPr>
                <w:p w14:paraId="0582F887">
                  <w:pPr>
                    <w:pStyle w:val="9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w:t>
                  </w:r>
                </w:p>
              </w:tc>
              <w:tc>
                <w:tcPr>
                  <w:tcW w:w="951" w:type="pct"/>
                  <w:tcBorders>
                    <w:tl2br w:val="nil"/>
                    <w:tr2bl w:val="nil"/>
                  </w:tcBorders>
                  <w:vAlign w:val="center"/>
                </w:tcPr>
                <w:p w14:paraId="5A549C0E">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经收集后上报公安机关，并在公安机关监督下由专业销毁单位处置，严禁自行处理。</w:t>
                  </w:r>
                </w:p>
              </w:tc>
              <w:tc>
                <w:tcPr>
                  <w:tcW w:w="499" w:type="pct"/>
                  <w:tcBorders>
                    <w:tl2br w:val="nil"/>
                    <w:tr2bl w:val="nil"/>
                  </w:tcBorders>
                  <w:vAlign w:val="center"/>
                </w:tcPr>
                <w:p w14:paraId="401883D7">
                  <w:pPr>
                    <w:pStyle w:val="9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w:t>
                  </w:r>
                </w:p>
              </w:tc>
              <w:tc>
                <w:tcPr>
                  <w:tcW w:w="819" w:type="pct"/>
                  <w:tcBorders>
                    <w:tl2br w:val="nil"/>
                    <w:tr2bl w:val="nil"/>
                  </w:tcBorders>
                  <w:vAlign w:val="center"/>
                </w:tcPr>
                <w:p w14:paraId="69603292">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w:t>
                  </w:r>
                  <w:r>
                    <w:rPr>
                      <w:rFonts w:hint="eastAsia" w:ascii="Times New Roman" w:hAnsi="Times New Roman" w:eastAsia="宋体" w:cs="Times New Roman"/>
                      <w:color w:val="auto"/>
                      <w:sz w:val="18"/>
                      <w:szCs w:val="18"/>
                      <w:lang w:val="en-US" w:eastAsia="zh-CN"/>
                    </w:rPr>
                    <w:t>危废进行管理</w:t>
                  </w:r>
                </w:p>
              </w:tc>
            </w:tr>
            <w:bookmarkEnd w:id="32"/>
          </w:tbl>
          <w:p w14:paraId="5B8B1FC0">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5、地下水、土壤</w:t>
            </w:r>
          </w:p>
          <w:p w14:paraId="034DE2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根据</w:t>
            </w:r>
            <w:r>
              <w:rPr>
                <w:rFonts w:hint="eastAsia" w:cs="Times New Roman"/>
                <w:color w:val="auto"/>
                <w:sz w:val="24"/>
                <w:lang w:eastAsia="zh-CN"/>
              </w:rPr>
              <w:t>《建设项目环境影响报告表编制技术指南  污染影响类（试行）》</w:t>
            </w:r>
            <w:r>
              <w:rPr>
                <w:rFonts w:hint="default" w:ascii="Times New Roman" w:hAnsi="Times New Roman" w:cs="Times New Roman"/>
                <w:color w:val="auto"/>
                <w:sz w:val="24"/>
              </w:rPr>
              <w:t>，项目地下水</w:t>
            </w:r>
            <w:r>
              <w:rPr>
                <w:rFonts w:hint="default" w:ascii="Times New Roman" w:hAnsi="Times New Roman" w:eastAsia="宋体" w:cs="Times New Roman"/>
                <w:color w:val="auto"/>
                <w:sz w:val="24"/>
              </w:rPr>
              <w:t>和土壤不开展专项评价。</w:t>
            </w:r>
          </w:p>
          <w:p w14:paraId="75E83E0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本项目为炸药和雷管贮存，不涉及炸药生产。炸药和雷管为固体，库房地面混凝土硬化，对地下水、土壤污染可能性小。对地下水和土壤污染为事故情况，即消防废水泄漏，废水渗漏污染地下水和土壤。</w:t>
            </w:r>
          </w:p>
          <w:p w14:paraId="6859FA1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本次评价采用分区防渗措施，将炸药库房地面、雷管库房地面、雨水收集沟、</w:t>
            </w:r>
            <w:r>
              <w:rPr>
                <w:rFonts w:hint="eastAsia" w:cs="Times New Roman"/>
                <w:color w:val="auto"/>
                <w:sz w:val="24"/>
                <w:lang w:val="en-US" w:eastAsia="zh-CN"/>
              </w:rPr>
              <w:t>消防</w:t>
            </w:r>
            <w:r>
              <w:rPr>
                <w:rFonts w:hint="default" w:ascii="Times New Roman" w:hAnsi="Times New Roman" w:eastAsia="宋体" w:cs="Times New Roman"/>
                <w:color w:val="auto"/>
                <w:sz w:val="24"/>
              </w:rPr>
              <w:t>事故应急池、消防器材室地面作为一般防渗区，防渗技术要求为等效黏土防渗层Mb≥1.5m，K≤1×10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cm/s，其他为简单防渗区，防渗技术要求为地面硬化。</w:t>
            </w:r>
          </w:p>
          <w:p w14:paraId="7C4FF9EE">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项目区分区防渗图详见下图：</w:t>
            </w:r>
          </w:p>
          <w:p w14:paraId="70A7CC32">
            <w:pPr>
              <w:spacing w:line="360" w:lineRule="auto"/>
              <w:rPr>
                <w:rFonts w:hint="default" w:cs="Times New Roman"/>
                <w:color w:val="auto"/>
                <w:sz w:val="24"/>
                <w:lang w:val="en-US" w:eastAsia="zh-CN"/>
              </w:rPr>
            </w:pPr>
            <w:r>
              <w:rPr>
                <w:color w:val="auto"/>
              </w:rPr>
              <w:drawing>
                <wp:inline distT="0" distB="0" distL="114300" distR="114300">
                  <wp:extent cx="5163820" cy="5464175"/>
                  <wp:effectExtent l="9525" t="9525" r="27305" b="1270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3"/>
                          <a:stretch>
                            <a:fillRect/>
                          </a:stretch>
                        </pic:blipFill>
                        <pic:spPr>
                          <a:xfrm>
                            <a:off x="0" y="0"/>
                            <a:ext cx="5163820" cy="5464175"/>
                          </a:xfrm>
                          <a:prstGeom prst="rect">
                            <a:avLst/>
                          </a:prstGeom>
                          <a:noFill/>
                          <a:ln>
                            <a:solidFill>
                              <a:schemeClr val="tx1"/>
                            </a:solidFill>
                          </a:ln>
                        </pic:spPr>
                      </pic:pic>
                    </a:graphicData>
                  </a:graphic>
                </wp:inline>
              </w:drawing>
            </w:r>
          </w:p>
          <w:p w14:paraId="42FB599D">
            <w:pPr>
              <w:spacing w:line="360" w:lineRule="auto"/>
              <w:ind w:firstLine="422" w:firstLineChars="20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Cs w:val="21"/>
                <w:highlight w:val="none"/>
              </w:rPr>
              <w:t>图4-</w:t>
            </w:r>
            <w:r>
              <w:rPr>
                <w:rFonts w:hint="eastAsia" w:cs="Times New Roman"/>
                <w:b/>
                <w:bCs/>
                <w:color w:val="auto"/>
                <w:szCs w:val="21"/>
                <w:highlight w:val="none"/>
                <w:lang w:val="en-US" w:eastAsia="zh-CN"/>
              </w:rPr>
              <w:t>4</w:t>
            </w:r>
            <w:r>
              <w:rPr>
                <w:rFonts w:hint="default" w:ascii="Times New Roman" w:hAnsi="Times New Roman" w:cs="Times New Roman"/>
                <w:b/>
                <w:bCs/>
                <w:color w:val="auto"/>
                <w:szCs w:val="21"/>
                <w:highlight w:val="none"/>
              </w:rPr>
              <w:t xml:space="preserve">  </w:t>
            </w:r>
            <w:r>
              <w:rPr>
                <w:rFonts w:hint="eastAsia" w:cs="Times New Roman"/>
                <w:b/>
                <w:bCs/>
                <w:color w:val="auto"/>
                <w:szCs w:val="21"/>
                <w:highlight w:val="none"/>
                <w:lang w:val="en-US" w:eastAsia="zh-CN"/>
              </w:rPr>
              <w:t>项目区分区防渗图</w:t>
            </w:r>
          </w:p>
          <w:p w14:paraId="4AB7E3D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本项目对可能产生土壤、地下水影响的各项途径均进行有效预防，在确保各项防渗措施得以落实，并加强维护和环境管理的前提下，可有效避免污染土壤、地下水，拟建项目对区域土壤、地下水环境影响较小。</w:t>
            </w:r>
          </w:p>
          <w:p w14:paraId="6B236BF1">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6、生态环境</w:t>
            </w:r>
          </w:p>
          <w:p w14:paraId="0D82A65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本项目营运期为炸药和雷管贮存，不涉及炸药生产，对生态影响主要为噪声对野生动物干扰、工作人员对林木破坏和捕捉野生动物。</w:t>
            </w:r>
          </w:p>
          <w:p w14:paraId="155B10D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噪声源为水泵和运输车辆，水泵设置在值班室内，建筑隔声减振，运输车辆运行时间短，总体上项目运行期间对外部声环境影响小，对野生动物干扰小。建设单位加强教育，提高人员的环保意识，严禁捕杀野生动物，若在日常运行过程中发现保护动物后应使用警示带、临时围挡隔离，避免人为干扰，记录发现时间、地点（GPS定位）并拍摄照片，及时联系当地林业主管部门进行救助或按主管部门专家远程指导进行临时保护。夜间除库区必要照明外其他区域尽量熄灯，避免灯光影响区域夜行生物。</w:t>
            </w:r>
          </w:p>
          <w:p w14:paraId="5E5CDE09">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7、环境风险</w:t>
            </w:r>
          </w:p>
          <w:p w14:paraId="2BBED656">
            <w:pPr>
              <w:pStyle w:val="4"/>
              <w:autoSpaceDE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76601A55">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此外，根据调查，建设单位委托南昌安达安全技术咨询有限公司编制完成了《安全预评价报告》，于2026年1月28日组织专家进行了评审并评审通过。</w:t>
            </w:r>
            <w:r>
              <w:rPr>
                <w:rFonts w:hint="default" w:ascii="Times New Roman" w:hAnsi="Times New Roman" w:eastAsia="宋体" w:cs="Times New Roman"/>
                <w:color w:val="auto"/>
                <w:sz w:val="24"/>
                <w:szCs w:val="24"/>
                <w:lang w:val="en-US" w:eastAsia="zh-CN"/>
              </w:rPr>
              <w:t>根据该《报告》，其结论如下：</w:t>
            </w:r>
          </w:p>
          <w:p w14:paraId="78379ABA">
            <w:pPr>
              <w:pStyle w:val="4"/>
              <w:autoSpaceDE w:val="0"/>
              <w:spacing w:line="360" w:lineRule="auto"/>
              <w:ind w:firstLine="480"/>
              <w:rPr>
                <w:rFonts w:hint="default" w:ascii="宋体" w:hAnsi="宋体" w:eastAsia="宋体" w:cs="Times New Roman"/>
                <w:b/>
                <w:bCs/>
                <w:color w:val="auto"/>
                <w:sz w:val="24"/>
                <w:szCs w:val="24"/>
                <w:lang w:val="en-US" w:eastAsia="zh-CN"/>
              </w:rPr>
            </w:pPr>
            <w:r>
              <w:rPr>
                <w:rFonts w:hint="eastAsia" w:ascii="宋体" w:hAnsi="宋体" w:eastAsia="宋体" w:cs="Times New Roman"/>
                <w:b/>
                <w:bCs/>
                <w:color w:val="auto"/>
                <w:sz w:val="24"/>
                <w:szCs w:val="24"/>
                <w:lang w:val="en-US" w:eastAsia="zh-CN"/>
              </w:rPr>
              <w:t>（1）</w:t>
            </w:r>
            <w:r>
              <w:rPr>
                <w:rFonts w:hint="default" w:ascii="宋体" w:hAnsi="宋体" w:eastAsia="宋体" w:cs="Times New Roman"/>
                <w:b/>
                <w:bCs/>
                <w:color w:val="auto"/>
                <w:sz w:val="24"/>
                <w:szCs w:val="24"/>
                <w:lang w:val="en-US" w:eastAsia="zh-CN"/>
              </w:rPr>
              <w:t>危险有害因素辨识</w:t>
            </w:r>
          </w:p>
          <w:p w14:paraId="7D2F043F">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生产过程危险和有害因素分类与代码》（GB/T13861-2022）、《小型民用爆炸物品储存库安全规范》（GA838-2009）、《民用爆炸物品安全设计工程标准》（GB50089-2018）、《爆破安全规程》（GB6722-2014/XG1-2016）、《建筑设计防火规范》（GB50016-2014（2018版））等有关规定，本项目在储存过程中主要危险、有害因素为：火灾、爆炸。</w:t>
            </w:r>
          </w:p>
          <w:p w14:paraId="2DE2AE17">
            <w:pPr>
              <w:pStyle w:val="4"/>
              <w:autoSpaceDE w:val="0"/>
              <w:spacing w:line="360" w:lineRule="auto"/>
              <w:ind w:firstLine="480"/>
              <w:rPr>
                <w:rFonts w:hint="default" w:ascii="宋体" w:hAnsi="宋体" w:eastAsia="宋体" w:cs="Times New Roman"/>
                <w:b/>
                <w:bCs/>
                <w:color w:val="auto"/>
                <w:sz w:val="24"/>
                <w:szCs w:val="24"/>
                <w:lang w:val="en-US" w:eastAsia="zh-CN"/>
              </w:rPr>
            </w:pPr>
            <w:r>
              <w:rPr>
                <w:rFonts w:hint="eastAsia" w:ascii="宋体" w:hAnsi="宋体" w:eastAsia="宋体" w:cs="Times New Roman"/>
                <w:b/>
                <w:bCs/>
                <w:color w:val="auto"/>
                <w:sz w:val="24"/>
                <w:szCs w:val="24"/>
                <w:lang w:val="en-US" w:eastAsia="zh-CN"/>
              </w:rPr>
              <w:t>（2）</w:t>
            </w:r>
            <w:r>
              <w:rPr>
                <w:rFonts w:hint="default" w:ascii="宋体" w:hAnsi="宋体" w:eastAsia="宋体" w:cs="Times New Roman"/>
                <w:b/>
                <w:bCs/>
                <w:color w:val="auto"/>
                <w:sz w:val="24"/>
                <w:szCs w:val="24"/>
                <w:lang w:val="en-US" w:eastAsia="zh-CN"/>
              </w:rPr>
              <w:t>民用爆炸物品重大危险源辨识</w:t>
            </w:r>
          </w:p>
          <w:p w14:paraId="25C2D10F">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按照《民用爆炸物品重大危险源辨识》（WJ/T9093-2018）进行辨识，本项目101炸药库、102炸药库、103炸药库（联建导爆索存放间）、104雷管库（联建雷管发放间）均未构成重大危险源。</w:t>
            </w:r>
          </w:p>
          <w:p w14:paraId="30F8F31F">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从作业条件危险性分析结果可以看出，该工程的作业条件相对比较安全，在选定的101炸药库、102炸药库、103炸药库（联建导爆索存放间）、104雷管库（联建雷管发放间）等4个单元中均为“可能危险，需要注意”，作业条件相对安全。</w:t>
            </w:r>
          </w:p>
          <w:p w14:paraId="135BEF0C">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由爆炸冲击波伤害破坏模型法可知：103炸药库储存药量更大，一旦发生爆炸事故，对人的伤害程度以及对建筑物的破坏程度更为严重，若炸药库发生爆炸事故：人员伤害死亡半径50.33m，重伤半径50.33m~69.69m，中等伤害半径69.69m～89.83m，轻伤半径89.83m～113.06m；建筑物完全破坏半径57.30m，严重破坏半径57.30m～69.69m，次严重破坏半径69.69m～77.44m，中度破坏半径77.44m～102.22m，轻度破坏半径102.22m~170.36m，次轻度破坏半径170.36m~433.65m。</w:t>
            </w:r>
          </w:p>
          <w:p w14:paraId="497C2AEC">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从定性、定量分析评价结果可以看出项目选址符合国家规划，建筑物间的内部安全距离符合《小型民用爆炸物品储存库安全规范》（GA838-2009）的要求。</w:t>
            </w:r>
          </w:p>
          <w:p w14:paraId="4851E0C9">
            <w:pPr>
              <w:pStyle w:val="4"/>
              <w:autoSpaceDE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（6）评价结论</w:t>
            </w:r>
          </w:p>
          <w:p w14:paraId="56353F84">
            <w:pPr>
              <w:pStyle w:val="4"/>
              <w:autoSpaceDE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南涟邵建设工程（集团）有限责任公司新平分公司云南省玉溪大红山矿业湖南涟邵建设工程（集团）有限责任公司拟选址于云南省玉溪市新平县戛洒镇米尺莫村的民用爆炸物品储存库：3座工业炸药库【101炸药库、102炸药库，均为地面库，设计最大计算药量均为5000kg；103炸药库（联建导爆索存放间），地面库，设计最大计算药量为5000kg（含20000m导爆索）】，1座工业雷管库（104雷管库，地面库，设计最大计算药量为20000发/20kg，联建雷管发放间）在以后的施工图设计和建设施工、安装调试及生产运行中，如能严格执行国家有关安全生产</w:t>
            </w:r>
            <w:r>
              <w:rPr>
                <w:rFonts w:hint="eastAsia" w:ascii="Times New Roman" w:hAnsi="Times New Roman" w:cs="Times New Roman"/>
                <w:color w:val="auto"/>
                <w:sz w:val="24"/>
                <w:szCs w:val="24"/>
                <w:lang w:val="en-US" w:eastAsia="zh-CN"/>
              </w:rPr>
              <w:t>法律法规</w:t>
            </w:r>
            <w:r>
              <w:rPr>
                <w:rFonts w:hint="default" w:ascii="Times New Roman" w:hAnsi="Times New Roman" w:eastAsia="宋体" w:cs="Times New Roman"/>
                <w:color w:val="auto"/>
                <w:sz w:val="24"/>
                <w:szCs w:val="24"/>
                <w:lang w:val="en-US" w:eastAsia="zh-CN"/>
              </w:rPr>
              <w:t>和有关标准、规范，认真落实本报告书中所提出的各项安全对策措施及建议，真正做到安全设施与主体工程“同时设计、同时施工、同时投入生产和使用”，工程的危险、有害因素可得到有效控制，风险在可接受范围内，具有一定的本质安全水平，本拟建项目从安全方面分析可行。</w:t>
            </w:r>
          </w:p>
          <w:p w14:paraId="53317DA1">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7.1风险调查</w:t>
            </w:r>
          </w:p>
          <w:p w14:paraId="2CAD61E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附录B重点关注的危险物质及临界量表，本项目风险物质分别储存在炸药库、雷管库，且本项目为民用爆炸物品地面存储库项目，正常运行情况下基本不会产生环境风险物质，但是如果库区因安全风险防控措施落实不到位可能会引发安全事故，火灾爆炸产生环境风险物质CO、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等污染物影响大气环境，但是由于持续时间较短，也不会对大气环境造成较大的环境污染。</w:t>
            </w:r>
          </w:p>
          <w:p w14:paraId="1291C1A6">
            <w:pPr>
              <w:adjustRightInd w:val="0"/>
              <w:snapToGrid w:val="0"/>
              <w:spacing w:line="360" w:lineRule="auto"/>
              <w:rPr>
                <w:rFonts w:hint="default" w:ascii="Times New Roman" w:hAnsi="Times New Roman" w:cs="Times New Roman"/>
                <w:b/>
                <w:bCs/>
                <w:color w:val="auto"/>
                <w:sz w:val="24"/>
              </w:rPr>
            </w:pPr>
            <w:r>
              <w:rPr>
                <w:rFonts w:hint="eastAsia" w:cs="Times New Roman"/>
                <w:b/>
                <w:bCs/>
                <w:color w:val="auto"/>
                <w:sz w:val="24"/>
                <w:lang w:val="en-US" w:eastAsia="zh-CN"/>
              </w:rPr>
              <w:t>7.2</w:t>
            </w:r>
            <w:r>
              <w:rPr>
                <w:rFonts w:hint="default" w:ascii="Times New Roman" w:hAnsi="Times New Roman" w:cs="Times New Roman"/>
                <w:b/>
                <w:bCs/>
                <w:color w:val="auto"/>
                <w:sz w:val="24"/>
              </w:rPr>
              <w:t>环境风险评价等级</w:t>
            </w:r>
          </w:p>
          <w:p w14:paraId="7CBEB1E7">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（1）环境风险潜势划分</w:t>
            </w:r>
          </w:p>
          <w:p w14:paraId="3ABBD864">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根据《建设项目环境风险评价技术导则》（HJ169-2018）环境风险潜势划分为Ⅰ、Ⅱ、Ⅲ、Ⅳ/Ⅳ</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级。环境风险潜势划分依据下表划分。</w:t>
            </w:r>
          </w:p>
          <w:p w14:paraId="53693657">
            <w:pPr>
              <w:pStyle w:val="115"/>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w:t>
            </w:r>
            <w:r>
              <w:rPr>
                <w:rFonts w:hint="eastAsia"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 xml:space="preserve">   建设项目环境风险潜势划分表</w:t>
            </w:r>
          </w:p>
          <w:tbl>
            <w:tblPr>
              <w:tblStyle w:val="36"/>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453"/>
              <w:gridCol w:w="1523"/>
              <w:gridCol w:w="1445"/>
              <w:gridCol w:w="1517"/>
            </w:tblGrid>
            <w:tr w14:paraId="14F2B9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1" w:type="pct"/>
                  <w:vMerge w:val="restart"/>
                  <w:tcBorders>
                    <w:tl2br w:val="nil"/>
                    <w:tr2bl w:val="nil"/>
                  </w:tcBorders>
                  <w:vAlign w:val="center"/>
                </w:tcPr>
                <w:p w14:paraId="0656826C">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环境敏感程度（E）</w:t>
                  </w:r>
                </w:p>
              </w:tc>
              <w:tc>
                <w:tcPr>
                  <w:tcW w:w="3648" w:type="pct"/>
                  <w:gridSpan w:val="4"/>
                  <w:tcBorders>
                    <w:tl2br w:val="nil"/>
                    <w:tr2bl w:val="nil"/>
                  </w:tcBorders>
                  <w:vAlign w:val="center"/>
                </w:tcPr>
                <w:p w14:paraId="3FD62268">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危险物质及工艺系统危险性（P）</w:t>
                  </w:r>
                </w:p>
              </w:tc>
            </w:tr>
            <w:tr w14:paraId="73040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1" w:type="pct"/>
                  <w:vMerge w:val="continue"/>
                  <w:tcBorders>
                    <w:tl2br w:val="nil"/>
                    <w:tr2bl w:val="nil"/>
                  </w:tcBorders>
                  <w:vAlign w:val="center"/>
                </w:tcPr>
                <w:p w14:paraId="3ED4E577">
                  <w:pPr>
                    <w:pStyle w:val="18"/>
                    <w:adjustRightInd w:val="0"/>
                    <w:snapToGrid w:val="0"/>
                    <w:spacing w:line="240" w:lineRule="auto"/>
                    <w:ind w:left="67" w:firstLine="360"/>
                    <w:jc w:val="center"/>
                    <w:rPr>
                      <w:rFonts w:hint="default" w:ascii="Times New Roman" w:hAnsi="Times New Roman" w:cs="Times New Roman"/>
                      <w:color w:val="auto"/>
                      <w:sz w:val="18"/>
                      <w:szCs w:val="18"/>
                    </w:rPr>
                  </w:pPr>
                </w:p>
              </w:tc>
              <w:tc>
                <w:tcPr>
                  <w:tcW w:w="893" w:type="pct"/>
                  <w:tcBorders>
                    <w:tl2br w:val="nil"/>
                    <w:tr2bl w:val="nil"/>
                  </w:tcBorders>
                  <w:vAlign w:val="center"/>
                </w:tcPr>
                <w:p w14:paraId="0873CA9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极高危害（P1）</w:t>
                  </w:r>
                </w:p>
              </w:tc>
              <w:tc>
                <w:tcPr>
                  <w:tcW w:w="936" w:type="pct"/>
                  <w:tcBorders>
                    <w:tl2br w:val="nil"/>
                    <w:tr2bl w:val="nil"/>
                  </w:tcBorders>
                  <w:vAlign w:val="center"/>
                </w:tcPr>
                <w:p w14:paraId="5D2EE953">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高度危害（P2）</w:t>
                  </w:r>
                </w:p>
              </w:tc>
              <w:tc>
                <w:tcPr>
                  <w:tcW w:w="888" w:type="pct"/>
                  <w:tcBorders>
                    <w:tl2br w:val="nil"/>
                    <w:tr2bl w:val="nil"/>
                  </w:tcBorders>
                  <w:vAlign w:val="center"/>
                </w:tcPr>
                <w:p w14:paraId="6BBA0E6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中度危害（P3）</w:t>
                  </w:r>
                </w:p>
              </w:tc>
              <w:tc>
                <w:tcPr>
                  <w:tcW w:w="931" w:type="pct"/>
                  <w:tcBorders>
                    <w:tl2br w:val="nil"/>
                    <w:tr2bl w:val="nil"/>
                  </w:tcBorders>
                  <w:vAlign w:val="center"/>
                </w:tcPr>
                <w:p w14:paraId="5BC6C1C2">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轻度危害（P4）</w:t>
                  </w:r>
                </w:p>
              </w:tc>
            </w:tr>
            <w:tr w14:paraId="465B8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1" w:type="pct"/>
                  <w:tcBorders>
                    <w:tl2br w:val="nil"/>
                    <w:tr2bl w:val="nil"/>
                  </w:tcBorders>
                  <w:vAlign w:val="center"/>
                </w:tcPr>
                <w:p w14:paraId="7CC97B63">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环境高度敏感区（E1）</w:t>
                  </w:r>
                </w:p>
              </w:tc>
              <w:tc>
                <w:tcPr>
                  <w:tcW w:w="893" w:type="pct"/>
                  <w:tcBorders>
                    <w:tl2br w:val="nil"/>
                    <w:tr2bl w:val="nil"/>
                  </w:tcBorders>
                  <w:vAlign w:val="center"/>
                </w:tcPr>
                <w:p w14:paraId="588F8790">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936" w:type="pct"/>
                  <w:tcBorders>
                    <w:tl2br w:val="nil"/>
                    <w:tr2bl w:val="nil"/>
                  </w:tcBorders>
                  <w:vAlign w:val="center"/>
                </w:tcPr>
                <w:p w14:paraId="1550903B">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888" w:type="pct"/>
                  <w:tcBorders>
                    <w:tl2br w:val="nil"/>
                    <w:tr2bl w:val="nil"/>
                  </w:tcBorders>
                  <w:vAlign w:val="center"/>
                </w:tcPr>
                <w:p w14:paraId="4EB9F70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931" w:type="pct"/>
                  <w:tcBorders>
                    <w:tl2br w:val="nil"/>
                    <w:tr2bl w:val="nil"/>
                  </w:tcBorders>
                  <w:vAlign w:val="center"/>
                </w:tcPr>
                <w:p w14:paraId="4F45DDD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14:paraId="43B7A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1" w:type="pct"/>
                  <w:tcBorders>
                    <w:tl2br w:val="nil"/>
                    <w:tr2bl w:val="nil"/>
                  </w:tcBorders>
                  <w:vAlign w:val="center"/>
                </w:tcPr>
                <w:p w14:paraId="41A90630">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环境中度敏感区（E2）</w:t>
                  </w:r>
                </w:p>
              </w:tc>
              <w:tc>
                <w:tcPr>
                  <w:tcW w:w="893" w:type="pct"/>
                  <w:tcBorders>
                    <w:tl2br w:val="nil"/>
                    <w:tr2bl w:val="nil"/>
                  </w:tcBorders>
                  <w:vAlign w:val="center"/>
                </w:tcPr>
                <w:p w14:paraId="0C5F414C">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936" w:type="pct"/>
                  <w:tcBorders>
                    <w:tl2br w:val="nil"/>
                    <w:tr2bl w:val="nil"/>
                  </w:tcBorders>
                  <w:vAlign w:val="center"/>
                </w:tcPr>
                <w:p w14:paraId="3D58BCA1">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888" w:type="pct"/>
                  <w:tcBorders>
                    <w:tl2br w:val="nil"/>
                    <w:tr2bl w:val="nil"/>
                  </w:tcBorders>
                  <w:vAlign w:val="center"/>
                </w:tcPr>
                <w:p w14:paraId="104932ED">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931" w:type="pct"/>
                  <w:tcBorders>
                    <w:tl2br w:val="nil"/>
                    <w:tr2bl w:val="nil"/>
                  </w:tcBorders>
                  <w:vAlign w:val="center"/>
                </w:tcPr>
                <w:p w14:paraId="633357AE">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14:paraId="78AE61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1" w:type="pct"/>
                  <w:tcBorders>
                    <w:tl2br w:val="nil"/>
                    <w:tr2bl w:val="nil"/>
                  </w:tcBorders>
                  <w:vAlign w:val="center"/>
                </w:tcPr>
                <w:p w14:paraId="779416B9">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环境低度敏感区（E3）</w:t>
                  </w:r>
                </w:p>
              </w:tc>
              <w:tc>
                <w:tcPr>
                  <w:tcW w:w="893" w:type="pct"/>
                  <w:tcBorders>
                    <w:tl2br w:val="nil"/>
                    <w:tr2bl w:val="nil"/>
                  </w:tcBorders>
                  <w:vAlign w:val="center"/>
                </w:tcPr>
                <w:p w14:paraId="0738A0B6">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936" w:type="pct"/>
                  <w:tcBorders>
                    <w:tl2br w:val="nil"/>
                    <w:tr2bl w:val="nil"/>
                  </w:tcBorders>
                  <w:vAlign w:val="center"/>
                </w:tcPr>
                <w:p w14:paraId="227A1001">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888" w:type="pct"/>
                  <w:tcBorders>
                    <w:tl2br w:val="nil"/>
                    <w:tr2bl w:val="nil"/>
                  </w:tcBorders>
                  <w:vAlign w:val="center"/>
                </w:tcPr>
                <w:p w14:paraId="3FC4BE7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c>
                <w:tcPr>
                  <w:tcW w:w="931" w:type="pct"/>
                  <w:tcBorders>
                    <w:tl2br w:val="nil"/>
                    <w:tr2bl w:val="nil"/>
                  </w:tcBorders>
                  <w:vAlign w:val="center"/>
                </w:tcPr>
                <w:p w14:paraId="79CAEB36">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w:t>
                  </w:r>
                </w:p>
              </w:tc>
            </w:tr>
            <w:tr w14:paraId="3D5FD2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14:paraId="54E3AC8F">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注：Ⅳ</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rPr>
                    <w:t>极高环境风险</w:t>
                  </w:r>
                </w:p>
              </w:tc>
            </w:tr>
          </w:tbl>
          <w:p w14:paraId="2025D431">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（2）危险物质及工艺系统危险性（P）分级</w:t>
            </w:r>
          </w:p>
          <w:p w14:paraId="664A229B">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危险物质数量与临界量的比值（Q）判定</w:t>
            </w:r>
          </w:p>
          <w:p w14:paraId="73179029">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当只涉及一种危险物质时，计算该物质的总量与其临界量比值，即为Q。</w:t>
            </w:r>
          </w:p>
          <w:p w14:paraId="66238A7C">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当存在多种危险物质时，按照下列公式计算物质总量与临界量比值（Q）</w:t>
            </w:r>
            <w:r>
              <w:rPr>
                <w:rFonts w:hint="eastAsia" w:ascii="Times New Roman" w:hAnsi="Times New Roman" w:eastAsia="宋体" w:cs="Times New Roman"/>
                <w:color w:val="auto"/>
                <w:sz w:val="24"/>
                <w:lang w:eastAsia="zh-CN"/>
              </w:rPr>
              <w:t>：</w:t>
            </w:r>
          </w:p>
          <w:p w14:paraId="7A195DBD">
            <w:pPr>
              <w:pStyle w:val="35"/>
              <w:spacing w:after="0"/>
              <w:ind w:left="0" w:leftChars="0" w:firstLine="480"/>
              <w:jc w:val="center"/>
              <w:rPr>
                <w:b w:val="0"/>
                <w:bCs w:val="0"/>
                <w:color w:val="auto"/>
                <w:highlight w:val="none"/>
              </w:rPr>
            </w:pPr>
            <w:r>
              <w:rPr>
                <w:b w:val="0"/>
                <w:bCs w:val="0"/>
                <w:color w:val="auto"/>
                <w:highlight w:val="none"/>
              </w:rPr>
              <w:t>Q=q1/Q1+q2/Q2+…+qn/Qn</w:t>
            </w:r>
          </w:p>
          <w:p w14:paraId="3FF3E0EB">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式中：</w:t>
            </w:r>
          </w:p>
          <w:p w14:paraId="4858839C">
            <w:pPr>
              <w:autoSpaceDE w:val="0"/>
              <w:autoSpaceDN w:val="0"/>
              <w:adjustRightInd w:val="0"/>
              <w:snapToGrid w:val="0"/>
              <w:spacing w:line="360" w:lineRule="auto"/>
              <w:ind w:firstLine="960" w:firstLineChars="4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q1,q2…，qn—每种危险物质的最大存在总量，t；</w:t>
            </w:r>
          </w:p>
          <w:p w14:paraId="412BE0B3">
            <w:pPr>
              <w:autoSpaceDE w:val="0"/>
              <w:autoSpaceDN w:val="0"/>
              <w:adjustRightInd w:val="0"/>
              <w:snapToGrid w:val="0"/>
              <w:spacing w:line="360" w:lineRule="auto"/>
              <w:ind w:firstLine="960" w:firstLineChars="4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Q1,Q2…，Qn—每种危险物质的临界量，t。</w:t>
            </w:r>
          </w:p>
          <w:p w14:paraId="4C9322C9">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当Q＜1时，该项目环境风险潜势为I。</w:t>
            </w:r>
          </w:p>
          <w:p w14:paraId="5D2F7257">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当Q≥1时，将Q值划分为：（1）1≤Q＜10；（2）10≤Q＜100；（3）Q≥100。</w:t>
            </w:r>
          </w:p>
          <w:p w14:paraId="2C146DEF">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本项目涉及的主要风险物质为炸药和雷管，具有爆炸性。厂内设置</w:t>
            </w:r>
            <w:r>
              <w:rPr>
                <w:rFonts w:hint="eastAsia" w:ascii="Times New Roman" w:hAnsi="Times New Roman" w:eastAsia="宋体" w:cs="Times New Roman"/>
                <w:color w:val="auto"/>
                <w:sz w:val="24"/>
                <w:highlight w:val="none"/>
                <w:lang w:val="en-US" w:eastAsia="zh-CN"/>
              </w:rPr>
              <w:t>3座炸药库，1座雷管库，101炸药库内炸药最大存储量为5t</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102炸药库内炸药最大存储量为5t</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103炸药库内炸药最大存储量为5t</w:t>
            </w:r>
            <w:r>
              <w:rPr>
                <w:rFonts w:hint="eastAsia" w:ascii="Times New Roman" w:hAnsi="Times New Roman" w:eastAsia="宋体" w:cs="Times New Roman"/>
                <w:color w:val="auto"/>
                <w:sz w:val="24"/>
                <w:highlight w:val="none"/>
                <w:lang w:eastAsia="zh-CN"/>
              </w:rPr>
              <w:t>，炸药主要成分为硝酸铵，按风险最不利考虑，</w:t>
            </w:r>
            <w:r>
              <w:rPr>
                <w:rFonts w:hint="eastAsia" w:ascii="Times New Roman" w:hAnsi="Times New Roman" w:eastAsia="宋体" w:cs="Times New Roman"/>
                <w:color w:val="auto"/>
                <w:sz w:val="24"/>
                <w:highlight w:val="none"/>
                <w:lang w:val="en-US" w:eastAsia="zh-CN"/>
              </w:rPr>
              <w:t>q值全部按硝酸铵统计。</w:t>
            </w:r>
            <w:r>
              <w:rPr>
                <w:rFonts w:hint="eastAsia" w:ascii="Times New Roman" w:hAnsi="Times New Roman" w:eastAsia="宋体" w:cs="Times New Roman"/>
                <w:color w:val="auto"/>
                <w:sz w:val="24"/>
                <w:highlight w:val="none"/>
                <w:lang w:eastAsia="zh-CN"/>
              </w:rPr>
              <w:t>工业雷管库最大炸药储量为</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万发（折算为0.</w:t>
            </w:r>
            <w:r>
              <w:rPr>
                <w:rFonts w:hint="eastAsia" w:ascii="Times New Roman" w:hAnsi="Times New Roman" w:eastAsia="宋体" w:cs="Times New Roman"/>
                <w:color w:val="auto"/>
                <w:sz w:val="24"/>
                <w:highlight w:val="none"/>
                <w:lang w:val="en-US" w:eastAsia="zh-CN"/>
              </w:rPr>
              <w:t>02</w:t>
            </w:r>
            <w:r>
              <w:rPr>
                <w:rFonts w:hint="eastAsia" w:ascii="Times New Roman" w:hAnsi="Times New Roman" w:eastAsia="宋体" w:cs="Times New Roman"/>
                <w:color w:val="auto"/>
                <w:sz w:val="24"/>
                <w:highlight w:val="none"/>
                <w:lang w:eastAsia="zh-CN"/>
              </w:rPr>
              <w:t>t硝酸铵），临界量取用《建设项目环境风险评价技术导则》（HJ169-2018）附录B中硝酸铵的临界值。</w:t>
            </w:r>
          </w:p>
          <w:p w14:paraId="665A7AB1">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本项目危险物质数量与临界量的比值</w:t>
            </w:r>
            <w:r>
              <w:rPr>
                <w:rFonts w:hint="eastAsia" w:ascii="Times New Roman" w:hAnsi="Times New Roman" w:eastAsia="宋体" w:cs="Times New Roman"/>
                <w:color w:val="auto"/>
                <w:sz w:val="24"/>
                <w:highlight w:val="none"/>
                <w:lang w:val="en-US" w:eastAsia="zh-CN"/>
              </w:rPr>
              <w:t>Q见下表</w:t>
            </w:r>
            <w:r>
              <w:rPr>
                <w:rFonts w:hint="eastAsia" w:ascii="Times New Roman" w:hAnsi="Times New Roman" w:eastAsia="宋体" w:cs="Times New Roman"/>
                <w:color w:val="auto"/>
                <w:sz w:val="24"/>
                <w:highlight w:val="none"/>
                <w:lang w:eastAsia="zh-CN"/>
              </w:rPr>
              <w:t>。</w:t>
            </w:r>
          </w:p>
          <w:p w14:paraId="42F3ED21">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rPr>
              <w:t>表4-</w:t>
            </w:r>
            <w:r>
              <w:rPr>
                <w:rFonts w:hint="eastAsia" w:ascii="Times New Roman" w:hAnsi="Times New Roman" w:eastAsia="黑体" w:cs="Times New Roman"/>
                <w:color w:val="auto"/>
                <w:sz w:val="21"/>
                <w:szCs w:val="21"/>
                <w:lang w:val="en-US" w:eastAsia="zh-CN"/>
              </w:rPr>
              <w:t>11</w:t>
            </w:r>
            <w:r>
              <w:rPr>
                <w:rFonts w:hint="eastAsia" w:ascii="Times New Roman" w:hAnsi="Times New Roman" w:eastAsia="黑体" w:cs="Times New Roman"/>
                <w:color w:val="auto"/>
                <w:sz w:val="21"/>
                <w:szCs w:val="21"/>
              </w:rPr>
              <w:t xml:space="preserve"> </w:t>
            </w:r>
            <w:r>
              <w:rPr>
                <w:rFonts w:hint="eastAsia" w:ascii="Times New Roman" w:hAnsi="Times New Roman" w:eastAsia="黑体" w:cs="Times New Roman"/>
                <w:color w:val="auto"/>
                <w:sz w:val="21"/>
                <w:szCs w:val="21"/>
                <w:lang w:val="en-US" w:eastAsia="zh-CN"/>
              </w:rPr>
              <w:t xml:space="preserve"> </w:t>
            </w:r>
            <w:r>
              <w:rPr>
                <w:rFonts w:hint="eastAsia" w:ascii="Times New Roman" w:hAnsi="Times New Roman" w:eastAsia="黑体" w:cs="Times New Roman"/>
                <w:color w:val="auto"/>
                <w:sz w:val="21"/>
                <w:szCs w:val="21"/>
              </w:rPr>
              <w:t xml:space="preserve"> 风险物质和其临界量统计表   单位：t/a</w:t>
            </w:r>
          </w:p>
          <w:tbl>
            <w:tblPr>
              <w:tblStyle w:val="36"/>
              <w:tblW w:w="49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63"/>
              <w:gridCol w:w="1399"/>
              <w:gridCol w:w="1723"/>
              <w:gridCol w:w="1196"/>
              <w:gridCol w:w="1460"/>
            </w:tblGrid>
            <w:tr w14:paraId="61DE7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op w:val="single" w:color="auto" w:sz="4" w:space="0"/>
                  </w:tcBorders>
                  <w:noWrap w:val="0"/>
                  <w:vAlign w:val="center"/>
                </w:tcPr>
                <w:p w14:paraId="118DEF98">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序号</w:t>
                  </w:r>
                </w:p>
              </w:tc>
              <w:tc>
                <w:tcPr>
                  <w:tcW w:w="970" w:type="pct"/>
                  <w:tcBorders>
                    <w:top w:val="single" w:color="auto" w:sz="4" w:space="0"/>
                  </w:tcBorders>
                  <w:noWrap w:val="0"/>
                  <w:vAlign w:val="center"/>
                </w:tcPr>
                <w:p w14:paraId="6DC3ED45">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名称</w:t>
                  </w:r>
                </w:p>
              </w:tc>
              <w:tc>
                <w:tcPr>
                  <w:tcW w:w="868" w:type="pct"/>
                  <w:tcBorders>
                    <w:top w:val="single" w:color="auto" w:sz="4" w:space="0"/>
                  </w:tcBorders>
                  <w:noWrap w:val="0"/>
                  <w:vAlign w:val="center"/>
                </w:tcPr>
                <w:p w14:paraId="55638B49">
                  <w:pPr>
                    <w:pStyle w:val="18"/>
                    <w:adjustRightInd w:val="0"/>
                    <w:snapToGrid w:val="0"/>
                    <w:spacing w:line="240" w:lineRule="auto"/>
                    <w:ind w:left="67"/>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CAS</w:t>
                  </w:r>
                </w:p>
              </w:tc>
              <w:tc>
                <w:tcPr>
                  <w:tcW w:w="1069" w:type="pct"/>
                  <w:tcBorders>
                    <w:top w:val="single" w:color="auto" w:sz="4" w:space="0"/>
                  </w:tcBorders>
                  <w:noWrap w:val="0"/>
                  <w:vAlign w:val="center"/>
                </w:tcPr>
                <w:p w14:paraId="410D0B54">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储存量</w:t>
                  </w:r>
                </w:p>
              </w:tc>
              <w:tc>
                <w:tcPr>
                  <w:tcW w:w="741" w:type="pct"/>
                  <w:tcBorders>
                    <w:top w:val="single" w:color="auto" w:sz="4" w:space="0"/>
                  </w:tcBorders>
                  <w:noWrap w:val="0"/>
                  <w:vAlign w:val="center"/>
                </w:tcPr>
                <w:p w14:paraId="6AA6C52A">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临界量</w:t>
                  </w:r>
                </w:p>
              </w:tc>
              <w:tc>
                <w:tcPr>
                  <w:tcW w:w="906" w:type="pct"/>
                  <w:tcBorders>
                    <w:top w:val="single" w:color="auto" w:sz="4" w:space="0"/>
                    <w:right w:val="nil"/>
                  </w:tcBorders>
                  <w:noWrap w:val="0"/>
                  <w:vAlign w:val="center"/>
                </w:tcPr>
                <w:p w14:paraId="2AF8072F">
                  <w:pPr>
                    <w:pStyle w:val="18"/>
                    <w:adjustRightInd w:val="0"/>
                    <w:snapToGrid w:val="0"/>
                    <w:spacing w:line="240" w:lineRule="auto"/>
                    <w:ind w:left="67"/>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q</w:t>
                  </w:r>
                </w:p>
              </w:tc>
            </w:tr>
            <w:tr w14:paraId="64F6D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left w:val="nil"/>
                  </w:tcBorders>
                  <w:noWrap w:val="0"/>
                  <w:vAlign w:val="center"/>
                </w:tcPr>
                <w:p w14:paraId="1AC42038">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w:t>
                  </w:r>
                </w:p>
              </w:tc>
              <w:tc>
                <w:tcPr>
                  <w:tcW w:w="970" w:type="pct"/>
                  <w:noWrap w:val="0"/>
                  <w:vAlign w:val="center"/>
                </w:tcPr>
                <w:p w14:paraId="6249D93A">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炸药</w:t>
                  </w:r>
                </w:p>
              </w:tc>
              <w:tc>
                <w:tcPr>
                  <w:tcW w:w="868" w:type="pct"/>
                  <w:noWrap w:val="0"/>
                  <w:vAlign w:val="center"/>
                </w:tcPr>
                <w:p w14:paraId="55BD526F">
                  <w:pPr>
                    <w:pStyle w:val="18"/>
                    <w:adjustRightInd w:val="0"/>
                    <w:snapToGrid w:val="0"/>
                    <w:spacing w:line="240" w:lineRule="auto"/>
                    <w:ind w:left="67"/>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6484-52-2</w:t>
                  </w:r>
                </w:p>
              </w:tc>
              <w:tc>
                <w:tcPr>
                  <w:tcW w:w="1069" w:type="pct"/>
                  <w:noWrap w:val="0"/>
                  <w:vAlign w:val="center"/>
                </w:tcPr>
                <w:p w14:paraId="466C1EB3">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741" w:type="pct"/>
                  <w:noWrap w:val="0"/>
                  <w:vAlign w:val="center"/>
                </w:tcPr>
                <w:p w14:paraId="0E30C541">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906" w:type="pct"/>
                  <w:tcBorders>
                    <w:right w:val="nil"/>
                  </w:tcBorders>
                  <w:noWrap w:val="0"/>
                  <w:vAlign w:val="center"/>
                </w:tcPr>
                <w:p w14:paraId="10E09527">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0.3</w:t>
                  </w:r>
                </w:p>
              </w:tc>
            </w:tr>
            <w:tr w14:paraId="5C93C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left w:val="nil"/>
                  </w:tcBorders>
                  <w:noWrap w:val="0"/>
                  <w:vAlign w:val="center"/>
                </w:tcPr>
                <w:p w14:paraId="3F1AC074">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w:t>
                  </w:r>
                </w:p>
              </w:tc>
              <w:tc>
                <w:tcPr>
                  <w:tcW w:w="970" w:type="pct"/>
                  <w:noWrap w:val="0"/>
                  <w:vAlign w:val="center"/>
                </w:tcPr>
                <w:p w14:paraId="5C83483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雷管</w:t>
                  </w:r>
                </w:p>
              </w:tc>
              <w:tc>
                <w:tcPr>
                  <w:tcW w:w="868" w:type="pct"/>
                  <w:noWrap w:val="0"/>
                  <w:vAlign w:val="center"/>
                </w:tcPr>
                <w:p w14:paraId="2B72AC8E">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6484-52-2</w:t>
                  </w:r>
                </w:p>
              </w:tc>
              <w:tc>
                <w:tcPr>
                  <w:tcW w:w="1069" w:type="pct"/>
                  <w:noWrap w:val="0"/>
                  <w:vAlign w:val="center"/>
                </w:tcPr>
                <w:p w14:paraId="001CBFCD">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w:t>
                  </w:r>
                </w:p>
              </w:tc>
              <w:tc>
                <w:tcPr>
                  <w:tcW w:w="741" w:type="pct"/>
                  <w:noWrap w:val="0"/>
                  <w:vAlign w:val="center"/>
                </w:tcPr>
                <w:p w14:paraId="0A760301">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906" w:type="pct"/>
                  <w:tcBorders>
                    <w:right w:val="nil"/>
                  </w:tcBorders>
                  <w:noWrap w:val="0"/>
                  <w:vAlign w:val="center"/>
                </w:tcPr>
                <w:p w14:paraId="0103429C">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0.0004</w:t>
                  </w:r>
                </w:p>
              </w:tc>
            </w:tr>
            <w:tr w14:paraId="3D7F4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left w:val="nil"/>
                    <w:bottom w:val="single" w:color="auto" w:sz="4" w:space="0"/>
                  </w:tcBorders>
                  <w:noWrap w:val="0"/>
                  <w:vAlign w:val="center"/>
                </w:tcPr>
                <w:p w14:paraId="557B18A4">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3649" w:type="pct"/>
                  <w:gridSpan w:val="4"/>
                  <w:tcBorders>
                    <w:bottom w:val="single" w:color="auto" w:sz="4" w:space="0"/>
                  </w:tcBorders>
                  <w:noWrap w:val="0"/>
                  <w:vAlign w:val="center"/>
                </w:tcPr>
                <w:p w14:paraId="1A4E8E93">
                  <w:pPr>
                    <w:pStyle w:val="18"/>
                    <w:adjustRightInd w:val="0"/>
                    <w:snapToGrid w:val="0"/>
                    <w:spacing w:line="240" w:lineRule="auto"/>
                    <w:ind w:left="67"/>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合计</w:t>
                  </w:r>
                </w:p>
              </w:tc>
              <w:tc>
                <w:tcPr>
                  <w:tcW w:w="906" w:type="pct"/>
                  <w:tcBorders>
                    <w:bottom w:val="single" w:color="auto" w:sz="4" w:space="0"/>
                    <w:right w:val="nil"/>
                  </w:tcBorders>
                  <w:noWrap w:val="0"/>
                  <w:vAlign w:val="center"/>
                </w:tcPr>
                <w:p w14:paraId="50E2D9C1">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0.3004</w:t>
                  </w:r>
                </w:p>
              </w:tc>
            </w:tr>
          </w:tbl>
          <w:p w14:paraId="75FBEC67">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根据计算，Q=0.</w:t>
            </w:r>
            <w:r>
              <w:rPr>
                <w:rFonts w:hint="eastAsia" w:ascii="Times New Roman" w:hAnsi="Times New Roman" w:eastAsia="宋体" w:cs="Times New Roman"/>
                <w:color w:val="auto"/>
                <w:sz w:val="24"/>
                <w:highlight w:val="none"/>
                <w:lang w:val="en-US" w:eastAsia="zh-CN"/>
              </w:rPr>
              <w:t>3004</w:t>
            </w:r>
            <w:r>
              <w:rPr>
                <w:rFonts w:hint="eastAsia" w:ascii="Times New Roman" w:hAnsi="Times New Roman" w:eastAsia="宋体" w:cs="Times New Roman"/>
                <w:color w:val="auto"/>
                <w:sz w:val="24"/>
                <w:highlight w:val="none"/>
                <w:lang w:eastAsia="zh-CN"/>
              </w:rPr>
              <w:t>&lt;1，该项目环境风险潜势为Ⅰ级，因此，项目可直接判定风险评价为简单分析</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不需进行专项评价。</w:t>
            </w:r>
          </w:p>
          <w:p w14:paraId="489167D6">
            <w:pPr>
              <w:adjustRightInd w:val="0"/>
              <w:snapToGrid w:val="0"/>
              <w:spacing w:line="360" w:lineRule="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7.3</w:t>
            </w:r>
            <w:r>
              <w:rPr>
                <w:rFonts w:hint="default" w:ascii="Times New Roman" w:hAnsi="Times New Roman" w:eastAsia="宋体" w:cs="Times New Roman"/>
                <w:b/>
                <w:bCs/>
                <w:color w:val="auto"/>
                <w:sz w:val="24"/>
              </w:rPr>
              <w:t>风险识别</w:t>
            </w:r>
          </w:p>
          <w:p w14:paraId="2E4D3619">
            <w:pPr>
              <w:spacing w:before="120" w:beforeLines="50" w:line="360" w:lineRule="auto"/>
              <w:jc w:val="left"/>
              <w:rPr>
                <w:rFonts w:hint="default" w:ascii="Times New Roman" w:hAnsi="Times New Roman" w:eastAsia="黑体" w:cs="Times New Roman"/>
                <w:bCs/>
                <w:color w:val="auto"/>
                <w:sz w:val="24"/>
              </w:rPr>
            </w:pPr>
            <w:r>
              <w:rPr>
                <w:rFonts w:hint="eastAsia" w:ascii="Times New Roman" w:hAnsi="Times New Roman" w:eastAsia="黑体" w:cs="Times New Roman"/>
                <w:bCs/>
                <w:color w:val="auto"/>
                <w:sz w:val="24"/>
                <w:lang w:val="en-US" w:eastAsia="zh-CN"/>
              </w:rPr>
              <w:t>1、</w:t>
            </w:r>
            <w:r>
              <w:rPr>
                <w:rFonts w:hint="default" w:ascii="Times New Roman" w:hAnsi="Times New Roman" w:eastAsia="黑体" w:cs="Times New Roman"/>
                <w:bCs/>
                <w:color w:val="auto"/>
                <w:sz w:val="24"/>
              </w:rPr>
              <w:t>环境风险物质识别</w:t>
            </w:r>
          </w:p>
          <w:p w14:paraId="1C14AEB4">
            <w:pPr>
              <w:widowControl/>
              <w:spacing w:line="360" w:lineRule="auto"/>
              <w:ind w:firstLine="482" w:firstLineChars="200"/>
              <w:jc w:val="left"/>
              <w:rPr>
                <w:rFonts w:hint="default" w:cs="Times New Roman"/>
                <w:b/>
                <w:bCs/>
                <w:color w:val="auto"/>
                <w:kern w:val="0"/>
                <w:sz w:val="24"/>
                <w:lang w:val="en-US" w:eastAsia="zh-CN" w:bidi="ar"/>
              </w:rPr>
            </w:pPr>
            <w:r>
              <w:rPr>
                <w:rFonts w:hint="eastAsia" w:cs="Times New Roman"/>
                <w:b/>
                <w:bCs/>
                <w:color w:val="auto"/>
                <w:kern w:val="0"/>
                <w:sz w:val="24"/>
                <w:lang w:val="en-US" w:eastAsia="zh-CN" w:bidi="ar"/>
              </w:rPr>
              <w:t>（1）物质识别</w:t>
            </w:r>
          </w:p>
          <w:p w14:paraId="5C057322">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本项目主要危险性材料为工业炸药、工业雷管，其主要组分为硝酸铵、硝酸钠、叠氮化铅、黑索今及二硝基重氮酚等，其理化性质及危险性见表</w:t>
            </w:r>
            <w:r>
              <w:rPr>
                <w:rFonts w:hint="eastAsia" w:ascii="Times New Roman" w:hAnsi="Times New Roman" w:eastAsia="宋体" w:cs="Times New Roman"/>
                <w:color w:val="auto"/>
                <w:sz w:val="24"/>
                <w:highlight w:val="none"/>
                <w:lang w:val="en-US" w:eastAsia="zh-CN"/>
              </w:rPr>
              <w:t>4-12和表4-13。</w:t>
            </w:r>
          </w:p>
          <w:p w14:paraId="573295DB">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工业炸药：</w:t>
            </w:r>
            <w:r>
              <w:rPr>
                <w:rFonts w:hint="default" w:ascii="Times New Roman" w:hAnsi="Times New Roman" w:eastAsia="宋体" w:cs="Times New Roman"/>
                <w:color w:val="auto"/>
                <w:sz w:val="24"/>
                <w:highlight w:val="none"/>
                <w:lang w:val="en-US" w:eastAsia="zh-CN"/>
              </w:rPr>
              <w:t>主要成分为硝酸铵、硝酸钠、水、复合蜡、乳化剂，配方中不含有不利于安全、有害健康、污染环境</w:t>
            </w:r>
            <w:r>
              <w:rPr>
                <w:rFonts w:hint="eastAsia" w:cs="Times New Roman"/>
                <w:color w:val="auto"/>
                <w:sz w:val="24"/>
                <w:highlight w:val="none"/>
                <w:lang w:val="en-US" w:eastAsia="zh-CN"/>
              </w:rPr>
              <w:t>等各</w:t>
            </w:r>
            <w:r>
              <w:rPr>
                <w:rFonts w:hint="default" w:ascii="Times New Roman" w:hAnsi="Times New Roman" w:eastAsia="宋体" w:cs="Times New Roman"/>
                <w:color w:val="auto"/>
                <w:sz w:val="24"/>
                <w:highlight w:val="none"/>
                <w:lang w:val="en-US" w:eastAsia="zh-CN"/>
              </w:rPr>
              <w:t>类物质和国家明令禁止使用的物质。药卷内包装采用高强度塑料膜包装，两端以铝卡封口，外包装采用纸箱。炸药密度在0.95～1.25g/cm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，殉爆距离不下于3cm，爆速为3200m/s，猛度不小于12mm，做功能力不小于220ml，撞击感度爆炸率不大于2%，摩擦感度爆炸率不大于2%，热感度发火率0。</w:t>
            </w:r>
          </w:p>
          <w:p w14:paraId="2C881421">
            <w:pPr>
              <w:autoSpaceDE w:val="0"/>
              <w:autoSpaceDN w:val="0"/>
              <w:adjustRightInd w:val="0"/>
              <w:snapToGrid w:val="0"/>
              <w:spacing w:line="360" w:lineRule="auto"/>
              <w:ind w:firstLine="482" w:firstLineChars="200"/>
              <w:rPr>
                <w:color w:val="auto"/>
              </w:rPr>
            </w:pPr>
            <w:r>
              <w:rPr>
                <w:rFonts w:hint="eastAsia" w:ascii="Times New Roman" w:hAnsi="Times New Roman" w:eastAsia="宋体" w:cs="Times New Roman"/>
                <w:b/>
                <w:bCs/>
                <w:color w:val="auto"/>
                <w:sz w:val="24"/>
                <w:highlight w:val="none"/>
                <w:lang w:val="en-US" w:eastAsia="zh-CN"/>
              </w:rPr>
              <w:t>电子雷管：</w:t>
            </w:r>
            <w:r>
              <w:rPr>
                <w:rFonts w:hint="eastAsia" w:ascii="Times New Roman" w:hAnsi="Times New Roman" w:eastAsia="宋体" w:cs="Times New Roman"/>
                <w:color w:val="auto"/>
                <w:sz w:val="24"/>
                <w:highlight w:val="none"/>
                <w:lang w:val="en-US" w:eastAsia="zh-CN"/>
              </w:rPr>
              <w:t>电子雷管起爆系统基本上由三部分组成，即雷管、编码器和起爆器。主要起爆成分为黑索今（又称环三亚甲基三硝胺；1，3，5-三硝基1，3，5-三氮杂环己烷）。在电子雷管起爆网路中，雷管需要复合数字信号才能组网和发火，而产生这些信号所需要的编程在起爆器内。经计算，杂散电流误触电子雷管发火程序的几率是十六万亿分之一，安全性较高。</w:t>
            </w:r>
          </w:p>
          <w:p w14:paraId="2F653A64">
            <w:pPr>
              <w:pStyle w:val="11"/>
              <w:spacing w:before="0" w:line="360" w:lineRule="auto"/>
              <w:ind w:firstLine="420" w:firstLineChars="200"/>
              <w:jc w:val="center"/>
              <w:rPr>
                <w:rFonts w:hint="eastAsia"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rPr>
              <w:t>表4-</w:t>
            </w:r>
            <w:r>
              <w:rPr>
                <w:rFonts w:hint="eastAsia" w:ascii="Times New Roman" w:hAnsi="Times New Roman" w:eastAsia="黑体" w:cs="Times New Roman"/>
                <w:color w:val="auto"/>
                <w:sz w:val="21"/>
                <w:szCs w:val="21"/>
                <w:lang w:val="en-US" w:eastAsia="zh-CN"/>
              </w:rPr>
              <w:t>12</w:t>
            </w:r>
            <w:r>
              <w:rPr>
                <w:rFonts w:hint="eastAsia" w:ascii="Times New Roman" w:hAnsi="Times New Roman" w:eastAsia="黑体" w:cs="Times New Roman"/>
                <w:color w:val="auto"/>
                <w:sz w:val="21"/>
                <w:szCs w:val="21"/>
              </w:rPr>
              <w:t xml:space="preserve">  </w:t>
            </w:r>
            <w:r>
              <w:rPr>
                <w:rFonts w:hint="eastAsia" w:ascii="Times New Roman" w:hAnsi="Times New Roman" w:eastAsia="黑体" w:cs="Times New Roman"/>
                <w:color w:val="auto"/>
                <w:sz w:val="21"/>
                <w:szCs w:val="21"/>
                <w:lang w:val="en-US" w:eastAsia="zh-CN"/>
              </w:rPr>
              <w:t xml:space="preserve"> </w:t>
            </w:r>
            <w:r>
              <w:rPr>
                <w:rFonts w:hint="eastAsia" w:ascii="Times New Roman" w:hAnsi="Times New Roman" w:eastAsia="黑体" w:cs="Times New Roman"/>
                <w:color w:val="auto"/>
                <w:sz w:val="21"/>
                <w:szCs w:val="21"/>
                <w:lang w:eastAsia="zh-CN"/>
              </w:rPr>
              <w:t>硝酸铵</w:t>
            </w:r>
            <w:r>
              <w:rPr>
                <w:rFonts w:hint="eastAsia" w:ascii="Times New Roman" w:hAnsi="Times New Roman" w:eastAsia="黑体" w:cs="Times New Roman"/>
                <w:color w:val="auto"/>
                <w:sz w:val="21"/>
                <w:szCs w:val="21"/>
              </w:rPr>
              <w:t>的理化性质及危险特性表</w:t>
            </w:r>
          </w:p>
          <w:tbl>
            <w:tblPr>
              <w:tblStyle w:val="36"/>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725"/>
              <w:gridCol w:w="1378"/>
              <w:gridCol w:w="822"/>
              <w:gridCol w:w="1822"/>
              <w:gridCol w:w="1831"/>
            </w:tblGrid>
            <w:tr w14:paraId="11150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240" w:type="pct"/>
                  <w:gridSpan w:val="3"/>
                  <w:tcBorders>
                    <w:top w:val="single" w:color="000000" w:sz="4" w:space="0"/>
                    <w:bottom w:val="single" w:color="000000" w:sz="4" w:space="0"/>
                    <w:right w:val="single" w:color="000000" w:sz="4" w:space="0"/>
                  </w:tcBorders>
                  <w:noWrap w:val="0"/>
                  <w:vAlign w:val="center"/>
                </w:tcPr>
                <w:p w14:paraId="684B4C96">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中文名称：硝酸铵</w:t>
                  </w:r>
                </w:p>
              </w:tc>
              <w:tc>
                <w:tcPr>
                  <w:tcW w:w="1631" w:type="pct"/>
                  <w:gridSpan w:val="2"/>
                  <w:tcBorders>
                    <w:top w:val="single" w:color="000000" w:sz="4" w:space="0"/>
                    <w:left w:val="single" w:color="000000" w:sz="4" w:space="0"/>
                    <w:bottom w:val="single" w:color="000000" w:sz="4" w:space="0"/>
                    <w:right w:val="single" w:color="000000" w:sz="4" w:space="0"/>
                  </w:tcBorders>
                  <w:noWrap w:val="0"/>
                  <w:vAlign w:val="center"/>
                </w:tcPr>
                <w:p w14:paraId="1C474370">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英文名称：</w:t>
                  </w:r>
                  <w:r>
                    <w:rPr>
                      <w:rFonts w:hint="eastAsia" w:ascii="Times New Roman" w:hAnsi="Times New Roman" w:eastAsia="宋体" w:cs="Times New Roman"/>
                      <w:color w:val="auto"/>
                      <w:sz w:val="18"/>
                      <w:szCs w:val="18"/>
                      <w:lang w:val="en-US" w:eastAsia="zh-CN"/>
                    </w:rPr>
                    <w:t>ammonium nitrate</w:t>
                  </w:r>
                </w:p>
              </w:tc>
              <w:tc>
                <w:tcPr>
                  <w:tcW w:w="1127" w:type="pct"/>
                  <w:tcBorders>
                    <w:top w:val="single" w:color="000000" w:sz="4" w:space="0"/>
                    <w:left w:val="single" w:color="000000" w:sz="4" w:space="0"/>
                    <w:bottom w:val="single" w:color="000000" w:sz="4" w:space="0"/>
                    <w:right w:val="nil"/>
                  </w:tcBorders>
                  <w:noWrap w:val="0"/>
                  <w:vAlign w:val="center"/>
                </w:tcPr>
                <w:p w14:paraId="5A9107CF">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分子式：</w:t>
                  </w:r>
                  <w:r>
                    <w:rPr>
                      <w:rFonts w:hint="eastAsia" w:ascii="Times New Roman" w:hAnsi="Times New Roman" w:eastAsia="宋体" w:cs="Times New Roman"/>
                      <w:color w:val="auto"/>
                      <w:sz w:val="18"/>
                      <w:szCs w:val="18"/>
                      <w:lang w:val="en-US" w:eastAsia="zh-CN"/>
                    </w:rPr>
                    <w:t>NH</w:t>
                  </w:r>
                  <w:r>
                    <w:rPr>
                      <w:rFonts w:hint="eastAsia" w:ascii="Times New Roman" w:hAnsi="Times New Roman" w:eastAsia="宋体" w:cs="Times New Roman"/>
                      <w:color w:val="auto"/>
                      <w:sz w:val="18"/>
                      <w:szCs w:val="18"/>
                      <w:vertAlign w:val="subscript"/>
                      <w:lang w:val="en-US" w:eastAsia="zh-CN"/>
                    </w:rPr>
                    <w:t>4</w:t>
                  </w:r>
                  <w:r>
                    <w:rPr>
                      <w:rFonts w:hint="eastAsia" w:ascii="Times New Roman" w:hAnsi="Times New Roman" w:eastAsia="宋体" w:cs="Times New Roman"/>
                      <w:color w:val="auto"/>
                      <w:sz w:val="18"/>
                      <w:szCs w:val="18"/>
                      <w:lang w:val="en-US" w:eastAsia="zh-CN"/>
                    </w:rPr>
                    <w:t>NO</w:t>
                  </w:r>
                  <w:r>
                    <w:rPr>
                      <w:rFonts w:hint="eastAsia" w:ascii="Times New Roman" w:hAnsi="Times New Roman" w:eastAsia="宋体" w:cs="Times New Roman"/>
                      <w:color w:val="auto"/>
                      <w:sz w:val="18"/>
                      <w:szCs w:val="18"/>
                      <w:vertAlign w:val="subscript"/>
                      <w:lang w:val="en-US" w:eastAsia="zh-CN"/>
                    </w:rPr>
                    <w:t>3</w:t>
                  </w:r>
                </w:p>
              </w:tc>
            </w:tr>
            <w:tr w14:paraId="5C2DC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0" w:type="pct"/>
                  <w:gridSpan w:val="3"/>
                  <w:tcBorders>
                    <w:top w:val="single" w:color="000000" w:sz="4" w:space="0"/>
                    <w:left w:val="nil"/>
                    <w:bottom w:val="single" w:color="000000" w:sz="4" w:space="0"/>
                    <w:right w:val="single" w:color="000000" w:sz="4" w:space="0"/>
                  </w:tcBorders>
                  <w:noWrap w:val="0"/>
                  <w:vAlign w:val="center"/>
                </w:tcPr>
                <w:p w14:paraId="6FA8A3EC">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成分</w:t>
                  </w:r>
                  <w:r>
                    <w:rPr>
                      <w:rFonts w:hint="eastAsia" w:ascii="Times New Roman" w:hAnsi="Times New Roman" w:eastAsia="宋体" w:cs="Times New Roman"/>
                      <w:color w:val="auto"/>
                      <w:sz w:val="18"/>
                      <w:szCs w:val="18"/>
                      <w:lang w:val="en-US" w:eastAsia="zh-CN"/>
                    </w:rPr>
                    <w:t>/组成信息：</w:t>
                  </w:r>
                  <w:r>
                    <w:rPr>
                      <w:rFonts w:hint="eastAsia" w:ascii="Times New Roman" w:hAnsi="Times New Roman" w:eastAsia="宋体" w:cs="Times New Roman"/>
                      <w:color w:val="auto"/>
                      <w:sz w:val="18"/>
                      <w:szCs w:val="18"/>
                      <w:lang w:eastAsia="zh-CN"/>
                    </w:rPr>
                    <w:t>纯品</w:t>
                  </w:r>
                </w:p>
              </w:tc>
              <w:tc>
                <w:tcPr>
                  <w:tcW w:w="507" w:type="pct"/>
                  <w:tcBorders>
                    <w:top w:val="single" w:color="000000" w:sz="4" w:space="0"/>
                    <w:left w:val="single" w:color="000000" w:sz="4" w:space="0"/>
                    <w:bottom w:val="single" w:color="000000" w:sz="4" w:space="0"/>
                    <w:right w:val="single" w:color="000000" w:sz="4" w:space="0"/>
                  </w:tcBorders>
                  <w:noWrap w:val="0"/>
                  <w:vAlign w:val="center"/>
                </w:tcPr>
                <w:p w14:paraId="16871504">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w:t>
                  </w:r>
                </w:p>
              </w:tc>
              <w:tc>
                <w:tcPr>
                  <w:tcW w:w="1123" w:type="pct"/>
                  <w:tcBorders>
                    <w:top w:val="single" w:color="000000" w:sz="4" w:space="0"/>
                    <w:left w:val="single" w:color="000000" w:sz="4" w:space="0"/>
                    <w:bottom w:val="single" w:color="000000" w:sz="4" w:space="0"/>
                    <w:right w:val="single" w:color="000000" w:sz="4" w:space="0"/>
                  </w:tcBorders>
                  <w:noWrap w:val="0"/>
                  <w:vAlign w:val="center"/>
                </w:tcPr>
                <w:p w14:paraId="416C4D36">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混合物</w:t>
                  </w:r>
                </w:p>
              </w:tc>
              <w:tc>
                <w:tcPr>
                  <w:tcW w:w="1127" w:type="pct"/>
                  <w:tcBorders>
                    <w:top w:val="single" w:color="000000" w:sz="4" w:space="0"/>
                    <w:left w:val="single" w:color="000000" w:sz="4" w:space="0"/>
                    <w:bottom w:val="single" w:color="000000" w:sz="4" w:space="0"/>
                    <w:right w:val="nil"/>
                  </w:tcBorders>
                  <w:noWrap w:val="0"/>
                  <w:vAlign w:val="center"/>
                </w:tcPr>
                <w:p w14:paraId="2E0C6BB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w:t>
                  </w:r>
                </w:p>
              </w:tc>
            </w:tr>
            <w:tr w14:paraId="439A0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0" w:type="pct"/>
                  <w:gridSpan w:val="3"/>
                  <w:tcBorders>
                    <w:top w:val="single" w:color="000000" w:sz="4" w:space="0"/>
                    <w:left w:val="nil"/>
                    <w:bottom w:val="single" w:color="000000" w:sz="4" w:space="0"/>
                    <w:right w:val="single" w:color="000000" w:sz="4" w:space="0"/>
                  </w:tcBorders>
                  <w:noWrap w:val="0"/>
                  <w:vAlign w:val="center"/>
                </w:tcPr>
                <w:p w14:paraId="574F0768">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危险性类别：第</w:t>
                  </w:r>
                  <w:r>
                    <w:rPr>
                      <w:rFonts w:hint="eastAsia" w:ascii="Times New Roman" w:hAnsi="Times New Roman" w:eastAsia="宋体" w:cs="Times New Roman"/>
                      <w:color w:val="auto"/>
                      <w:sz w:val="18"/>
                      <w:szCs w:val="18"/>
                      <w:lang w:val="en-US" w:eastAsia="zh-CN"/>
                    </w:rPr>
                    <w:t>5.1类氧化剂</w:t>
                  </w:r>
                </w:p>
              </w:tc>
              <w:tc>
                <w:tcPr>
                  <w:tcW w:w="2759" w:type="pct"/>
                  <w:gridSpan w:val="3"/>
                  <w:tcBorders>
                    <w:top w:val="single" w:color="000000" w:sz="4" w:space="0"/>
                    <w:left w:val="single" w:color="000000" w:sz="4" w:space="0"/>
                    <w:bottom w:val="single" w:color="000000" w:sz="4" w:space="0"/>
                    <w:right w:val="nil"/>
                  </w:tcBorders>
                  <w:noWrap w:val="0"/>
                  <w:vAlign w:val="center"/>
                </w:tcPr>
                <w:p w14:paraId="74B6CAFA">
                  <w:pPr>
                    <w:pStyle w:val="18"/>
                    <w:adjustRightInd w:val="0"/>
                    <w:snapToGrid w:val="0"/>
                    <w:spacing w:line="240" w:lineRule="auto"/>
                    <w:ind w:left="67"/>
                    <w:jc w:val="center"/>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侵入途径：吸入、食入、经皮吸收</w:t>
                  </w:r>
                </w:p>
              </w:tc>
            </w:tr>
            <w:tr w14:paraId="14F6B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restart"/>
                  <w:tcBorders>
                    <w:top w:val="single" w:color="000000" w:sz="4" w:space="0"/>
                    <w:left w:val="nil"/>
                    <w:bottom w:val="single" w:color="000000" w:sz="4" w:space="0"/>
                    <w:right w:val="single" w:color="000000" w:sz="4" w:space="0"/>
                  </w:tcBorders>
                  <w:noWrap w:val="0"/>
                  <w:vAlign w:val="center"/>
                </w:tcPr>
                <w:p w14:paraId="5E73BA1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理化性质</w:t>
                  </w:r>
                </w:p>
              </w:tc>
              <w:tc>
                <w:tcPr>
                  <w:tcW w:w="4056" w:type="pct"/>
                  <w:gridSpan w:val="5"/>
                  <w:tcBorders>
                    <w:top w:val="single" w:color="000000" w:sz="4" w:space="0"/>
                    <w:left w:val="single" w:color="000000" w:sz="4" w:space="0"/>
                    <w:bottom w:val="single" w:color="000000" w:sz="4" w:space="0"/>
                    <w:right w:val="nil"/>
                  </w:tcBorders>
                  <w:noWrap w:val="0"/>
                  <w:vAlign w:val="center"/>
                </w:tcPr>
                <w:p w14:paraId="6C06D5C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外观与性状：无色无臭的透明结晶或呈白色的小颗粒，有潮解性</w:t>
                  </w:r>
                </w:p>
              </w:tc>
            </w:tr>
            <w:tr w14:paraId="49E05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13DFAB4D">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056" w:type="pct"/>
                  <w:gridSpan w:val="5"/>
                  <w:tcBorders>
                    <w:top w:val="single" w:color="000000" w:sz="4" w:space="0"/>
                    <w:left w:val="single" w:color="000000" w:sz="4" w:space="0"/>
                    <w:bottom w:val="single" w:color="000000" w:sz="4" w:space="0"/>
                    <w:right w:val="nil"/>
                  </w:tcBorders>
                  <w:noWrap w:val="0"/>
                  <w:vAlign w:val="center"/>
                </w:tcPr>
                <w:p w14:paraId="3BCEBCC8">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溶解性：易溶于水、乙醇、丙酮、氨水，不溶于乙醚</w:t>
                  </w:r>
                </w:p>
              </w:tc>
            </w:tr>
            <w:tr w14:paraId="050EA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321DBED8">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056" w:type="pct"/>
                  <w:gridSpan w:val="5"/>
                  <w:tcBorders>
                    <w:top w:val="single" w:color="000000" w:sz="4" w:space="0"/>
                    <w:left w:val="single" w:color="000000" w:sz="4" w:space="0"/>
                    <w:bottom w:val="single" w:color="000000" w:sz="4" w:space="0"/>
                    <w:right w:val="nil"/>
                  </w:tcBorders>
                  <w:noWrap w:val="0"/>
                  <w:vAlign w:val="center"/>
                </w:tcPr>
                <w:p w14:paraId="19669A44">
                  <w:pPr>
                    <w:pStyle w:val="18"/>
                    <w:adjustRightInd w:val="0"/>
                    <w:snapToGrid w:val="0"/>
                    <w:spacing w:line="240" w:lineRule="auto"/>
                    <w:ind w:left="67"/>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分子量</w:t>
                  </w:r>
                  <w:r>
                    <w:rPr>
                      <w:rFonts w:hint="eastAsia" w:ascii="Times New Roman" w:hAnsi="Times New Roman" w:eastAsia="宋体" w:cs="Times New Roman"/>
                      <w:color w:val="auto"/>
                      <w:sz w:val="18"/>
                      <w:szCs w:val="18"/>
                      <w:lang w:val="en-US" w:eastAsia="zh-CN"/>
                    </w:rPr>
                    <w:t>80.05，熔点169.6℃，沸点210℃（分解），相对密度（水=</w:t>
                  </w:r>
                  <w:r>
                    <w:rPr>
                      <w:rFonts w:hint="default" w:ascii="Times New Roman" w:hAnsi="Times New Roman" w:eastAsia="宋体" w:cs="Times New Roman"/>
                      <w:color w:val="auto"/>
                      <w:sz w:val="18"/>
                      <w:szCs w:val="18"/>
                      <w:lang w:val="en-US" w:eastAsia="zh-CN"/>
                    </w:rPr>
                    <w:t>1）1.72</w:t>
                  </w:r>
                </w:p>
              </w:tc>
            </w:tr>
            <w:tr w14:paraId="7C1E1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27BAB4D3">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056" w:type="pct"/>
                  <w:gridSpan w:val="5"/>
                  <w:tcBorders>
                    <w:top w:val="single" w:color="000000" w:sz="4" w:space="0"/>
                    <w:left w:val="single" w:color="000000" w:sz="4" w:space="0"/>
                    <w:bottom w:val="single" w:color="000000" w:sz="4" w:space="0"/>
                    <w:right w:val="nil"/>
                  </w:tcBorders>
                  <w:noWrap w:val="0"/>
                  <w:vAlign w:val="center"/>
                </w:tcPr>
                <w:p w14:paraId="66EFC3C7">
                  <w:pPr>
                    <w:pStyle w:val="18"/>
                    <w:adjustRightInd w:val="0"/>
                    <w:snapToGrid w:val="0"/>
                    <w:spacing w:line="240" w:lineRule="auto"/>
                    <w:ind w:left="67"/>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主要用途：主要用于化肥、分析试剂、氧化剂、制冷剂、烟火和炸药原料</w:t>
                  </w:r>
                </w:p>
              </w:tc>
            </w:tr>
            <w:tr w14:paraId="0AF72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tcBorders>
                    <w:top w:val="single" w:color="000000" w:sz="4" w:space="0"/>
                    <w:left w:val="nil"/>
                    <w:bottom w:val="single" w:color="000000" w:sz="4" w:space="0"/>
                    <w:right w:val="single" w:color="000000" w:sz="4" w:space="0"/>
                  </w:tcBorders>
                  <w:noWrap w:val="0"/>
                  <w:vAlign w:val="center"/>
                </w:tcPr>
                <w:p w14:paraId="6C7C1B52">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毒性</w:t>
                  </w:r>
                </w:p>
              </w:tc>
              <w:tc>
                <w:tcPr>
                  <w:tcW w:w="4056" w:type="pct"/>
                  <w:gridSpan w:val="5"/>
                  <w:tcBorders>
                    <w:top w:val="single" w:color="000000" w:sz="4" w:space="0"/>
                    <w:left w:val="single" w:color="000000" w:sz="4" w:space="0"/>
                    <w:bottom w:val="single" w:color="000000" w:sz="4" w:space="0"/>
                    <w:right w:val="nil"/>
                  </w:tcBorders>
                  <w:noWrap w:val="0"/>
                  <w:vAlign w:val="center"/>
                </w:tcPr>
                <w:p w14:paraId="60FAD275">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LD50   4820</w:t>
                  </w:r>
                  <w:r>
                    <w:rPr>
                      <w:rFonts w:hint="eastAsia" w:ascii="Times New Roman" w:hAnsi="Times New Roman" w:eastAsia="宋体" w:cs="Times New Roman"/>
                      <w:color w:val="auto"/>
                      <w:sz w:val="18"/>
                      <w:szCs w:val="18"/>
                      <w:lang w:eastAsia="zh-CN"/>
                    </w:rPr>
                    <w:t>mg/kg（大鼠经口）；LC</w:t>
                  </w:r>
                  <w:r>
                    <w:rPr>
                      <w:rFonts w:hint="eastAsia" w:ascii="Times New Roman" w:hAnsi="Times New Roman" w:eastAsia="宋体" w:cs="Times New Roman"/>
                      <w:color w:val="auto"/>
                      <w:sz w:val="18"/>
                      <w:szCs w:val="18"/>
                      <w:lang w:val="en-US" w:eastAsia="zh-CN"/>
                    </w:rPr>
                    <w:t>50</w:t>
                  </w:r>
                  <w:r>
                    <w:rPr>
                      <w:rFonts w:hint="eastAsia" w:ascii="Times New Roman" w:hAnsi="Times New Roman" w:eastAsia="宋体" w:cs="Times New Roman"/>
                      <w:color w:val="auto"/>
                      <w:sz w:val="18"/>
                      <w:szCs w:val="18"/>
                      <w:lang w:eastAsia="zh-CN"/>
                    </w:rPr>
                    <w:t>无资料</w:t>
                  </w:r>
                </w:p>
              </w:tc>
            </w:tr>
            <w:tr w14:paraId="014C2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restart"/>
                  <w:tcBorders>
                    <w:top w:val="single" w:color="000000" w:sz="4" w:space="0"/>
                    <w:left w:val="nil"/>
                    <w:bottom w:val="single" w:color="000000" w:sz="4" w:space="0"/>
                    <w:right w:val="single" w:color="000000" w:sz="4" w:space="0"/>
                  </w:tcBorders>
                  <w:noWrap w:val="0"/>
                  <w:vAlign w:val="center"/>
                </w:tcPr>
                <w:p w14:paraId="058DC20C">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危害信息</w:t>
                  </w:r>
                </w:p>
              </w:tc>
              <w:tc>
                <w:tcPr>
                  <w:tcW w:w="4056" w:type="pct"/>
                  <w:gridSpan w:val="5"/>
                  <w:tcBorders>
                    <w:top w:val="single" w:color="000000" w:sz="4" w:space="0"/>
                    <w:left w:val="single" w:color="000000" w:sz="4" w:space="0"/>
                    <w:bottom w:val="single" w:color="000000" w:sz="4" w:space="0"/>
                    <w:right w:val="nil"/>
                  </w:tcBorders>
                  <w:noWrap w:val="0"/>
                  <w:vAlign w:val="center"/>
                </w:tcPr>
                <w:p w14:paraId="540E450A">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燃烧和爆炸危害性：助燃。与易（可）燃物混合或急剧加热会发生爆炸。受强烈震动也会起爆。</w:t>
                  </w:r>
                </w:p>
              </w:tc>
            </w:tr>
            <w:tr w14:paraId="542C1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3FA8E86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056" w:type="pct"/>
                  <w:gridSpan w:val="5"/>
                  <w:tcBorders>
                    <w:top w:val="single" w:color="000000" w:sz="4" w:space="0"/>
                    <w:left w:val="single" w:color="000000" w:sz="4" w:space="0"/>
                    <w:bottom w:val="single" w:color="000000" w:sz="4" w:space="0"/>
                    <w:right w:val="nil"/>
                  </w:tcBorders>
                  <w:noWrap w:val="0"/>
                  <w:vAlign w:val="center"/>
                </w:tcPr>
                <w:p w14:paraId="6DE8404A">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活性反应：强氧化剂，与还原剂、有机物、易燃物如硫、磷或金属粉末等混合可形成爆炸性混合物。</w:t>
                  </w:r>
                </w:p>
              </w:tc>
            </w:tr>
            <w:tr w14:paraId="45E6D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64762A8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056" w:type="pct"/>
                  <w:gridSpan w:val="5"/>
                  <w:tcBorders>
                    <w:top w:val="single" w:color="000000" w:sz="4" w:space="0"/>
                    <w:left w:val="single" w:color="000000" w:sz="4" w:space="0"/>
                    <w:bottom w:val="single" w:color="000000" w:sz="4" w:space="0"/>
                    <w:right w:val="nil"/>
                  </w:tcBorders>
                  <w:noWrap w:val="0"/>
                  <w:vAlign w:val="center"/>
                </w:tcPr>
                <w:p w14:paraId="05EFDA0E">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健康危害：对呼吸道、眼及皮肤有刺激性。接触后可引起恶心、呕吐、头痛、虚弱、无力和虚脱等。大量接触可引起高铁血红蛋白血症，影响血液的携氧能力，出现紫绀、头痛、头晕、虚脱，甚至死亡。口服引起剧烈腹痛、呕吐、血便、休克、全身抽搐、昏迷，甚至死亡。</w:t>
                  </w:r>
                </w:p>
              </w:tc>
            </w:tr>
            <w:tr w14:paraId="2A62A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restart"/>
                  <w:tcBorders>
                    <w:top w:val="single" w:color="000000" w:sz="4" w:space="0"/>
                    <w:left w:val="nil"/>
                    <w:bottom w:val="single" w:color="000000" w:sz="4" w:space="0"/>
                    <w:right w:val="single" w:color="000000" w:sz="4" w:space="0"/>
                  </w:tcBorders>
                  <w:noWrap w:val="0"/>
                  <w:vAlign w:val="center"/>
                </w:tcPr>
                <w:p w14:paraId="328F163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运输信息</w:t>
                  </w:r>
                </w:p>
              </w:tc>
              <w:tc>
                <w:tcPr>
                  <w:tcW w:w="4056" w:type="pct"/>
                  <w:gridSpan w:val="5"/>
                  <w:tcBorders>
                    <w:top w:val="single" w:color="000000" w:sz="4" w:space="0"/>
                    <w:left w:val="single" w:color="000000" w:sz="4" w:space="0"/>
                    <w:bottom w:val="single" w:color="000000" w:sz="4" w:space="0"/>
                    <w:right w:val="nil"/>
                  </w:tcBorders>
                  <w:noWrap w:val="0"/>
                  <w:vAlign w:val="center"/>
                </w:tcPr>
                <w:p w14:paraId="596DAC5D">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危险货物编号：</w:t>
                  </w:r>
                  <w:r>
                    <w:rPr>
                      <w:rFonts w:hint="eastAsia" w:ascii="Times New Roman" w:hAnsi="Times New Roman" w:eastAsia="宋体" w:cs="Times New Roman"/>
                      <w:color w:val="auto"/>
                      <w:sz w:val="18"/>
                      <w:szCs w:val="18"/>
                      <w:lang w:val="en-US" w:eastAsia="zh-CN"/>
                    </w:rPr>
                    <w:t>51069 UN编号：1942包装标识；氧化剂包装类别：053</w:t>
                  </w:r>
                </w:p>
              </w:tc>
            </w:tr>
            <w:tr w14:paraId="5D352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0ABC01C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056" w:type="pct"/>
                  <w:gridSpan w:val="5"/>
                  <w:tcBorders>
                    <w:top w:val="single" w:color="000000" w:sz="4" w:space="0"/>
                    <w:left w:val="single" w:color="000000" w:sz="4" w:space="0"/>
                    <w:bottom w:val="single" w:color="000000" w:sz="4" w:space="0"/>
                    <w:right w:val="nil"/>
                  </w:tcBorders>
                  <w:noWrap w:val="0"/>
                  <w:vAlign w:val="center"/>
                </w:tcPr>
                <w:p w14:paraId="27065693">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包装方法：两层塑料袋或一层塑料袋外麻袋、塑料编织袋、乳胶布袋；螺纹口玻璃瓶、铁盖压口玻璃瓶、塑料瓶或金属铜（罐）外普通木箱。</w:t>
                  </w:r>
                </w:p>
              </w:tc>
            </w:tr>
            <w:tr w14:paraId="46F69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restart"/>
                  <w:tcBorders>
                    <w:top w:val="single" w:color="000000" w:sz="4" w:space="0"/>
                    <w:left w:val="nil"/>
                    <w:bottom w:val="single" w:color="000000" w:sz="4" w:space="0"/>
                    <w:right w:val="single" w:color="000000" w:sz="4" w:space="0"/>
                  </w:tcBorders>
                  <w:noWrap w:val="0"/>
                  <w:vAlign w:val="center"/>
                </w:tcPr>
                <w:p w14:paraId="191E6FE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应急处置原则</w:t>
                  </w:r>
                </w:p>
              </w:tc>
              <w:tc>
                <w:tcPr>
                  <w:tcW w:w="447" w:type="pct"/>
                  <w:vMerge w:val="restart"/>
                  <w:tcBorders>
                    <w:top w:val="single" w:color="000000" w:sz="4" w:space="0"/>
                    <w:left w:val="single" w:color="000000" w:sz="4" w:space="0"/>
                    <w:bottom w:val="single" w:color="000000" w:sz="4" w:space="0"/>
                    <w:right w:val="single" w:color="000000" w:sz="4" w:space="0"/>
                  </w:tcBorders>
                  <w:noWrap w:val="0"/>
                  <w:vAlign w:val="center"/>
                </w:tcPr>
                <w:p w14:paraId="05ACB68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急救</w:t>
                  </w:r>
                </w:p>
                <w:p w14:paraId="67AB391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措施</w:t>
                  </w:r>
                </w:p>
              </w:tc>
              <w:tc>
                <w:tcPr>
                  <w:tcW w:w="3608" w:type="pct"/>
                  <w:gridSpan w:val="4"/>
                  <w:tcBorders>
                    <w:top w:val="single" w:color="000000" w:sz="4" w:space="0"/>
                    <w:left w:val="single" w:color="000000" w:sz="4" w:space="0"/>
                    <w:bottom w:val="single" w:color="000000" w:sz="4" w:space="0"/>
                    <w:right w:val="nil"/>
                  </w:tcBorders>
                  <w:noWrap w:val="0"/>
                  <w:vAlign w:val="center"/>
                </w:tcPr>
                <w:p w14:paraId="7245CCAB">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皮肤接触：脱去污染的衣着，用大量流动清水冲洗</w:t>
                  </w:r>
                </w:p>
              </w:tc>
            </w:tr>
            <w:tr w14:paraId="1ABEE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0FA9300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91D19E">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3608" w:type="pct"/>
                  <w:gridSpan w:val="4"/>
                  <w:tcBorders>
                    <w:top w:val="single" w:color="000000" w:sz="4" w:space="0"/>
                    <w:left w:val="single" w:color="000000" w:sz="4" w:space="0"/>
                    <w:bottom w:val="single" w:color="000000" w:sz="4" w:space="0"/>
                    <w:right w:val="nil"/>
                  </w:tcBorders>
                  <w:noWrap w:val="0"/>
                  <w:vAlign w:val="center"/>
                </w:tcPr>
                <w:p w14:paraId="36ED60C3">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眼睛接触：提起眼睑，用流动清水或生理盐水冲洗。就医。</w:t>
                  </w:r>
                </w:p>
              </w:tc>
            </w:tr>
            <w:tr w14:paraId="2D076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33BB0F5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0D361F">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3608" w:type="pct"/>
                  <w:gridSpan w:val="4"/>
                  <w:tcBorders>
                    <w:top w:val="single" w:color="000000" w:sz="4" w:space="0"/>
                    <w:left w:val="single" w:color="000000" w:sz="4" w:space="0"/>
                    <w:bottom w:val="single" w:color="000000" w:sz="4" w:space="0"/>
                    <w:right w:val="nil"/>
                  </w:tcBorders>
                  <w:noWrap w:val="0"/>
                  <w:vAlign w:val="center"/>
                </w:tcPr>
                <w:p w14:paraId="42FAA334">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吸入：迅速脱离现场至空气新鲜处。保持呼吸道通畅。如呼吸困难，给输氧。如呼吸停止，立即进行人工呼吸。就医。食入：用水漱口，给饮牛奶或蛋清。就医。</w:t>
                  </w:r>
                </w:p>
              </w:tc>
            </w:tr>
            <w:tr w14:paraId="56A08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12E9513F">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47" w:type="pct"/>
                  <w:vMerge w:val="restart"/>
                  <w:tcBorders>
                    <w:top w:val="single" w:color="000000" w:sz="4" w:space="0"/>
                    <w:left w:val="single" w:color="000000" w:sz="4" w:space="0"/>
                    <w:bottom w:val="single" w:color="000000" w:sz="4" w:space="0"/>
                    <w:right w:val="single" w:color="000000" w:sz="4" w:space="0"/>
                  </w:tcBorders>
                  <w:noWrap w:val="0"/>
                  <w:vAlign w:val="center"/>
                </w:tcPr>
                <w:p w14:paraId="2C2CCAE8">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消防</w:t>
                  </w:r>
                </w:p>
                <w:p w14:paraId="7FC90934">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措施</w:t>
                  </w:r>
                </w:p>
              </w:tc>
              <w:tc>
                <w:tcPr>
                  <w:tcW w:w="3608" w:type="pct"/>
                  <w:gridSpan w:val="4"/>
                  <w:tcBorders>
                    <w:top w:val="single" w:color="000000" w:sz="4" w:space="0"/>
                    <w:left w:val="single" w:color="000000" w:sz="4" w:space="0"/>
                    <w:bottom w:val="single" w:color="000000" w:sz="4" w:space="0"/>
                    <w:right w:val="nil"/>
                  </w:tcBorders>
                  <w:noWrap w:val="0"/>
                  <w:vAlign w:val="center"/>
                </w:tcPr>
                <w:p w14:paraId="4A8885BD">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有害燃烧产物：氮氧化物。</w:t>
                  </w:r>
                </w:p>
              </w:tc>
            </w:tr>
            <w:tr w14:paraId="527FB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7A7D4C66">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7CAF0C">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3608" w:type="pct"/>
                  <w:gridSpan w:val="4"/>
                  <w:tcBorders>
                    <w:top w:val="single" w:color="000000" w:sz="4" w:space="0"/>
                    <w:left w:val="single" w:color="000000" w:sz="4" w:space="0"/>
                    <w:bottom w:val="single" w:color="000000" w:sz="4" w:space="0"/>
                    <w:right w:val="nil"/>
                  </w:tcBorders>
                  <w:noWrap w:val="0"/>
                  <w:vAlign w:val="center"/>
                </w:tcPr>
                <w:p w14:paraId="5D263384">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灭火方式：消防人员须佩戴防毒面具、穿全身消防服，在上风向灭火。切勿将水流直接射至熔融物，以免引起严重的流淌火灾或引起剧烈的沸溅。遇大火，消防人员须在有防护掩蔽处操作。灭火剂：水、雾状水。</w:t>
                  </w:r>
                </w:p>
              </w:tc>
            </w:tr>
            <w:tr w14:paraId="3CF8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Merge w:val="continue"/>
                  <w:tcBorders>
                    <w:top w:val="single" w:color="000000" w:sz="4" w:space="0"/>
                    <w:left w:val="nil"/>
                    <w:bottom w:val="single" w:color="000000" w:sz="4" w:space="0"/>
                    <w:right w:val="single" w:color="000000" w:sz="4" w:space="0"/>
                  </w:tcBorders>
                  <w:noWrap w:val="0"/>
                  <w:vAlign w:val="center"/>
                </w:tcPr>
                <w:p w14:paraId="22B9C79E">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4B01B25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泄漏应急处理</w:t>
                  </w:r>
                </w:p>
              </w:tc>
              <w:tc>
                <w:tcPr>
                  <w:tcW w:w="3608" w:type="pct"/>
                  <w:gridSpan w:val="4"/>
                  <w:tcBorders>
                    <w:top w:val="single" w:color="000000" w:sz="4" w:space="0"/>
                    <w:left w:val="single" w:color="000000" w:sz="4" w:space="0"/>
                    <w:bottom w:val="single" w:color="000000" w:sz="4" w:space="0"/>
                    <w:right w:val="nil"/>
                  </w:tcBorders>
                  <w:noWrap w:val="0"/>
                  <w:vAlign w:val="center"/>
                </w:tcPr>
                <w:p w14:paraId="5B333828">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应急处理：隔离泄漏污染区，限制出入。建议应急处理人员戴防尘面具（全面罩），穿防毒服。不要直接接触泄漏物。勿使泄漏物与还原剂、有机物、易燃物或金属粉末接触。</w:t>
                  </w:r>
                </w:p>
                <w:p w14:paraId="31EF715B">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小量泄漏：小心扫起，收集于干燥、洁净、有盖的容器中。大量泄漏：收集回收或运至废物处理场所处置。</w:t>
                  </w:r>
                </w:p>
                <w:p w14:paraId="108DAF8E">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作为一项紧急预防措施，泄漏隔离距离周围至少为</w:t>
                  </w:r>
                  <w:r>
                    <w:rPr>
                      <w:rFonts w:hint="eastAsia" w:ascii="Times New Roman" w:hAnsi="Times New Roman" w:eastAsia="宋体" w:cs="Times New Roman"/>
                      <w:color w:val="auto"/>
                      <w:sz w:val="18"/>
                      <w:szCs w:val="18"/>
                      <w:lang w:val="en-US" w:eastAsia="zh-CN"/>
                    </w:rPr>
                    <w:t>25m，如果为大量泄漏，下风向的初始疏散距离应至少为100m。</w:t>
                  </w:r>
                </w:p>
              </w:tc>
            </w:tr>
          </w:tbl>
          <w:p w14:paraId="45F8E4C3">
            <w:pPr>
              <w:pStyle w:val="11"/>
              <w:spacing w:before="0" w:line="360" w:lineRule="auto"/>
              <w:ind w:firstLine="420" w:firstLineChars="200"/>
              <w:jc w:val="center"/>
              <w:rPr>
                <w:rFonts w:hint="default"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表4-13   组成组分的理化性质及危险特性表</w:t>
            </w:r>
          </w:p>
          <w:tbl>
            <w:tblPr>
              <w:tblStyle w:val="36"/>
              <w:tblW w:w="49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5"/>
              <w:gridCol w:w="2956"/>
              <w:gridCol w:w="2716"/>
              <w:gridCol w:w="1910"/>
            </w:tblGrid>
            <w:tr w14:paraId="53A108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noWrap w:val="0"/>
                  <w:vAlign w:val="center"/>
                </w:tcPr>
                <w:p w14:paraId="16232A4E">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名称</w:t>
                  </w:r>
                </w:p>
              </w:tc>
              <w:tc>
                <w:tcPr>
                  <w:tcW w:w="1816" w:type="pct"/>
                  <w:tcBorders>
                    <w:tl2br w:val="nil"/>
                    <w:tr2bl w:val="nil"/>
                  </w:tcBorders>
                  <w:noWrap w:val="0"/>
                  <w:vAlign w:val="center"/>
                </w:tcPr>
                <w:p w14:paraId="4F2E7912">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理化特性</w:t>
                  </w:r>
                </w:p>
              </w:tc>
              <w:tc>
                <w:tcPr>
                  <w:tcW w:w="1668" w:type="pct"/>
                  <w:tcBorders>
                    <w:tl2br w:val="nil"/>
                    <w:tr2bl w:val="nil"/>
                  </w:tcBorders>
                  <w:noWrap w:val="0"/>
                  <w:vAlign w:val="center"/>
                </w:tcPr>
                <w:p w14:paraId="298042D4">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易燃易爆性</w:t>
                  </w:r>
                </w:p>
              </w:tc>
              <w:tc>
                <w:tcPr>
                  <w:tcW w:w="1173" w:type="pct"/>
                  <w:tcBorders>
                    <w:tl2br w:val="nil"/>
                    <w:tr2bl w:val="nil"/>
                  </w:tcBorders>
                  <w:noWrap w:val="0"/>
                  <w:vAlign w:val="center"/>
                </w:tcPr>
                <w:p w14:paraId="4F5FAF96">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毒性</w:t>
                  </w:r>
                </w:p>
              </w:tc>
            </w:tr>
            <w:tr w14:paraId="105346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noWrap w:val="0"/>
                  <w:vAlign w:val="center"/>
                </w:tcPr>
                <w:p w14:paraId="624C98B6">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硝酸钠</w:t>
                  </w:r>
                </w:p>
              </w:tc>
              <w:tc>
                <w:tcPr>
                  <w:tcW w:w="1816" w:type="pct"/>
                  <w:tcBorders>
                    <w:tl2br w:val="nil"/>
                    <w:tr2bl w:val="nil"/>
                  </w:tcBorders>
                  <w:noWrap w:val="0"/>
                  <w:vAlign w:val="center"/>
                </w:tcPr>
                <w:p w14:paraId="18C8778D">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无色透明或白微带黄色的菱形结晶，分子式NaNO</w:t>
                  </w:r>
                  <w:r>
                    <w:rPr>
                      <w:rFonts w:hint="eastAsia" w:ascii="Times New Roman" w:hAnsi="Times New Roman" w:eastAsia="宋体" w:cs="Times New Roman"/>
                      <w:color w:val="auto"/>
                      <w:sz w:val="18"/>
                      <w:szCs w:val="18"/>
                      <w:vertAlign w:val="subscript"/>
                      <w:lang w:eastAsia="zh-CN"/>
                    </w:rPr>
                    <w:t>3</w:t>
                  </w:r>
                  <w:r>
                    <w:rPr>
                      <w:rFonts w:hint="eastAsia" w:ascii="Times New Roman" w:hAnsi="Times New Roman" w:eastAsia="宋体" w:cs="Times New Roman"/>
                      <w:color w:val="auto"/>
                      <w:sz w:val="18"/>
                      <w:szCs w:val="18"/>
                      <w:lang w:eastAsia="zh-CN"/>
                    </w:rPr>
                    <w:t>，相对分子质量85，相对密度2.26，熔点为308℃；味微苦；有潮解性，易溶于水，溶于水时能吸热；加温到380℃以上即分解成亚硝酸钠和氧气；与盐类能起复分解作用；具有强氧化性</w:t>
                  </w:r>
                </w:p>
              </w:tc>
              <w:tc>
                <w:tcPr>
                  <w:tcW w:w="1668" w:type="pct"/>
                  <w:tcBorders>
                    <w:tl2br w:val="nil"/>
                    <w:tr2bl w:val="nil"/>
                  </w:tcBorders>
                  <w:noWrap w:val="0"/>
                  <w:vAlign w:val="center"/>
                </w:tcPr>
                <w:p w14:paraId="5E4263C8">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氧化剂，具有强氧化性；与木屑、布、油类等有机物以及磷或硫接触、摩擦或撞击能引起燃烧和爆炸，有燃爆危险</w:t>
                  </w:r>
                </w:p>
              </w:tc>
              <w:tc>
                <w:tcPr>
                  <w:tcW w:w="1173" w:type="pct"/>
                  <w:tcBorders>
                    <w:tl2br w:val="nil"/>
                    <w:tr2bl w:val="nil"/>
                  </w:tcBorders>
                  <w:noWrap w:val="0"/>
                  <w:vAlign w:val="center"/>
                </w:tcPr>
                <w:p w14:paraId="04158AD8">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刺激性；氧化血液中的亚铁为高铁，失去携氧能力；大量口服引起剧烈腹痛、呕吐、血便、休克、昏迷，甚至死亡</w:t>
                  </w:r>
                </w:p>
              </w:tc>
            </w:tr>
            <w:tr w14:paraId="3DF9E4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noWrap w:val="0"/>
                  <w:vAlign w:val="center"/>
                </w:tcPr>
                <w:p w14:paraId="3EE22E1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叠氮化铅</w:t>
                  </w:r>
                </w:p>
              </w:tc>
              <w:tc>
                <w:tcPr>
                  <w:tcW w:w="1816" w:type="pct"/>
                  <w:tcBorders>
                    <w:tl2br w:val="nil"/>
                    <w:tr2bl w:val="nil"/>
                  </w:tcBorders>
                  <w:noWrap w:val="0"/>
                  <w:vAlign w:val="center"/>
                </w:tcPr>
                <w:p w14:paraId="41B28BFE">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分子式Pb（N</w:t>
                  </w:r>
                  <w:r>
                    <w:rPr>
                      <w:rFonts w:hint="eastAsia" w:ascii="Times New Roman" w:hAnsi="Times New Roman" w:eastAsia="宋体" w:cs="Times New Roman"/>
                      <w:color w:val="auto"/>
                      <w:sz w:val="18"/>
                      <w:szCs w:val="18"/>
                      <w:vertAlign w:val="subscript"/>
                      <w:lang w:eastAsia="zh-CN"/>
                    </w:rPr>
                    <w:t>3</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vertAlign w:val="subscript"/>
                      <w:lang w:eastAsia="zh-CN"/>
                    </w:rPr>
                    <w:t>2</w:t>
                  </w:r>
                  <w:r>
                    <w:rPr>
                      <w:rFonts w:hint="eastAsia" w:ascii="Times New Roman" w:hAnsi="Times New Roman" w:eastAsia="宋体" w:cs="Times New Roman"/>
                      <w:color w:val="auto"/>
                      <w:sz w:val="18"/>
                      <w:szCs w:val="18"/>
                      <w:lang w:eastAsia="zh-CN"/>
                    </w:rPr>
                    <w:t>，一种起爆药，为白色短柱状结晶，微溶于水，一般生产使用的为α型，密度为4.71g/cm</w:t>
                  </w:r>
                  <w:r>
                    <w:rPr>
                      <w:rFonts w:hint="eastAsia" w:ascii="Times New Roman" w:hAnsi="Times New Roman" w:eastAsia="宋体" w:cs="Times New Roman"/>
                      <w:color w:val="auto"/>
                      <w:sz w:val="18"/>
                      <w:szCs w:val="18"/>
                      <w:vertAlign w:val="superscript"/>
                      <w:lang w:eastAsia="zh-CN"/>
                    </w:rPr>
                    <w:t>3</w:t>
                  </w:r>
                  <w:r>
                    <w:rPr>
                      <w:rFonts w:hint="eastAsia" w:ascii="Times New Roman" w:hAnsi="Times New Roman" w:eastAsia="宋体" w:cs="Times New Roman"/>
                      <w:color w:val="auto"/>
                      <w:sz w:val="18"/>
                      <w:szCs w:val="18"/>
                      <w:lang w:eastAsia="zh-CN"/>
                    </w:rPr>
                    <w:t>，吸湿性小，但在水中也能爆炸；在干燥条件下，一般不与金属作用,热安定性较好，在50℃贮存3～5年变化不大</w:t>
                  </w:r>
                </w:p>
              </w:tc>
              <w:tc>
                <w:tcPr>
                  <w:tcW w:w="1668" w:type="pct"/>
                  <w:tcBorders>
                    <w:tl2br w:val="nil"/>
                    <w:tr2bl w:val="nil"/>
                  </w:tcBorders>
                  <w:noWrap w:val="0"/>
                  <w:vAlign w:val="center"/>
                </w:tcPr>
                <w:p w14:paraId="38409F55">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极易爆炸，冲击、加热（350℃）或与火焰接触时可爆炸，常用作起爆药，接近晶体 密度时的爆速为5300m/s，撞击感度和摩擦感度均较雷汞高，起爆力也比雷汞强</w:t>
                  </w:r>
                </w:p>
              </w:tc>
              <w:tc>
                <w:tcPr>
                  <w:tcW w:w="1173" w:type="pct"/>
                  <w:tcBorders>
                    <w:tl2br w:val="nil"/>
                    <w:tr2bl w:val="nil"/>
                  </w:tcBorders>
                  <w:noWrap w:val="0"/>
                  <w:vAlign w:val="center"/>
                </w:tcPr>
                <w:p w14:paraId="1C338438">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毒理与其他叠氮化合物相同，能敏感地抑制呼吸酶类，因对</w:t>
                  </w:r>
                  <w:r>
                    <w:rPr>
                      <w:rFonts w:hint="eastAsia" w:ascii="Times New Roman" w:hAnsi="Times New Roman" w:cs="Times New Roman"/>
                      <w:color w:val="auto"/>
                      <w:sz w:val="18"/>
                      <w:szCs w:val="18"/>
                      <w:lang w:eastAsia="zh-CN"/>
                    </w:rPr>
                    <w:t>末梢</w:t>
                  </w:r>
                  <w:r>
                    <w:rPr>
                      <w:rFonts w:hint="eastAsia" w:ascii="Times New Roman" w:hAnsi="Times New Roman" w:eastAsia="宋体" w:cs="Times New Roman"/>
                      <w:color w:val="auto"/>
                      <w:sz w:val="18"/>
                      <w:szCs w:val="18"/>
                      <w:lang w:eastAsia="zh-CN"/>
                    </w:rPr>
                    <w:t>血管平滑肌的作用，使血压下降</w:t>
                  </w:r>
                </w:p>
              </w:tc>
            </w:tr>
            <w:tr w14:paraId="2B416A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noWrap w:val="0"/>
                  <w:vAlign w:val="center"/>
                </w:tcPr>
                <w:p w14:paraId="76266981">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黑索今</w:t>
                  </w:r>
                </w:p>
              </w:tc>
              <w:tc>
                <w:tcPr>
                  <w:tcW w:w="1816" w:type="pct"/>
                  <w:tcBorders>
                    <w:tl2br w:val="nil"/>
                    <w:tr2bl w:val="nil"/>
                  </w:tcBorders>
                  <w:noWrap w:val="0"/>
                  <w:vAlign w:val="center"/>
                </w:tcPr>
                <w:p w14:paraId="04ABA143">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无色结晶，不溶于水，微溶于乙醚和乙醇；熔点209℃、爆燃点230℃、爆速8750m/s、爆轰气体体积910L/kg、爆热6025kJ/kg；化学性质比较稳定，50℃长期贮存不分解</w:t>
                  </w:r>
                </w:p>
              </w:tc>
              <w:tc>
                <w:tcPr>
                  <w:tcW w:w="1668" w:type="pct"/>
                  <w:tcBorders>
                    <w:tl2br w:val="nil"/>
                    <w:tr2bl w:val="nil"/>
                  </w:tcBorders>
                  <w:noWrap w:val="0"/>
                  <w:vAlign w:val="center"/>
                </w:tcPr>
                <w:p w14:paraId="645A103B">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遇明火、高温、震动、撞击、磨擦能引起燃烧爆炸，是一种爆炸力极强大的烈性炸药，比TNT猛烈1.58倍，燃烧（分解）产物：一氧化碳、二氧化碳、氮氧化物</w:t>
                  </w:r>
                </w:p>
              </w:tc>
              <w:tc>
                <w:tcPr>
                  <w:tcW w:w="1173" w:type="pct"/>
                  <w:tcBorders>
                    <w:tl2br w:val="nil"/>
                    <w:tr2bl w:val="nil"/>
                  </w:tcBorders>
                  <w:noWrap w:val="0"/>
                  <w:vAlign w:val="center"/>
                </w:tcPr>
                <w:p w14:paraId="16A54D65">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误服可引起头晕、恶心、呕吐、流涎、多汗，重者发生抽搐；大鼠经口LD50</w:t>
                  </w:r>
                  <w:r>
                    <w:rPr>
                      <w:rFonts w:hint="eastAsia" w:ascii="Times New Roman" w:hAnsi="Times New Roman" w:cs="Times New Roman"/>
                      <w:color w:val="auto"/>
                      <w:sz w:val="18"/>
                      <w:szCs w:val="18"/>
                      <w:lang w:eastAsia="zh-CN"/>
                    </w:rPr>
                    <w:t>:</w:t>
                  </w:r>
                  <w:r>
                    <w:rPr>
                      <w:rFonts w:hint="eastAsia" w:ascii="Times New Roman" w:hAnsi="Times New Roman" w:eastAsia="宋体" w:cs="Times New Roman"/>
                      <w:color w:val="auto"/>
                      <w:sz w:val="18"/>
                      <w:szCs w:val="18"/>
                      <w:lang w:eastAsia="zh-CN"/>
                    </w:rPr>
                    <w:t>1000mg/kg</w:t>
                  </w:r>
                </w:p>
              </w:tc>
            </w:tr>
            <w:tr w14:paraId="5AFEAC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noWrap w:val="0"/>
                  <w:vAlign w:val="center"/>
                </w:tcPr>
                <w:p w14:paraId="492A8F07">
                  <w:pPr>
                    <w:pStyle w:val="18"/>
                    <w:adjustRightInd w:val="0"/>
                    <w:snapToGrid w:val="0"/>
                    <w:spacing w:line="240" w:lineRule="auto"/>
                    <w:ind w:left="67"/>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二硝基重氮酚</w:t>
                  </w:r>
                </w:p>
              </w:tc>
              <w:tc>
                <w:tcPr>
                  <w:tcW w:w="1816" w:type="pct"/>
                  <w:tcBorders>
                    <w:tl2br w:val="nil"/>
                    <w:tr2bl w:val="nil"/>
                  </w:tcBorders>
                  <w:noWrap w:val="0"/>
                  <w:vAlign w:val="center"/>
                </w:tcPr>
                <w:p w14:paraId="13E9F93A">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分子式C6H</w:t>
                  </w:r>
                  <w:r>
                    <w:rPr>
                      <w:rFonts w:hint="eastAsia" w:ascii="Times New Roman" w:hAnsi="Times New Roman" w:eastAsia="宋体" w:cs="Times New Roman"/>
                      <w:color w:val="auto"/>
                      <w:sz w:val="18"/>
                      <w:szCs w:val="18"/>
                      <w:vertAlign w:val="subscript"/>
                      <w:lang w:eastAsia="zh-CN"/>
                    </w:rPr>
                    <w:t>2</w:t>
                  </w:r>
                  <w:r>
                    <w:rPr>
                      <w:rFonts w:hint="eastAsia" w:ascii="Times New Roman" w:hAnsi="Times New Roman" w:eastAsia="宋体" w:cs="Times New Roman"/>
                      <w:color w:val="auto"/>
                      <w:sz w:val="18"/>
                      <w:szCs w:val="18"/>
                      <w:lang w:eastAsia="zh-CN"/>
                    </w:rPr>
                    <w:t>(NO</w:t>
                  </w:r>
                  <w:r>
                    <w:rPr>
                      <w:rFonts w:hint="eastAsia" w:ascii="Times New Roman" w:hAnsi="Times New Roman" w:eastAsia="宋体" w:cs="Times New Roman"/>
                      <w:color w:val="auto"/>
                      <w:sz w:val="18"/>
                      <w:szCs w:val="18"/>
                      <w:vertAlign w:val="subscript"/>
                      <w:lang w:eastAsia="zh-CN"/>
                    </w:rPr>
                    <w:t>2</w:t>
                  </w:r>
                  <w:r>
                    <w:rPr>
                      <w:rFonts w:hint="eastAsia" w:ascii="Times New Roman" w:hAnsi="Times New Roman" w:eastAsia="宋体" w:cs="Times New Roman"/>
                      <w:color w:val="auto"/>
                      <w:sz w:val="18"/>
                      <w:szCs w:val="18"/>
                      <w:lang w:eastAsia="zh-CN"/>
                    </w:rPr>
                    <w:t>)2N</w:t>
                  </w:r>
                  <w:r>
                    <w:rPr>
                      <w:rFonts w:hint="eastAsia" w:ascii="Times New Roman" w:hAnsi="Times New Roman" w:eastAsia="宋体" w:cs="Times New Roman"/>
                      <w:color w:val="auto"/>
                      <w:sz w:val="18"/>
                      <w:szCs w:val="18"/>
                      <w:vertAlign w:val="subscript"/>
                      <w:lang w:eastAsia="zh-CN"/>
                    </w:rPr>
                    <w:t>2</w:t>
                  </w:r>
                  <w:r>
                    <w:rPr>
                      <w:rFonts w:hint="eastAsia" w:ascii="Times New Roman" w:hAnsi="Times New Roman" w:eastAsia="宋体" w:cs="Times New Roman"/>
                      <w:color w:val="auto"/>
                      <w:sz w:val="18"/>
                      <w:szCs w:val="18"/>
                      <w:lang w:eastAsia="zh-CN"/>
                    </w:rPr>
                    <w:t>O，分子量210.10，纯品为亮黄色，密度为1.63g/cm</w:t>
                  </w:r>
                  <w:r>
                    <w:rPr>
                      <w:rFonts w:hint="eastAsia" w:ascii="Times New Roman" w:hAnsi="Times New Roman" w:eastAsia="宋体" w:cs="Times New Roman"/>
                      <w:color w:val="auto"/>
                      <w:sz w:val="18"/>
                      <w:szCs w:val="18"/>
                      <w:vertAlign w:val="superscript"/>
                      <w:lang w:eastAsia="zh-CN"/>
                    </w:rPr>
                    <w:t>3</w:t>
                  </w:r>
                  <w:r>
                    <w:rPr>
                      <w:rFonts w:hint="eastAsia" w:ascii="Times New Roman" w:hAnsi="Times New Roman" w:eastAsia="宋体" w:cs="Times New Roman"/>
                      <w:color w:val="auto"/>
                      <w:sz w:val="18"/>
                      <w:szCs w:val="18"/>
                      <w:lang w:eastAsia="zh-CN"/>
                    </w:rPr>
                    <w:t>；具有腐蚀性；微溶于水，在水中难爆炸</w:t>
                  </w:r>
                </w:p>
              </w:tc>
              <w:tc>
                <w:tcPr>
                  <w:tcW w:w="1668" w:type="pct"/>
                  <w:tcBorders>
                    <w:tl2br w:val="nil"/>
                    <w:tr2bl w:val="nil"/>
                  </w:tcBorders>
                  <w:noWrap w:val="0"/>
                  <w:vAlign w:val="center"/>
                </w:tcPr>
                <w:p w14:paraId="2BB4A962">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干燥时，接触火焰、火花或受到震动、撞击、摩擦会引起分解爆炸，撞击感度和摩擦感度低于雷汞、叠氮化铅，火焰感度较敏感，与雷汞相似</w:t>
                  </w:r>
                </w:p>
              </w:tc>
              <w:tc>
                <w:tcPr>
                  <w:tcW w:w="1173" w:type="pct"/>
                  <w:tcBorders>
                    <w:tl2br w:val="nil"/>
                    <w:tr2bl w:val="nil"/>
                  </w:tcBorders>
                  <w:noWrap w:val="0"/>
                  <w:vAlign w:val="center"/>
                </w:tcPr>
                <w:p w14:paraId="1DBB8DD8">
                  <w:pPr>
                    <w:pStyle w:val="18"/>
                    <w:keepNext w:val="0"/>
                    <w:keepLines w:val="0"/>
                    <w:pageBreakBefore w:val="0"/>
                    <w:widowControl w:val="0"/>
                    <w:kinsoku/>
                    <w:wordWrap/>
                    <w:overflowPunct/>
                    <w:topLinePunct w:val="0"/>
                    <w:autoSpaceDE/>
                    <w:autoSpaceDN/>
                    <w:bidi w:val="0"/>
                    <w:adjustRightInd w:val="0"/>
                    <w:snapToGrid w:val="0"/>
                    <w:spacing w:line="240" w:lineRule="auto"/>
                    <w:ind w:left="68" w:firstLine="360" w:firstLineChars="200"/>
                    <w:jc w:val="left"/>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未见毒理学资料；皮肤接触可发生皮炎</w:t>
                  </w:r>
                </w:p>
              </w:tc>
            </w:tr>
          </w:tbl>
          <w:p w14:paraId="7C07BA2E">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（2）物质识别结果</w:t>
            </w:r>
          </w:p>
          <w:p w14:paraId="06903C10">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eastAsia="zh-CN" w:bidi="ar"/>
              </w:rPr>
              <w:t>经分析，本项目储存的炸药和雷管均具有爆炸性，属于危险物质，其危险特性识别结果见</w:t>
            </w:r>
            <w:r>
              <w:rPr>
                <w:rFonts w:hint="eastAsia" w:ascii="Times New Roman" w:hAnsi="Times New Roman" w:eastAsia="宋体" w:cs="Times New Roman"/>
                <w:color w:val="auto"/>
                <w:kern w:val="0"/>
                <w:sz w:val="24"/>
                <w:lang w:val="en-US" w:eastAsia="zh-CN" w:bidi="ar"/>
              </w:rPr>
              <w:t>下表。</w:t>
            </w:r>
          </w:p>
          <w:p w14:paraId="05FDB26E">
            <w:pPr>
              <w:pStyle w:val="11"/>
              <w:spacing w:before="0" w:line="360" w:lineRule="auto"/>
              <w:ind w:firstLine="420" w:firstLineChars="200"/>
              <w:jc w:val="center"/>
              <w:rPr>
                <w:rFonts w:hint="default"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表4-14   危险物质识别结果统计表</w:t>
            </w:r>
          </w:p>
          <w:tbl>
            <w:tblPr>
              <w:tblStyle w:val="37"/>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0"/>
              <w:gridCol w:w="4011"/>
            </w:tblGrid>
            <w:tr w14:paraId="12789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1" w:type="pct"/>
                  <w:tcBorders>
                    <w:top w:val="single" w:color="000000" w:sz="4" w:space="0"/>
                    <w:bottom w:val="single" w:color="000000" w:sz="4" w:space="0"/>
                    <w:right w:val="single" w:color="000000" w:sz="4" w:space="0"/>
                  </w:tcBorders>
                  <w:noWrap w:val="0"/>
                  <w:vAlign w:val="top"/>
                </w:tcPr>
                <w:p w14:paraId="1997D1DC">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化学品名称</w:t>
                  </w:r>
                </w:p>
              </w:tc>
              <w:tc>
                <w:tcPr>
                  <w:tcW w:w="2478" w:type="pct"/>
                  <w:tcBorders>
                    <w:top w:val="single" w:color="000000" w:sz="4" w:space="0"/>
                    <w:left w:val="single" w:color="000000" w:sz="4" w:space="0"/>
                    <w:bottom w:val="single" w:color="000000" w:sz="4" w:space="0"/>
                    <w:right w:val="nil"/>
                  </w:tcBorders>
                  <w:noWrap w:val="0"/>
                  <w:vAlign w:val="top"/>
                </w:tcPr>
                <w:p w14:paraId="4C36BE1D">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危险特性</w:t>
                  </w:r>
                </w:p>
              </w:tc>
            </w:tr>
            <w:tr w14:paraId="18EAF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1" w:type="pct"/>
                  <w:tcBorders>
                    <w:top w:val="single" w:color="000000" w:sz="4" w:space="0"/>
                    <w:left w:val="nil"/>
                    <w:bottom w:val="single" w:color="000000" w:sz="4" w:space="0"/>
                    <w:right w:val="single" w:color="000000" w:sz="4" w:space="0"/>
                  </w:tcBorders>
                  <w:noWrap w:val="0"/>
                  <w:vAlign w:val="top"/>
                </w:tcPr>
                <w:p w14:paraId="77160E3D">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工业炸药</w:t>
                  </w:r>
                </w:p>
              </w:tc>
              <w:tc>
                <w:tcPr>
                  <w:tcW w:w="2478" w:type="pct"/>
                  <w:tcBorders>
                    <w:top w:val="single" w:color="000000" w:sz="4" w:space="0"/>
                    <w:left w:val="single" w:color="000000" w:sz="4" w:space="0"/>
                    <w:bottom w:val="single" w:color="000000" w:sz="4" w:space="0"/>
                    <w:right w:val="nil"/>
                  </w:tcBorders>
                  <w:noWrap w:val="0"/>
                  <w:vAlign w:val="top"/>
                </w:tcPr>
                <w:p w14:paraId="086BEF63">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易爆</w:t>
                  </w:r>
                </w:p>
              </w:tc>
            </w:tr>
            <w:tr w14:paraId="1A331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1" w:type="pct"/>
                  <w:tcBorders>
                    <w:top w:val="single" w:color="000000" w:sz="4" w:space="0"/>
                    <w:left w:val="nil"/>
                    <w:bottom w:val="single" w:color="000000" w:sz="4" w:space="0"/>
                    <w:right w:val="single" w:color="000000" w:sz="4" w:space="0"/>
                  </w:tcBorders>
                  <w:noWrap w:val="0"/>
                  <w:vAlign w:val="top"/>
                </w:tcPr>
                <w:p w14:paraId="488B8202">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工业雷管</w:t>
                  </w:r>
                </w:p>
              </w:tc>
              <w:tc>
                <w:tcPr>
                  <w:tcW w:w="2478" w:type="pct"/>
                  <w:tcBorders>
                    <w:top w:val="single" w:color="000000" w:sz="4" w:space="0"/>
                    <w:left w:val="single" w:color="000000" w:sz="4" w:space="0"/>
                    <w:bottom w:val="single" w:color="000000" w:sz="4" w:space="0"/>
                    <w:right w:val="nil"/>
                  </w:tcBorders>
                  <w:noWrap w:val="0"/>
                  <w:vAlign w:val="top"/>
                </w:tcPr>
                <w:p w14:paraId="3C8F58F6">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易爆</w:t>
                  </w:r>
                </w:p>
              </w:tc>
            </w:tr>
          </w:tbl>
          <w:p w14:paraId="1164DC59">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（3）危险物质分布</w:t>
            </w:r>
          </w:p>
          <w:p w14:paraId="06CD2F0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本项目涉及的危险物质储存方式、储存量以及分布见下表。</w:t>
            </w:r>
          </w:p>
          <w:p w14:paraId="195C62FC">
            <w:pPr>
              <w:pStyle w:val="11"/>
              <w:spacing w:before="0" w:line="360" w:lineRule="auto"/>
              <w:ind w:firstLine="420" w:firstLineChars="200"/>
              <w:jc w:val="center"/>
              <w:rPr>
                <w:rFonts w:hint="default"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表4-15   危险物质储存情况统计表</w:t>
            </w:r>
          </w:p>
          <w:tbl>
            <w:tblPr>
              <w:tblStyle w:val="37"/>
              <w:tblW w:w="49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1"/>
              <w:gridCol w:w="1249"/>
              <w:gridCol w:w="2096"/>
              <w:gridCol w:w="3230"/>
            </w:tblGrid>
            <w:tr w14:paraId="5ECF9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9" w:type="pct"/>
                  <w:noWrap w:val="0"/>
                  <w:vAlign w:val="center"/>
                </w:tcPr>
                <w:p w14:paraId="76F50E86">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化学品名称</w:t>
                  </w:r>
                </w:p>
              </w:tc>
              <w:tc>
                <w:tcPr>
                  <w:tcW w:w="769" w:type="pct"/>
                  <w:noWrap w:val="0"/>
                  <w:vAlign w:val="center"/>
                </w:tcPr>
                <w:p w14:paraId="77D4B569">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包装方式</w:t>
                  </w:r>
                </w:p>
              </w:tc>
              <w:tc>
                <w:tcPr>
                  <w:tcW w:w="1291" w:type="pct"/>
                  <w:noWrap w:val="0"/>
                  <w:vAlign w:val="center"/>
                </w:tcPr>
                <w:p w14:paraId="33171FB1">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数量</w:t>
                  </w:r>
                </w:p>
              </w:tc>
              <w:tc>
                <w:tcPr>
                  <w:tcW w:w="1989" w:type="pct"/>
                  <w:tcBorders>
                    <w:right w:val="nil"/>
                  </w:tcBorders>
                  <w:noWrap w:val="0"/>
                  <w:vAlign w:val="center"/>
                </w:tcPr>
                <w:p w14:paraId="134F809B">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储存地点</w:t>
                  </w:r>
                </w:p>
              </w:tc>
            </w:tr>
            <w:tr w14:paraId="2E7D6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9" w:type="pct"/>
                  <w:tcBorders>
                    <w:left w:val="nil"/>
                  </w:tcBorders>
                  <w:noWrap w:val="0"/>
                  <w:vAlign w:val="center"/>
                </w:tcPr>
                <w:p w14:paraId="2EF8F91E">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工业炸药</w:t>
                  </w:r>
                </w:p>
              </w:tc>
              <w:tc>
                <w:tcPr>
                  <w:tcW w:w="769" w:type="pct"/>
                  <w:noWrap w:val="0"/>
                  <w:vAlign w:val="center"/>
                </w:tcPr>
                <w:p w14:paraId="7B8F799E">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包装箱</w:t>
                  </w:r>
                </w:p>
              </w:tc>
              <w:tc>
                <w:tcPr>
                  <w:tcW w:w="1291" w:type="pct"/>
                  <w:noWrap w:val="0"/>
                  <w:vAlign w:val="center"/>
                </w:tcPr>
                <w:p w14:paraId="2E9D7B15">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5t</w:t>
                  </w:r>
                </w:p>
              </w:tc>
              <w:tc>
                <w:tcPr>
                  <w:tcW w:w="1989" w:type="pct"/>
                  <w:tcBorders>
                    <w:right w:val="nil"/>
                  </w:tcBorders>
                  <w:noWrap w:val="0"/>
                  <w:vAlign w:val="center"/>
                </w:tcPr>
                <w:p w14:paraId="1974A7E6">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101炸药库</w:t>
                  </w:r>
                </w:p>
              </w:tc>
            </w:tr>
            <w:tr w14:paraId="2F881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9" w:type="pct"/>
                  <w:tcBorders>
                    <w:left w:val="nil"/>
                  </w:tcBorders>
                  <w:noWrap w:val="0"/>
                  <w:vAlign w:val="center"/>
                </w:tcPr>
                <w:p w14:paraId="3B7C9F06">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工业炸药</w:t>
                  </w:r>
                </w:p>
              </w:tc>
              <w:tc>
                <w:tcPr>
                  <w:tcW w:w="769" w:type="pct"/>
                  <w:noWrap w:val="0"/>
                  <w:vAlign w:val="center"/>
                </w:tcPr>
                <w:p w14:paraId="5652261C">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包装箱</w:t>
                  </w:r>
                </w:p>
              </w:tc>
              <w:tc>
                <w:tcPr>
                  <w:tcW w:w="1291" w:type="pct"/>
                  <w:noWrap w:val="0"/>
                  <w:vAlign w:val="center"/>
                </w:tcPr>
                <w:p w14:paraId="7CC50CE2">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5t</w:t>
                  </w:r>
                </w:p>
              </w:tc>
              <w:tc>
                <w:tcPr>
                  <w:tcW w:w="1989" w:type="pct"/>
                  <w:tcBorders>
                    <w:right w:val="nil"/>
                  </w:tcBorders>
                  <w:noWrap w:val="0"/>
                  <w:vAlign w:val="center"/>
                </w:tcPr>
                <w:p w14:paraId="46954060">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102炸药库</w:t>
                  </w:r>
                </w:p>
              </w:tc>
            </w:tr>
            <w:tr w14:paraId="3F7B8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9" w:type="pct"/>
                  <w:tcBorders>
                    <w:left w:val="nil"/>
                  </w:tcBorders>
                  <w:noWrap w:val="0"/>
                  <w:vAlign w:val="center"/>
                </w:tcPr>
                <w:p w14:paraId="5CC6800B">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工业炸药</w:t>
                  </w:r>
                </w:p>
              </w:tc>
              <w:tc>
                <w:tcPr>
                  <w:tcW w:w="769" w:type="pct"/>
                  <w:noWrap w:val="0"/>
                  <w:vAlign w:val="center"/>
                </w:tcPr>
                <w:p w14:paraId="37B61345">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包装箱</w:t>
                  </w:r>
                </w:p>
              </w:tc>
              <w:tc>
                <w:tcPr>
                  <w:tcW w:w="1291" w:type="pct"/>
                  <w:noWrap w:val="0"/>
                  <w:vAlign w:val="center"/>
                </w:tcPr>
                <w:p w14:paraId="244C77D7">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5t</w:t>
                  </w:r>
                </w:p>
              </w:tc>
              <w:tc>
                <w:tcPr>
                  <w:tcW w:w="1989" w:type="pct"/>
                  <w:tcBorders>
                    <w:right w:val="nil"/>
                  </w:tcBorders>
                  <w:noWrap w:val="0"/>
                  <w:vAlign w:val="center"/>
                </w:tcPr>
                <w:p w14:paraId="695EDA91">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103炸药库（联建导爆索存放间）</w:t>
                  </w:r>
                </w:p>
              </w:tc>
            </w:tr>
            <w:tr w14:paraId="2828A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9" w:type="pct"/>
                  <w:tcBorders>
                    <w:left w:val="nil"/>
                  </w:tcBorders>
                  <w:noWrap w:val="0"/>
                  <w:vAlign w:val="center"/>
                </w:tcPr>
                <w:p w14:paraId="7170B38A">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工业雷管</w:t>
                  </w:r>
                </w:p>
              </w:tc>
              <w:tc>
                <w:tcPr>
                  <w:tcW w:w="769" w:type="pct"/>
                  <w:noWrap w:val="0"/>
                  <w:vAlign w:val="center"/>
                </w:tcPr>
                <w:p w14:paraId="508B87FD">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包装箱</w:t>
                  </w:r>
                </w:p>
              </w:tc>
              <w:tc>
                <w:tcPr>
                  <w:tcW w:w="1291" w:type="pct"/>
                  <w:noWrap w:val="0"/>
                  <w:vAlign w:val="center"/>
                </w:tcPr>
                <w:p w14:paraId="05C23DD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2万发（折算0.02t）</w:t>
                  </w:r>
                </w:p>
              </w:tc>
              <w:tc>
                <w:tcPr>
                  <w:tcW w:w="1989" w:type="pct"/>
                  <w:tcBorders>
                    <w:right w:val="nil"/>
                  </w:tcBorders>
                  <w:noWrap w:val="0"/>
                  <w:vAlign w:val="center"/>
                </w:tcPr>
                <w:p w14:paraId="1DFA93D6">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104雷管库（联建雷管发放间）</w:t>
                  </w:r>
                </w:p>
              </w:tc>
            </w:tr>
            <w:tr w14:paraId="7647F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4"/>
                  <w:tcBorders>
                    <w:left w:val="nil"/>
                    <w:right w:val="nil"/>
                  </w:tcBorders>
                  <w:noWrap w:val="0"/>
                  <w:vAlign w:val="center"/>
                </w:tcPr>
                <w:p w14:paraId="1A79E60A">
                  <w:pPr>
                    <w:pStyle w:val="4"/>
                    <w:autoSpaceDE w:val="0"/>
                    <w:ind w:firstLine="0"/>
                    <w:jc w:val="both"/>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注：1发工业数码电子雷管=1g。</w:t>
                  </w:r>
                </w:p>
              </w:tc>
            </w:tr>
          </w:tbl>
          <w:p w14:paraId="4C3965AE">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（4）重大危险源识别</w:t>
            </w:r>
          </w:p>
          <w:p w14:paraId="03E43C3E">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根据《重大危险源辨别标准》（GB8218-2018）标准，在单元内达到或超过《重大危险源辨识标准》标准临界量时，将作为重大危险源。</w:t>
            </w:r>
          </w:p>
          <w:p w14:paraId="7B051511">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重大危险源的辨识指标有两种情况：单元内存在的危险物品为一品种，则该物质的数量即为单元危险物质的总量，若等于或超过相应的临界量，则定位重大危险源。</w:t>
            </w:r>
          </w:p>
          <w:p w14:paraId="30A88A7E">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单元内存在危险物质为多品种时，则按下式计算，若满足下式，则定为重大危险源。公式：</w:t>
            </w:r>
          </w:p>
          <w:p w14:paraId="7CA1402F">
            <w:pPr>
              <w:widowControl/>
              <w:spacing w:line="360" w:lineRule="auto"/>
              <w:ind w:firstLine="480" w:firstLineChars="200"/>
              <w:jc w:val="center"/>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q1/Q1+q2/Q2……+qn/Qn≥1</w:t>
            </w:r>
          </w:p>
          <w:p w14:paraId="30A3D1DE">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式中：</w:t>
            </w:r>
          </w:p>
          <w:p w14:paraId="272DCD97">
            <w:pPr>
              <w:widowControl/>
              <w:spacing w:line="360" w:lineRule="auto"/>
              <w:ind w:firstLine="960" w:firstLineChars="4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q1、q2…，qn为每种危险物质实际存在量，t。</w:t>
            </w:r>
          </w:p>
          <w:p w14:paraId="762C61FC">
            <w:pPr>
              <w:widowControl/>
              <w:spacing w:line="360" w:lineRule="auto"/>
              <w:ind w:firstLine="960" w:firstLineChars="4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Q1、Q2…Qn为与各种危险物质相对应的生产场所后储存区的临界值，t。</w:t>
            </w:r>
          </w:p>
          <w:p w14:paraId="401B9F40">
            <w:pPr>
              <w:widowControl/>
              <w:spacing w:line="360" w:lineRule="auto"/>
              <w:ind w:firstLine="480" w:firstLineChars="200"/>
              <w:jc w:val="left"/>
              <w:rPr>
                <w:rFonts w:hint="eastAsia" w:cs="Times New Roman"/>
                <w:color w:val="auto"/>
                <w:kern w:val="0"/>
                <w:sz w:val="24"/>
                <w:lang w:val="en-US" w:eastAsia="zh-CN" w:bidi="ar"/>
              </w:rPr>
            </w:pPr>
            <w:r>
              <w:rPr>
                <w:rFonts w:hint="eastAsia" w:cs="Times New Roman"/>
                <w:color w:val="auto"/>
                <w:kern w:val="0"/>
                <w:sz w:val="24"/>
                <w:lang w:val="en-US" w:eastAsia="zh-CN" w:bidi="ar"/>
              </w:rPr>
              <w:t>根据</w:t>
            </w:r>
            <w:r>
              <w:rPr>
                <w:rFonts w:hint="eastAsia" w:ascii="Times New Roman" w:hAnsi="Times New Roman" w:eastAsia="宋体" w:cs="Times New Roman"/>
                <w:color w:val="auto"/>
                <w:kern w:val="0"/>
                <w:sz w:val="24"/>
                <w:lang w:val="en-US" w:eastAsia="zh-CN" w:bidi="ar"/>
              </w:rPr>
              <w:t>南昌安达安全技术咨询有限公司</w:t>
            </w:r>
            <w:r>
              <w:rPr>
                <w:rFonts w:hint="eastAsia" w:cs="Times New Roman"/>
                <w:color w:val="auto"/>
                <w:kern w:val="0"/>
                <w:sz w:val="24"/>
                <w:lang w:val="en-US" w:eastAsia="zh-CN" w:bidi="ar"/>
              </w:rPr>
              <w:t>编制完成的《安全预评价报告》，根据《民用爆炸物品重大危险源辨识》（WJ/T9093-2018）的相关规定，对项目做如下辨识：</w:t>
            </w:r>
          </w:p>
          <w:p w14:paraId="006096FC">
            <w:pPr>
              <w:pStyle w:val="11"/>
              <w:spacing w:before="0" w:line="360" w:lineRule="auto"/>
              <w:ind w:firstLine="420" w:firstLineChars="200"/>
              <w:jc w:val="center"/>
              <w:rPr>
                <w:rFonts w:hint="eastAsia" w:ascii="Times New Roman" w:hAnsi="Times New Roman" w:eastAsia="黑体" w:cs="Times New Roman"/>
                <w:color w:val="auto"/>
                <w:sz w:val="21"/>
                <w:szCs w:val="21"/>
                <w:lang w:eastAsia="zh-CN"/>
              </w:rPr>
            </w:pPr>
          </w:p>
          <w:p w14:paraId="50FBC1DC">
            <w:pPr>
              <w:pStyle w:val="11"/>
              <w:spacing w:before="0" w:line="360" w:lineRule="auto"/>
              <w:ind w:firstLine="420" w:firstLineChars="200"/>
              <w:jc w:val="center"/>
              <w:rPr>
                <w:rFonts w:hint="eastAsia" w:ascii="Times New Roman" w:hAnsi="Times New Roman" w:eastAsia="黑体" w:cs="Times New Roman"/>
                <w:color w:val="auto"/>
                <w:sz w:val="21"/>
                <w:szCs w:val="21"/>
                <w:lang w:eastAsia="zh-CN"/>
              </w:rPr>
            </w:pPr>
          </w:p>
          <w:p w14:paraId="0CD4B3A5">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lang w:eastAsia="zh-CN"/>
              </w:rPr>
              <w:t>表</w:t>
            </w:r>
            <w:r>
              <w:rPr>
                <w:rFonts w:hint="eastAsia" w:ascii="Times New Roman" w:hAnsi="Times New Roman" w:eastAsia="黑体" w:cs="Times New Roman"/>
                <w:color w:val="auto"/>
                <w:sz w:val="21"/>
                <w:szCs w:val="21"/>
                <w:lang w:val="en-US" w:eastAsia="zh-CN"/>
              </w:rPr>
              <w:t>4-16   民用爆炸物品重大危险源辨识及分布情况表</w:t>
            </w:r>
          </w:p>
          <w:tbl>
            <w:tblPr>
              <w:tblStyle w:val="37"/>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358"/>
              <w:gridCol w:w="1263"/>
              <w:gridCol w:w="879"/>
              <w:gridCol w:w="1257"/>
              <w:gridCol w:w="1016"/>
              <w:gridCol w:w="1803"/>
            </w:tblGrid>
            <w:tr w14:paraId="75B42E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restart"/>
                  <w:tcBorders>
                    <w:tl2br w:val="nil"/>
                    <w:tr2bl w:val="nil"/>
                  </w:tcBorders>
                  <w:vAlign w:val="center"/>
                </w:tcPr>
                <w:p w14:paraId="507CA199">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序号</w:t>
                  </w:r>
                </w:p>
              </w:tc>
              <w:tc>
                <w:tcPr>
                  <w:tcW w:w="1610" w:type="pct"/>
                  <w:gridSpan w:val="2"/>
                  <w:tcBorders>
                    <w:tl2br w:val="nil"/>
                    <w:tr2bl w:val="nil"/>
                  </w:tcBorders>
                  <w:vAlign w:val="center"/>
                </w:tcPr>
                <w:p w14:paraId="13115DF2">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危险源分布地点</w:t>
                  </w:r>
                </w:p>
              </w:tc>
              <w:tc>
                <w:tcPr>
                  <w:tcW w:w="540" w:type="pct"/>
                  <w:vMerge w:val="restart"/>
                  <w:tcBorders>
                    <w:tl2br w:val="nil"/>
                    <w:tr2bl w:val="nil"/>
                  </w:tcBorders>
                  <w:vAlign w:val="center"/>
                </w:tcPr>
                <w:p w14:paraId="46888189">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临界量（</w:t>
                  </w:r>
                  <w:r>
                    <w:rPr>
                      <w:rFonts w:hint="default" w:ascii="Times New Roman" w:hAnsi="Times New Roman" w:eastAsia="宋体" w:cs="Times New Roman"/>
                      <w:color w:val="auto"/>
                      <w:sz w:val="18"/>
                      <w:szCs w:val="18"/>
                      <w:lang w:val="en-US" w:eastAsia="zh-CN"/>
                    </w:rPr>
                    <w:t>t</w:t>
                  </w:r>
                  <w:r>
                    <w:rPr>
                      <w:rFonts w:hint="eastAsia" w:ascii="Times New Roman" w:hAnsi="Times New Roman" w:eastAsia="宋体" w:cs="Times New Roman"/>
                      <w:color w:val="auto"/>
                      <w:sz w:val="18"/>
                      <w:szCs w:val="18"/>
                      <w:lang w:val="en-US" w:eastAsia="zh-CN"/>
                    </w:rPr>
                    <w:t>）</w:t>
                  </w:r>
                </w:p>
              </w:tc>
              <w:tc>
                <w:tcPr>
                  <w:tcW w:w="772" w:type="pct"/>
                  <w:vMerge w:val="restart"/>
                  <w:tcBorders>
                    <w:tl2br w:val="nil"/>
                    <w:tr2bl w:val="nil"/>
                  </w:tcBorders>
                  <w:vAlign w:val="center"/>
                </w:tcPr>
                <w:p w14:paraId="71332DE2">
                  <w:pPr>
                    <w:pStyle w:val="4"/>
                    <w:autoSpaceDE w:val="0"/>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规定存药量</w:t>
                  </w:r>
                </w:p>
                <w:p w14:paraId="4C5BAFA5">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t</w:t>
                  </w:r>
                  <w:r>
                    <w:rPr>
                      <w:rFonts w:hint="eastAsia" w:ascii="Times New Roman" w:hAnsi="Times New Roman" w:eastAsia="宋体" w:cs="Times New Roman"/>
                      <w:color w:val="auto"/>
                      <w:sz w:val="18"/>
                      <w:szCs w:val="18"/>
                      <w:lang w:val="en-US" w:eastAsia="zh-CN"/>
                    </w:rPr>
                    <w:t>）</w:t>
                  </w:r>
                </w:p>
              </w:tc>
              <w:tc>
                <w:tcPr>
                  <w:tcW w:w="624" w:type="pct"/>
                  <w:vMerge w:val="restart"/>
                  <w:tcBorders>
                    <w:tl2br w:val="nil"/>
                    <w:tr2bl w:val="nil"/>
                  </w:tcBorders>
                  <w:vAlign w:val="center"/>
                </w:tcPr>
                <w:p w14:paraId="52DC6E4C">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计算结果</w:t>
                  </w:r>
                </w:p>
              </w:tc>
              <w:tc>
                <w:tcPr>
                  <w:tcW w:w="1107" w:type="pct"/>
                  <w:vMerge w:val="restart"/>
                  <w:tcBorders>
                    <w:tl2br w:val="nil"/>
                    <w:tr2bl w:val="nil"/>
                  </w:tcBorders>
                  <w:vAlign w:val="center"/>
                </w:tcPr>
                <w:p w14:paraId="01B8A4C8">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辨识结果</w:t>
                  </w:r>
                </w:p>
              </w:tc>
            </w:tr>
            <w:tr w14:paraId="2A880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continue"/>
                  <w:tcBorders>
                    <w:tl2br w:val="nil"/>
                    <w:tr2bl w:val="nil"/>
                  </w:tcBorders>
                  <w:vAlign w:val="center"/>
                </w:tcPr>
                <w:p w14:paraId="3A68995C">
                  <w:pPr>
                    <w:pStyle w:val="4"/>
                    <w:autoSpaceDE w:val="0"/>
                    <w:ind w:firstLine="0"/>
                    <w:jc w:val="center"/>
                    <w:rPr>
                      <w:rFonts w:hint="default" w:ascii="Times New Roman" w:hAnsi="Times New Roman" w:eastAsia="宋体" w:cs="Times New Roman"/>
                      <w:color w:val="auto"/>
                      <w:sz w:val="18"/>
                      <w:szCs w:val="18"/>
                      <w:lang w:val="en-US" w:eastAsia="zh-CN"/>
                    </w:rPr>
                  </w:pPr>
                </w:p>
              </w:tc>
              <w:tc>
                <w:tcPr>
                  <w:tcW w:w="834" w:type="pct"/>
                  <w:tcBorders>
                    <w:tl2br w:val="nil"/>
                    <w:tr2bl w:val="nil"/>
                  </w:tcBorders>
                  <w:vAlign w:val="center"/>
                </w:tcPr>
                <w:p w14:paraId="440469B9">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仓库名称</w:t>
                  </w:r>
                </w:p>
              </w:tc>
              <w:tc>
                <w:tcPr>
                  <w:tcW w:w="776" w:type="pct"/>
                  <w:tcBorders>
                    <w:tl2br w:val="nil"/>
                    <w:tr2bl w:val="nil"/>
                  </w:tcBorders>
                  <w:vAlign w:val="center"/>
                </w:tcPr>
                <w:p w14:paraId="0C0D3B84">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危险品种类</w:t>
                  </w:r>
                </w:p>
              </w:tc>
              <w:tc>
                <w:tcPr>
                  <w:tcW w:w="540" w:type="pct"/>
                  <w:vMerge w:val="continue"/>
                  <w:tcBorders>
                    <w:tl2br w:val="nil"/>
                    <w:tr2bl w:val="nil"/>
                  </w:tcBorders>
                  <w:vAlign w:val="center"/>
                </w:tcPr>
                <w:p w14:paraId="00B5118D">
                  <w:pPr>
                    <w:pStyle w:val="4"/>
                    <w:autoSpaceDE w:val="0"/>
                    <w:ind w:firstLine="0"/>
                    <w:jc w:val="center"/>
                    <w:rPr>
                      <w:rFonts w:hint="default" w:ascii="Times New Roman" w:hAnsi="Times New Roman" w:eastAsia="宋体" w:cs="Times New Roman"/>
                      <w:color w:val="auto"/>
                      <w:sz w:val="18"/>
                      <w:szCs w:val="18"/>
                      <w:lang w:val="en-US" w:eastAsia="zh-CN"/>
                    </w:rPr>
                  </w:pPr>
                </w:p>
              </w:tc>
              <w:tc>
                <w:tcPr>
                  <w:tcW w:w="772" w:type="pct"/>
                  <w:vMerge w:val="continue"/>
                  <w:tcBorders>
                    <w:tl2br w:val="nil"/>
                    <w:tr2bl w:val="nil"/>
                  </w:tcBorders>
                  <w:vAlign w:val="center"/>
                </w:tcPr>
                <w:p w14:paraId="58F24AEF">
                  <w:pPr>
                    <w:pStyle w:val="4"/>
                    <w:autoSpaceDE w:val="0"/>
                    <w:ind w:firstLine="0"/>
                    <w:jc w:val="center"/>
                    <w:rPr>
                      <w:rFonts w:hint="default" w:ascii="Times New Roman" w:hAnsi="Times New Roman" w:eastAsia="宋体" w:cs="Times New Roman"/>
                      <w:color w:val="auto"/>
                      <w:sz w:val="18"/>
                      <w:szCs w:val="18"/>
                      <w:lang w:val="en-US" w:eastAsia="zh-CN"/>
                    </w:rPr>
                  </w:pPr>
                </w:p>
              </w:tc>
              <w:tc>
                <w:tcPr>
                  <w:tcW w:w="624" w:type="pct"/>
                  <w:vMerge w:val="continue"/>
                  <w:tcBorders>
                    <w:tl2br w:val="nil"/>
                    <w:tr2bl w:val="nil"/>
                  </w:tcBorders>
                  <w:vAlign w:val="center"/>
                </w:tcPr>
                <w:p w14:paraId="296A24EE">
                  <w:pPr>
                    <w:pStyle w:val="4"/>
                    <w:autoSpaceDE w:val="0"/>
                    <w:ind w:firstLine="0"/>
                    <w:jc w:val="center"/>
                    <w:rPr>
                      <w:rFonts w:hint="default" w:ascii="Times New Roman" w:hAnsi="Times New Roman" w:eastAsia="宋体" w:cs="Times New Roman"/>
                      <w:color w:val="auto"/>
                      <w:sz w:val="18"/>
                      <w:szCs w:val="18"/>
                      <w:lang w:val="en-US" w:eastAsia="zh-CN"/>
                    </w:rPr>
                  </w:pPr>
                </w:p>
              </w:tc>
              <w:tc>
                <w:tcPr>
                  <w:tcW w:w="1107" w:type="pct"/>
                  <w:vMerge w:val="continue"/>
                  <w:tcBorders>
                    <w:tl2br w:val="nil"/>
                    <w:tr2bl w:val="nil"/>
                  </w:tcBorders>
                  <w:vAlign w:val="center"/>
                </w:tcPr>
                <w:p w14:paraId="1B100283">
                  <w:pPr>
                    <w:pStyle w:val="4"/>
                    <w:autoSpaceDE w:val="0"/>
                    <w:ind w:firstLine="0"/>
                    <w:jc w:val="center"/>
                    <w:rPr>
                      <w:rFonts w:hint="default" w:ascii="Times New Roman" w:hAnsi="Times New Roman" w:eastAsia="宋体" w:cs="Times New Roman"/>
                      <w:color w:val="auto"/>
                      <w:sz w:val="18"/>
                      <w:szCs w:val="18"/>
                      <w:lang w:val="en-US" w:eastAsia="zh-CN"/>
                    </w:rPr>
                  </w:pPr>
                </w:p>
              </w:tc>
            </w:tr>
            <w:tr w14:paraId="532C5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l2br w:val="nil"/>
                    <w:tr2bl w:val="nil"/>
                  </w:tcBorders>
                  <w:vAlign w:val="center"/>
                </w:tcPr>
                <w:p w14:paraId="5ADD742F">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34" w:type="pct"/>
                  <w:tcBorders>
                    <w:tl2br w:val="nil"/>
                    <w:tr2bl w:val="nil"/>
                  </w:tcBorders>
                  <w:vAlign w:val="center"/>
                </w:tcPr>
                <w:p w14:paraId="5647A1D3">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101炸药库</w:t>
                  </w:r>
                </w:p>
              </w:tc>
              <w:tc>
                <w:tcPr>
                  <w:tcW w:w="776" w:type="pct"/>
                  <w:tcBorders>
                    <w:tl2br w:val="nil"/>
                    <w:tr2bl w:val="nil"/>
                  </w:tcBorders>
                  <w:vAlign w:val="center"/>
                </w:tcPr>
                <w:p w14:paraId="1A9DA3AF">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乳化炸药</w:t>
                  </w:r>
                </w:p>
              </w:tc>
              <w:tc>
                <w:tcPr>
                  <w:tcW w:w="540" w:type="pct"/>
                  <w:tcBorders>
                    <w:tl2br w:val="nil"/>
                    <w:tr2bl w:val="nil"/>
                  </w:tcBorders>
                  <w:vAlign w:val="center"/>
                </w:tcPr>
                <w:p w14:paraId="7A3CB693">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772" w:type="pct"/>
                  <w:tcBorders>
                    <w:tl2br w:val="nil"/>
                    <w:tr2bl w:val="nil"/>
                  </w:tcBorders>
                  <w:vAlign w:val="center"/>
                </w:tcPr>
                <w:p w14:paraId="31C2D0E2">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624" w:type="pct"/>
                  <w:tcBorders>
                    <w:tl2br w:val="nil"/>
                    <w:tr2bl w:val="nil"/>
                  </w:tcBorders>
                  <w:vAlign w:val="center"/>
                </w:tcPr>
                <w:p w14:paraId="53ED417F">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1107" w:type="pct"/>
                  <w:tcBorders>
                    <w:tl2br w:val="nil"/>
                    <w:tr2bl w:val="nil"/>
                  </w:tcBorders>
                  <w:vAlign w:val="center"/>
                </w:tcPr>
                <w:p w14:paraId="6DD15B51">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未构成重大危险源</w:t>
                  </w:r>
                </w:p>
              </w:tc>
            </w:tr>
            <w:tr w14:paraId="4A6576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l2br w:val="nil"/>
                    <w:tr2bl w:val="nil"/>
                  </w:tcBorders>
                  <w:vAlign w:val="center"/>
                </w:tcPr>
                <w:p w14:paraId="407B50C8">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34" w:type="pct"/>
                  <w:tcBorders>
                    <w:tl2br w:val="nil"/>
                    <w:tr2bl w:val="nil"/>
                  </w:tcBorders>
                  <w:vAlign w:val="center"/>
                </w:tcPr>
                <w:p w14:paraId="53BAC1E1">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102炸药库</w:t>
                  </w:r>
                </w:p>
              </w:tc>
              <w:tc>
                <w:tcPr>
                  <w:tcW w:w="776" w:type="pct"/>
                  <w:tcBorders>
                    <w:tl2br w:val="nil"/>
                    <w:tr2bl w:val="nil"/>
                  </w:tcBorders>
                  <w:vAlign w:val="center"/>
                </w:tcPr>
                <w:p w14:paraId="0FDD1C77">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乳化炸药</w:t>
                  </w:r>
                </w:p>
              </w:tc>
              <w:tc>
                <w:tcPr>
                  <w:tcW w:w="540" w:type="pct"/>
                  <w:tcBorders>
                    <w:tl2br w:val="nil"/>
                    <w:tr2bl w:val="nil"/>
                  </w:tcBorders>
                  <w:vAlign w:val="center"/>
                </w:tcPr>
                <w:p w14:paraId="25E74ED2">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772" w:type="pct"/>
                  <w:tcBorders>
                    <w:tl2br w:val="nil"/>
                    <w:tr2bl w:val="nil"/>
                  </w:tcBorders>
                  <w:vAlign w:val="center"/>
                </w:tcPr>
                <w:p w14:paraId="76C26930">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624" w:type="pct"/>
                  <w:tcBorders>
                    <w:tl2br w:val="nil"/>
                    <w:tr2bl w:val="nil"/>
                  </w:tcBorders>
                  <w:vAlign w:val="center"/>
                </w:tcPr>
                <w:p w14:paraId="553D134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1107" w:type="pct"/>
                  <w:tcBorders>
                    <w:tl2br w:val="nil"/>
                    <w:tr2bl w:val="nil"/>
                  </w:tcBorders>
                  <w:vAlign w:val="center"/>
                </w:tcPr>
                <w:p w14:paraId="4EEAD4C7">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未构成重大危险源</w:t>
                  </w:r>
                </w:p>
              </w:tc>
            </w:tr>
            <w:tr w14:paraId="23A4B8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l2br w:val="nil"/>
                    <w:tr2bl w:val="nil"/>
                  </w:tcBorders>
                  <w:vAlign w:val="center"/>
                </w:tcPr>
                <w:p w14:paraId="2498A033">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34" w:type="pct"/>
                  <w:tcBorders>
                    <w:tl2br w:val="nil"/>
                    <w:tr2bl w:val="nil"/>
                  </w:tcBorders>
                  <w:vAlign w:val="center"/>
                </w:tcPr>
                <w:p w14:paraId="5417368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103炸药库</w:t>
                  </w:r>
                </w:p>
              </w:tc>
              <w:tc>
                <w:tcPr>
                  <w:tcW w:w="776" w:type="pct"/>
                  <w:tcBorders>
                    <w:tl2br w:val="nil"/>
                    <w:tr2bl w:val="nil"/>
                  </w:tcBorders>
                  <w:vAlign w:val="center"/>
                </w:tcPr>
                <w:p w14:paraId="2586B295">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乳化炸药、工业导爆索</w:t>
                  </w:r>
                </w:p>
              </w:tc>
              <w:tc>
                <w:tcPr>
                  <w:tcW w:w="540" w:type="pct"/>
                  <w:tcBorders>
                    <w:tl2br w:val="nil"/>
                    <w:tr2bl w:val="nil"/>
                  </w:tcBorders>
                  <w:vAlign w:val="center"/>
                </w:tcPr>
                <w:p w14:paraId="0581E5E1">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772" w:type="pct"/>
                  <w:tcBorders>
                    <w:tl2br w:val="nil"/>
                    <w:tr2bl w:val="nil"/>
                  </w:tcBorders>
                  <w:vAlign w:val="center"/>
                </w:tcPr>
                <w:p w14:paraId="37296F0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624" w:type="pct"/>
                  <w:tcBorders>
                    <w:tl2br w:val="nil"/>
                    <w:tr2bl w:val="nil"/>
                  </w:tcBorders>
                  <w:vAlign w:val="center"/>
                </w:tcPr>
                <w:p w14:paraId="25E52A8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1107" w:type="pct"/>
                  <w:tcBorders>
                    <w:tl2br w:val="nil"/>
                    <w:tr2bl w:val="nil"/>
                  </w:tcBorders>
                  <w:vAlign w:val="center"/>
                </w:tcPr>
                <w:p w14:paraId="138C4F3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未构成重大危险源</w:t>
                  </w:r>
                </w:p>
              </w:tc>
            </w:tr>
            <w:tr w14:paraId="2ECE8F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l2br w:val="nil"/>
                    <w:tr2bl w:val="nil"/>
                  </w:tcBorders>
                  <w:vAlign w:val="center"/>
                </w:tcPr>
                <w:p w14:paraId="1B8DEA49">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34" w:type="pct"/>
                  <w:tcBorders>
                    <w:tl2br w:val="nil"/>
                    <w:tr2bl w:val="nil"/>
                  </w:tcBorders>
                  <w:vAlign w:val="center"/>
                </w:tcPr>
                <w:p w14:paraId="70A32E66">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104雷管库</w:t>
                  </w:r>
                </w:p>
              </w:tc>
              <w:tc>
                <w:tcPr>
                  <w:tcW w:w="776" w:type="pct"/>
                  <w:tcBorders>
                    <w:tl2br w:val="nil"/>
                    <w:tr2bl w:val="nil"/>
                  </w:tcBorders>
                  <w:vAlign w:val="center"/>
                </w:tcPr>
                <w:p w14:paraId="19B51EA1">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工业雷管</w:t>
                  </w:r>
                </w:p>
              </w:tc>
              <w:tc>
                <w:tcPr>
                  <w:tcW w:w="540" w:type="pct"/>
                  <w:tcBorders>
                    <w:tl2br w:val="nil"/>
                    <w:tr2bl w:val="nil"/>
                  </w:tcBorders>
                  <w:vAlign w:val="center"/>
                </w:tcPr>
                <w:p w14:paraId="6B61F003">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772" w:type="pct"/>
                  <w:tcBorders>
                    <w:tl2br w:val="nil"/>
                    <w:tr2bl w:val="nil"/>
                  </w:tcBorders>
                  <w:vAlign w:val="center"/>
                </w:tcPr>
                <w:p w14:paraId="497CF01B">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624" w:type="pct"/>
                  <w:tcBorders>
                    <w:tl2br w:val="nil"/>
                    <w:tr2bl w:val="nil"/>
                  </w:tcBorders>
                  <w:vAlign w:val="center"/>
                </w:tcPr>
                <w:p w14:paraId="5F8C6EB0">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0.004</w:t>
                  </w:r>
                </w:p>
              </w:tc>
              <w:tc>
                <w:tcPr>
                  <w:tcW w:w="1107" w:type="pct"/>
                  <w:tcBorders>
                    <w:tl2br w:val="nil"/>
                    <w:tr2bl w:val="nil"/>
                  </w:tcBorders>
                  <w:vAlign w:val="center"/>
                </w:tcPr>
                <w:p w14:paraId="4CE407B9">
                  <w:pPr>
                    <w:pStyle w:val="4"/>
                    <w:autoSpaceDE w:val="0"/>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未构成重大危险源</w:t>
                  </w:r>
                </w:p>
              </w:tc>
            </w:tr>
          </w:tbl>
          <w:p w14:paraId="1DC868FE">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根据上述辨识结果可知：项目验收通过后，如按照本设计方案进行民用爆炸物品的储存，则湖南涟邵建设工程（集团）有限责任公司新平分公司云南省玉溪大红山矿业湖南涟邵建设工程（集团）有限责任公司民用爆炸物品储存库区内的101炸药库、102炸药库、103炸药库、104雷管库均不构成重大危险源。</w:t>
            </w:r>
          </w:p>
          <w:p w14:paraId="764B9BE0">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建议企业严格按照最大核定药量储存，严禁超量储存。</w:t>
            </w:r>
          </w:p>
          <w:p w14:paraId="1CDF104E">
            <w:pPr>
              <w:spacing w:before="120" w:beforeLines="50" w:line="360" w:lineRule="auto"/>
              <w:jc w:val="left"/>
              <w:rPr>
                <w:rFonts w:hint="eastAsia" w:ascii="Times New Roman" w:hAnsi="Times New Roman" w:eastAsia="黑体" w:cs="Times New Roman"/>
                <w:bCs/>
                <w:color w:val="auto"/>
                <w:sz w:val="24"/>
                <w:lang w:eastAsia="zh-CN"/>
              </w:rPr>
            </w:pPr>
            <w:r>
              <w:rPr>
                <w:rFonts w:hint="eastAsia" w:ascii="Times New Roman" w:hAnsi="Times New Roman" w:eastAsia="黑体" w:cs="Times New Roman"/>
                <w:bCs/>
                <w:color w:val="auto"/>
                <w:sz w:val="24"/>
                <w:lang w:val="en-US" w:eastAsia="zh-CN"/>
              </w:rPr>
              <w:t>2、</w:t>
            </w:r>
            <w:r>
              <w:rPr>
                <w:rFonts w:hint="eastAsia" w:ascii="Times New Roman" w:hAnsi="Times New Roman" w:eastAsia="黑体" w:cs="Times New Roman"/>
                <w:bCs/>
                <w:color w:val="auto"/>
                <w:sz w:val="24"/>
                <w:lang w:eastAsia="zh-CN"/>
              </w:rPr>
              <w:t>储存设施风险识别</w:t>
            </w:r>
          </w:p>
          <w:p w14:paraId="0B13728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根据《民用爆炸物品工程设计安全标准》（GB50089-2018）的规定，本项目库房危险等级为1.1级，每个单独库房都具有整体爆炸危险性。项目可能引发风险事故主要原因包括：</w:t>
            </w:r>
          </w:p>
          <w:p w14:paraId="00C9790A">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①炸药中的硝酸铵组分会发生自然分解放出热量，遇明火温度达到爆发点时可能发生燃烧或爆炸；</w:t>
            </w:r>
          </w:p>
          <w:p w14:paraId="42CA275D">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②炸药中的氧化剂和可燃剂会缓慢反应，热量得不到及时散发时易发生燃烧而引起爆炸；</w:t>
            </w:r>
          </w:p>
          <w:p w14:paraId="6B4664C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③储存过程中混入不相容的物质，发生化学反应，使炸药燃烧，乃至爆炸；</w:t>
            </w:r>
          </w:p>
          <w:p w14:paraId="66FFFAFA">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④有火源引入炸药库，产生燃烧、爆炸事故；</w:t>
            </w:r>
          </w:p>
          <w:p w14:paraId="2A309C7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⑤操作人员违章携带通讯设施和其他电气设施。</w:t>
            </w:r>
          </w:p>
          <w:p w14:paraId="26BC0F25">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火灾爆炸主要引起环境污染、人员伤亡、财产损失。</w:t>
            </w:r>
          </w:p>
          <w:p w14:paraId="1DE1B03E">
            <w:pPr>
              <w:spacing w:before="120" w:beforeLines="50" w:line="360" w:lineRule="auto"/>
              <w:jc w:val="left"/>
              <w:rPr>
                <w:rFonts w:hint="eastAsia" w:ascii="Times New Roman" w:hAnsi="Times New Roman" w:eastAsia="黑体" w:cs="Times New Roman"/>
                <w:bCs/>
                <w:color w:val="auto"/>
                <w:sz w:val="24"/>
                <w:lang w:eastAsia="zh-CN"/>
              </w:rPr>
            </w:pPr>
            <w:r>
              <w:rPr>
                <w:rFonts w:hint="eastAsia" w:ascii="Times New Roman" w:hAnsi="Times New Roman" w:eastAsia="黑体" w:cs="Times New Roman"/>
                <w:bCs/>
                <w:color w:val="auto"/>
                <w:sz w:val="24"/>
                <w:lang w:val="en-US" w:eastAsia="zh-CN"/>
              </w:rPr>
              <w:t>3、</w:t>
            </w:r>
            <w:r>
              <w:rPr>
                <w:rFonts w:hint="eastAsia" w:ascii="Times New Roman" w:hAnsi="Times New Roman" w:eastAsia="黑体" w:cs="Times New Roman"/>
                <w:bCs/>
                <w:color w:val="auto"/>
                <w:sz w:val="24"/>
                <w:lang w:eastAsia="zh-CN"/>
              </w:rPr>
              <w:t>运输系统风险识别</w:t>
            </w:r>
          </w:p>
          <w:p w14:paraId="58B095B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本项目爆炸性物质的运输工作由专业运输公司运输，项目爆炸性物质均采购</w:t>
            </w:r>
            <w:r>
              <w:rPr>
                <w:rFonts w:hint="eastAsia" w:cs="Times New Roman"/>
                <w:color w:val="auto"/>
                <w:kern w:val="0"/>
                <w:sz w:val="24"/>
                <w:lang w:val="en-US" w:eastAsia="zh-CN" w:bidi="ar"/>
              </w:rPr>
              <w:t>于</w:t>
            </w:r>
            <w:r>
              <w:rPr>
                <w:rFonts w:hint="eastAsia" w:ascii="Times New Roman" w:hAnsi="Times New Roman" w:eastAsia="宋体" w:cs="Times New Roman"/>
                <w:color w:val="auto"/>
                <w:kern w:val="0"/>
                <w:sz w:val="24"/>
                <w:lang w:val="en-US" w:eastAsia="zh-CN" w:bidi="ar"/>
              </w:rPr>
              <w:t>专业生产企业，拟定入库运输路线为：炸药厂家→高速路或国道→县道→村道→炸药库。出库路线为：炸药库→村道→县道→玉溪大红山矿业有限公司铁矿。运输路线采用绕城路线，严格按公安局指定的运输路线行驶，不经过城区，运输时间尽量避开交通高峰期。不经过人口密集区、加油站、繁华路段等区域，也尽量不经过事故高发地。运输风险与固定场所的风险不同，风险是迁移的，而且公路运输还要考虑到公路及运输车辆等相关特征。运输过程中的风险特征如下表所示。运输中可能发生的火灾、爆炸，并造成人员伤亡、环境灾害等事故。</w:t>
            </w:r>
          </w:p>
          <w:p w14:paraId="7E6E2653">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1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①</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未使用符合要求的运输车，易发生危险品丢失或交通意外引发燃烧、爆炸；</w:t>
            </w:r>
          </w:p>
          <w:p w14:paraId="60B3E41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2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②</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性质相抵触的危险品、不合格品同车运输，易发生燃烧爆炸；</w:t>
            </w:r>
          </w:p>
          <w:p w14:paraId="175F4F1C">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3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③</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车辆超载、车辆故障、交通事故等，易造成车辆受损、人员伤害及燃烧；</w:t>
            </w:r>
          </w:p>
          <w:p w14:paraId="099724A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4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④</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外部的闪电雷击、明火等自然灾害影响，均可能引起危险品的燃烧或爆炸。</w:t>
            </w:r>
          </w:p>
          <w:p w14:paraId="34547340">
            <w:pPr>
              <w:spacing w:before="120" w:beforeLines="50" w:line="360" w:lineRule="auto"/>
              <w:jc w:val="left"/>
              <w:rPr>
                <w:rFonts w:hint="eastAsia" w:ascii="Times New Roman" w:hAnsi="Times New Roman" w:eastAsia="黑体" w:cs="Times New Roman"/>
                <w:bCs/>
                <w:color w:val="auto"/>
                <w:sz w:val="24"/>
                <w:lang w:val="en-US" w:eastAsia="zh-CN"/>
              </w:rPr>
            </w:pPr>
            <w:r>
              <w:rPr>
                <w:rFonts w:hint="eastAsia" w:ascii="Times New Roman" w:hAnsi="Times New Roman" w:eastAsia="黑体" w:cs="Times New Roman"/>
                <w:bCs/>
                <w:color w:val="auto"/>
                <w:sz w:val="24"/>
                <w:lang w:val="en-US" w:eastAsia="zh-CN"/>
              </w:rPr>
              <w:t>4、事故处理过程伴生/次生污染识别</w:t>
            </w:r>
          </w:p>
          <w:p w14:paraId="7AD46C06">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1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①</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危险爆炸物品爆炸及引起火灾事故产生的危险废物</w:t>
            </w:r>
          </w:p>
          <w:p w14:paraId="6EDBAF75">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本项目库区所储存的爆炸性物质发生爆炸、火灾事故时，火灾过程中用水灭火，会产生事故废水。</w:t>
            </w:r>
          </w:p>
          <w:p w14:paraId="71A6A774">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2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②</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爆炸、火灾事故产生的粉尘、氮氧化物和一氧化碳</w:t>
            </w:r>
          </w:p>
          <w:p w14:paraId="1A10FECE">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本项目库区所储存的爆炸性物质发生爆炸、火灾事故时，会伴生大量的粉尘、氮氧化物和一氧化碳，将对周围环境产生影响。</w:t>
            </w:r>
          </w:p>
          <w:p w14:paraId="65179E18">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7.4同类事故案例与原因分析</w:t>
            </w:r>
          </w:p>
          <w:p w14:paraId="5260790B">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1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①</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2013年5月20日10时51分许，位于山东省章丘市的保利民爆济南科技有限公司乳化震源药柱生产车间发生爆炸事故，造成33人死亡，19人受伤，直接经济损失6600余万元。其中死亡人员为车间工人30人，车间外施工人员3人；受伤人员19人为车间工人4人，车间外施工人员9人，其他区域受伤6人（含车间监控室值班员1人，周边其他区域人员5人）。爆炸时502工房总药量为3.7吨，参与爆炸药量约2.4吨，折算成TNT炸药当量约1.8吨。爆炸造成502工房生产线及设备粉碎性破坏，建筑物整体坍塌，周围建筑物破坏范围约为265米。事故直接原因为，震源药柱废药在回收复用过程中混入了起爆件中的太安，提高了危险系数。太安在4号装药机内受到强力摩擦、挤压、撞击，瞬间发生爆炸，引爆了4号装药机内乳化炸药，从而殉爆了502工房内其他部位炸药。硝化炸药爆炸时，产生大量的NO</w:t>
            </w:r>
            <w:r>
              <w:rPr>
                <w:rFonts w:hint="eastAsia" w:ascii="Times New Roman" w:hAnsi="Times New Roman" w:eastAsia="宋体" w:cs="Times New Roman"/>
                <w:color w:val="auto"/>
                <w:kern w:val="0"/>
                <w:sz w:val="24"/>
                <w:vertAlign w:val="subscript"/>
                <w:lang w:val="en-US" w:eastAsia="zh-CN" w:bidi="ar"/>
              </w:rPr>
              <w:t>2</w:t>
            </w:r>
            <w:r>
              <w:rPr>
                <w:rFonts w:hint="eastAsia" w:ascii="Times New Roman" w:hAnsi="Times New Roman" w:eastAsia="宋体" w:cs="Times New Roman"/>
                <w:color w:val="auto"/>
                <w:kern w:val="0"/>
                <w:sz w:val="24"/>
                <w:lang w:val="en-US" w:eastAsia="zh-CN" w:bidi="ar"/>
              </w:rPr>
              <w:t>气体，吸入肺脏后，引起肺水肿，严重时可以致人死亡。某日15时，张某等4人在某铁矿5号进路修理机器时，与之相通的6号进路突然发生爆炸；5号进路同6号进路平行，由联巷</w:t>
            </w:r>
            <w:r>
              <w:rPr>
                <w:rFonts w:hint="eastAsia" w:cs="Times New Roman"/>
                <w:color w:val="auto"/>
                <w:kern w:val="0"/>
                <w:sz w:val="24"/>
                <w:lang w:val="en-US" w:eastAsia="zh-CN" w:bidi="ar"/>
              </w:rPr>
              <w:t>连通</w:t>
            </w:r>
            <w:r>
              <w:rPr>
                <w:rFonts w:hint="eastAsia" w:ascii="Times New Roman" w:hAnsi="Times New Roman" w:eastAsia="宋体" w:cs="Times New Roman"/>
                <w:color w:val="auto"/>
                <w:kern w:val="0"/>
                <w:sz w:val="24"/>
                <w:lang w:val="en-US" w:eastAsia="zh-CN" w:bidi="ar"/>
              </w:rPr>
              <w:t>，爆炸点经联巷到作业点的距离为59.6m；炸药为2号岩石炸药，用量9kg。30min后，张某等4人逃出5号进路，于17时15分到医院就诊，其中1人死亡，其余3人经治疗痊愈出院。</w:t>
            </w:r>
          </w:p>
          <w:p w14:paraId="477D6FFE">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2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②</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2005年6月9日中午1时多，山西省某村一村民家中发生炸药爆炸。该村民所居住的二层小楼被夷为</w:t>
            </w:r>
            <w:r>
              <w:rPr>
                <w:rFonts w:hint="eastAsia" w:cs="Times New Roman"/>
                <w:color w:val="auto"/>
                <w:kern w:val="0"/>
                <w:sz w:val="24"/>
                <w:lang w:val="en-US" w:eastAsia="zh-CN" w:bidi="ar"/>
              </w:rPr>
              <w:t>平地</w:t>
            </w:r>
            <w:r>
              <w:rPr>
                <w:rFonts w:hint="eastAsia" w:ascii="Times New Roman" w:hAnsi="Times New Roman" w:eastAsia="宋体" w:cs="Times New Roman"/>
                <w:color w:val="auto"/>
                <w:kern w:val="0"/>
                <w:sz w:val="24"/>
                <w:lang w:val="en-US" w:eastAsia="zh-CN" w:bidi="ar"/>
              </w:rPr>
              <w:t>，邻近的5户26间房屋被毁，附近房屋也不同程度遭到破坏。距离爆炸中心100m处的居民楼玻璃全部被震碎，部分卷闸和门窗也被震坏，爆炸点对面的庄稼地里到处散落着电线、砖头、碎玻璃等。这是一起私藏炸药造成的爆炸事故，私藏炸药一般都将雷管与炸药一起存放，由于私制炸药性能不稳定，炸药易于分解引起火灾，当火灾至雷管时必将发生爆炸，继而引爆全部炸药。</w:t>
            </w:r>
          </w:p>
          <w:p w14:paraId="23D5EA4D">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fldChar w:fldCharType="begin"/>
            </w:r>
            <w:r>
              <w:rPr>
                <w:rFonts w:hint="eastAsia" w:ascii="Times New Roman" w:hAnsi="Times New Roman" w:eastAsia="宋体" w:cs="Times New Roman"/>
                <w:color w:val="auto"/>
                <w:kern w:val="0"/>
                <w:sz w:val="24"/>
                <w:lang w:val="en-US" w:eastAsia="zh-CN" w:bidi="ar"/>
              </w:rPr>
              <w:instrText xml:space="preserve"> = 3 \* GB3 \* MERGEFORMAT </w:instrText>
            </w:r>
            <w:r>
              <w:rPr>
                <w:rFonts w:hint="eastAsia" w:ascii="Times New Roman" w:hAnsi="Times New Roman" w:eastAsia="宋体" w:cs="Times New Roman"/>
                <w:color w:val="auto"/>
                <w:kern w:val="0"/>
                <w:sz w:val="24"/>
                <w:lang w:val="en-US" w:eastAsia="zh-CN" w:bidi="ar"/>
              </w:rPr>
              <w:fldChar w:fldCharType="separate"/>
            </w:r>
            <w:r>
              <w:rPr>
                <w:rFonts w:hint="eastAsia" w:ascii="Times New Roman" w:hAnsi="Times New Roman" w:eastAsia="宋体" w:cs="Times New Roman"/>
                <w:color w:val="auto"/>
                <w:kern w:val="0"/>
                <w:sz w:val="24"/>
                <w:lang w:val="en-US" w:eastAsia="zh-CN" w:bidi="ar"/>
              </w:rPr>
              <w:t>③</w:t>
            </w:r>
            <w:r>
              <w:rPr>
                <w:rFonts w:hint="eastAsia" w:ascii="Times New Roman" w:hAnsi="Times New Roman" w:eastAsia="宋体" w:cs="Times New Roman"/>
                <w:color w:val="auto"/>
                <w:kern w:val="0"/>
                <w:sz w:val="24"/>
                <w:lang w:val="en-US" w:eastAsia="zh-CN" w:bidi="ar"/>
              </w:rPr>
              <w:fldChar w:fldCharType="end"/>
            </w:r>
            <w:r>
              <w:rPr>
                <w:rFonts w:hint="eastAsia" w:ascii="Times New Roman" w:hAnsi="Times New Roman" w:eastAsia="宋体" w:cs="Times New Roman"/>
                <w:color w:val="auto"/>
                <w:kern w:val="0"/>
                <w:sz w:val="24"/>
                <w:lang w:val="en-US" w:eastAsia="zh-CN" w:bidi="ar"/>
              </w:rPr>
              <w:t>2004年3月31日上午7时，某矿山工作面实施爆破作业，爆破后使用空气压缩机和抽风机强制负压通气2h进行排烟，9时40分职工进入现场下部斜井第一工作面进行“出碴”作业，10时36分电网停电，空压机和抽风机无法正常工作，30min后发现刚进入现场第二工作面4.5m天井巷道内进行“出碴”作业的6名矿工急性中毒，其中2人当场死亡。炸药爆炸后，由于爆炸反应过程中C元素不能完全被氧化，生成大量的CO和其他的爆炸气体。在通风设备出现故障后，未排除的大量CO气体因空气涡流压力及升力的作用下迅速聚集于比第一作业面高4.5m的第二作业面天井内，矿工进入现场后急性中毒。</w:t>
            </w:r>
          </w:p>
          <w:p w14:paraId="74072319">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通过以上典型的事故调查可知，项目库区发生火灾、爆炸等事故产生的CO、NOx排放对环境产生次生影响。在发生事故时必须立即采取应急救援措施，并疏散危险区内的人员。</w:t>
            </w:r>
          </w:p>
          <w:p w14:paraId="007B2A33">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7.5环境风险类型及影响途径分析</w:t>
            </w:r>
          </w:p>
          <w:p w14:paraId="1FA390AB">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根据物质以及储运系统的危险性识别，本项目存在的环境风险类型主要为火灾爆炸引发的次生污染物排放。空气、水体和土壤等环境要素是危险性物质向环境转移最基本的途径，同时这三种要素之间又随时发生着物质和能量的传递，污染物进入环境后，随着空气和水体环境发生推流迁移、分散稀释和降解转化运动，本项目环境风险类型汇总见下表。</w:t>
            </w:r>
          </w:p>
          <w:p w14:paraId="153EAE72">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eastAsia" w:ascii="Times New Roman" w:hAnsi="Times New Roman" w:eastAsia="黑体" w:cs="Times New Roman"/>
                <w:bCs/>
                <w:color w:val="auto"/>
                <w:szCs w:val="21"/>
                <w:lang w:val="en-US" w:eastAsia="zh-CN"/>
              </w:rPr>
              <w:t>表4-</w:t>
            </w:r>
            <w:r>
              <w:rPr>
                <w:rFonts w:hint="eastAsia" w:eastAsia="黑体" w:cs="Times New Roman"/>
                <w:bCs/>
                <w:color w:val="auto"/>
                <w:szCs w:val="21"/>
                <w:lang w:val="en-US" w:eastAsia="zh-CN"/>
              </w:rPr>
              <w:t>17</w:t>
            </w:r>
            <w:r>
              <w:rPr>
                <w:rFonts w:hint="eastAsia" w:ascii="Times New Roman" w:hAnsi="Times New Roman" w:eastAsia="黑体" w:cs="Times New Roman"/>
                <w:bCs/>
                <w:color w:val="auto"/>
                <w:szCs w:val="21"/>
                <w:lang w:val="en-US" w:eastAsia="zh-CN"/>
              </w:rPr>
              <w:t xml:space="preserve">  环境风险类型及向环境转移的途径和方式</w:t>
            </w:r>
          </w:p>
          <w:tbl>
            <w:tblPr>
              <w:tblStyle w:val="37"/>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16"/>
              <w:gridCol w:w="1073"/>
              <w:gridCol w:w="1120"/>
              <w:gridCol w:w="1148"/>
              <w:gridCol w:w="3179"/>
            </w:tblGrid>
            <w:tr w14:paraId="7FE83FB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993" w:type="pct"/>
                  <w:tcBorders>
                    <w:tl2br w:val="nil"/>
                    <w:tr2bl w:val="nil"/>
                  </w:tcBorders>
                  <w:noWrap w:val="0"/>
                  <w:vAlign w:val="center"/>
                </w:tcPr>
                <w:p w14:paraId="74B8D02B">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环境风险源分布</w:t>
                  </w:r>
                </w:p>
              </w:tc>
              <w:tc>
                <w:tcPr>
                  <w:tcW w:w="659" w:type="pct"/>
                  <w:tcBorders>
                    <w:tl2br w:val="nil"/>
                    <w:tr2bl w:val="nil"/>
                  </w:tcBorders>
                  <w:noWrap w:val="0"/>
                  <w:vAlign w:val="center"/>
                </w:tcPr>
                <w:p w14:paraId="7E24F1B2">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危险物质</w:t>
                  </w:r>
                </w:p>
              </w:tc>
              <w:tc>
                <w:tcPr>
                  <w:tcW w:w="688" w:type="pct"/>
                  <w:tcBorders>
                    <w:tl2br w:val="nil"/>
                    <w:tr2bl w:val="nil"/>
                  </w:tcBorders>
                  <w:noWrap w:val="0"/>
                  <w:vAlign w:val="center"/>
                </w:tcPr>
                <w:p w14:paraId="62BCCB8B">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环境风险类型</w:t>
                  </w:r>
                </w:p>
              </w:tc>
              <w:tc>
                <w:tcPr>
                  <w:tcW w:w="705" w:type="pct"/>
                  <w:tcBorders>
                    <w:tl2br w:val="nil"/>
                    <w:tr2bl w:val="nil"/>
                  </w:tcBorders>
                  <w:noWrap w:val="0"/>
                  <w:vAlign w:val="center"/>
                </w:tcPr>
                <w:p w14:paraId="16E11AC7">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次生污染物</w:t>
                  </w:r>
                </w:p>
              </w:tc>
              <w:tc>
                <w:tcPr>
                  <w:tcW w:w="1953" w:type="pct"/>
                  <w:tcBorders>
                    <w:tl2br w:val="nil"/>
                    <w:tr2bl w:val="nil"/>
                  </w:tcBorders>
                  <w:noWrap w:val="0"/>
                  <w:vAlign w:val="center"/>
                </w:tcPr>
                <w:p w14:paraId="190718C1">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向环境转移的途径和方式</w:t>
                  </w:r>
                </w:p>
              </w:tc>
            </w:tr>
            <w:tr w14:paraId="451876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3" w:type="pct"/>
                  <w:tcBorders>
                    <w:tl2br w:val="nil"/>
                    <w:tr2bl w:val="nil"/>
                  </w:tcBorders>
                  <w:noWrap w:val="0"/>
                  <w:vAlign w:val="center"/>
                </w:tcPr>
                <w:p w14:paraId="1490FD76">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工业炸药库</w:t>
                  </w:r>
                </w:p>
              </w:tc>
              <w:tc>
                <w:tcPr>
                  <w:tcW w:w="659" w:type="pct"/>
                  <w:tcBorders>
                    <w:tl2br w:val="nil"/>
                    <w:tr2bl w:val="nil"/>
                  </w:tcBorders>
                  <w:noWrap w:val="0"/>
                  <w:vAlign w:val="center"/>
                </w:tcPr>
                <w:p w14:paraId="28FD2F79">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炸药</w:t>
                  </w:r>
                </w:p>
              </w:tc>
              <w:tc>
                <w:tcPr>
                  <w:tcW w:w="688" w:type="pct"/>
                  <w:tcBorders>
                    <w:tl2br w:val="nil"/>
                    <w:tr2bl w:val="nil"/>
                  </w:tcBorders>
                  <w:noWrap w:val="0"/>
                  <w:vAlign w:val="center"/>
                </w:tcPr>
                <w:p w14:paraId="45BD29BB">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爆炸</w:t>
                  </w:r>
                </w:p>
              </w:tc>
              <w:tc>
                <w:tcPr>
                  <w:tcW w:w="705" w:type="pct"/>
                  <w:vMerge w:val="restart"/>
                  <w:tcBorders>
                    <w:tl2br w:val="nil"/>
                    <w:tr2bl w:val="nil"/>
                  </w:tcBorders>
                  <w:noWrap w:val="0"/>
                  <w:vAlign w:val="center"/>
                </w:tcPr>
                <w:p w14:paraId="01465EFB">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CO、NO</w:t>
                  </w:r>
                  <w:r>
                    <w:rPr>
                      <w:rFonts w:hint="eastAsia" w:ascii="Times New Roman" w:hAnsi="Times New Roman" w:eastAsia="宋体" w:cs="Times New Roman"/>
                      <w:bCs/>
                      <w:color w:val="auto"/>
                      <w:sz w:val="18"/>
                      <w:szCs w:val="18"/>
                      <w:highlight w:val="none"/>
                      <w:vertAlign w:val="subscript"/>
                      <w:lang w:val="en-US" w:eastAsia="zh-CN"/>
                    </w:rPr>
                    <w:t>2</w:t>
                  </w:r>
                  <w:r>
                    <w:rPr>
                      <w:rFonts w:hint="eastAsia" w:ascii="Times New Roman" w:hAnsi="Times New Roman" w:eastAsia="宋体" w:cs="Times New Roman"/>
                      <w:bCs/>
                      <w:color w:val="auto"/>
                      <w:sz w:val="18"/>
                      <w:szCs w:val="18"/>
                      <w:highlight w:val="none"/>
                      <w:lang w:val="en-US" w:eastAsia="zh-CN"/>
                    </w:rPr>
                    <w:t>、消防废水</w:t>
                  </w:r>
                </w:p>
              </w:tc>
              <w:tc>
                <w:tcPr>
                  <w:tcW w:w="1953" w:type="pct"/>
                  <w:vMerge w:val="restart"/>
                  <w:tcBorders>
                    <w:tl2br w:val="nil"/>
                    <w:tr2bl w:val="nil"/>
                  </w:tcBorders>
                  <w:noWrap w:val="0"/>
                  <w:vAlign w:val="center"/>
                </w:tcPr>
                <w:p w14:paraId="685D4AE7">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气态污染物以气态形式进入大气环境；消防废水通过地面漫流或垂直入渗等形式进入地表水、土壤和地下水</w:t>
                  </w:r>
                </w:p>
              </w:tc>
            </w:tr>
            <w:tr w14:paraId="4FACDD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3" w:type="pct"/>
                  <w:tcBorders>
                    <w:tl2br w:val="nil"/>
                    <w:tr2bl w:val="nil"/>
                  </w:tcBorders>
                  <w:noWrap w:val="0"/>
                  <w:vAlign w:val="center"/>
                </w:tcPr>
                <w:p w14:paraId="0B600B59">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工业雷管库</w:t>
                  </w:r>
                </w:p>
              </w:tc>
              <w:tc>
                <w:tcPr>
                  <w:tcW w:w="659" w:type="pct"/>
                  <w:tcBorders>
                    <w:tl2br w:val="nil"/>
                    <w:tr2bl w:val="nil"/>
                  </w:tcBorders>
                  <w:noWrap w:val="0"/>
                  <w:vAlign w:val="center"/>
                </w:tcPr>
                <w:p w14:paraId="3508A1A4">
                  <w:pPr>
                    <w:pStyle w:val="109"/>
                    <w:topLinePunct/>
                    <w:adjustRightInd w:val="0"/>
                    <w:snapToGrid w:val="0"/>
                    <w:spacing w:line="240" w:lineRule="auto"/>
                    <w:ind w:firstLine="0" w:firstLineChars="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雷管</w:t>
                  </w:r>
                </w:p>
              </w:tc>
              <w:tc>
                <w:tcPr>
                  <w:tcW w:w="688" w:type="pct"/>
                  <w:tcBorders>
                    <w:tl2br w:val="nil"/>
                    <w:tr2bl w:val="nil"/>
                  </w:tcBorders>
                  <w:noWrap w:val="0"/>
                  <w:vAlign w:val="center"/>
                </w:tcPr>
                <w:p w14:paraId="4C63EFF3">
                  <w:pPr>
                    <w:pStyle w:val="109"/>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爆炸</w:t>
                  </w:r>
                </w:p>
              </w:tc>
              <w:tc>
                <w:tcPr>
                  <w:tcW w:w="705" w:type="pct"/>
                  <w:vMerge w:val="continue"/>
                  <w:tcBorders>
                    <w:tl2br w:val="nil"/>
                    <w:tr2bl w:val="nil"/>
                  </w:tcBorders>
                  <w:noWrap w:val="0"/>
                  <w:vAlign w:val="center"/>
                </w:tcPr>
                <w:p w14:paraId="4AF60786">
                  <w:pPr>
                    <w:pStyle w:val="124"/>
                    <w:bidi w:val="0"/>
                    <w:rPr>
                      <w:rFonts w:hint="eastAsia"/>
                      <w:color w:val="auto"/>
                      <w:lang w:eastAsia="zh-CN"/>
                    </w:rPr>
                  </w:pPr>
                </w:p>
              </w:tc>
              <w:tc>
                <w:tcPr>
                  <w:tcW w:w="1953" w:type="pct"/>
                  <w:vMerge w:val="continue"/>
                  <w:tcBorders>
                    <w:tl2br w:val="nil"/>
                    <w:tr2bl w:val="nil"/>
                  </w:tcBorders>
                  <w:noWrap w:val="0"/>
                  <w:vAlign w:val="center"/>
                </w:tcPr>
                <w:p w14:paraId="49271FFC">
                  <w:pPr>
                    <w:pStyle w:val="124"/>
                    <w:bidi w:val="0"/>
                    <w:rPr>
                      <w:rFonts w:hint="eastAsia"/>
                      <w:color w:val="auto"/>
                      <w:lang w:eastAsia="zh-CN"/>
                    </w:rPr>
                  </w:pPr>
                </w:p>
              </w:tc>
            </w:tr>
          </w:tbl>
          <w:p w14:paraId="17F1FDCA">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7.6环境风险分析</w:t>
            </w:r>
          </w:p>
          <w:p w14:paraId="4AF414E9">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（1）最大可信事故</w:t>
            </w:r>
          </w:p>
          <w:p w14:paraId="1A09F07F">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项目风险事故主要为存储的雷管、炸药发生爆炸事故，次要风险事故为运输事故。由于炸药库存储物质的TNT当量远大于雷管库存储的雷管，本项目存储过程的最大可信事故为炸药库爆炸事故。爆炸产生的CO、NOx扩散将造成区域大气污染，爆炸产生的爆炸波将对周围环境产生破坏、引发爆炸。消防产生的消防废水若收集不当进入外部，将对周边土壤、地表水产生污染。</w:t>
            </w:r>
          </w:p>
          <w:p w14:paraId="6DD51643">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项目事故风险概率的确定采用类比法，根据国内外炸药库事故概率分析，最大可信事故概</w:t>
            </w:r>
            <w:r>
              <w:rPr>
                <w:rFonts w:hint="default" w:ascii="Times New Roman" w:hAnsi="Times New Roman" w:eastAsia="宋体" w:cs="Times New Roman"/>
                <w:color w:val="auto"/>
                <w:kern w:val="0"/>
                <w:sz w:val="24"/>
                <w:lang w:val="en-US" w:eastAsia="zh-CN" w:bidi="ar"/>
              </w:rPr>
              <w:t>率为1×10</w:t>
            </w:r>
            <w:r>
              <w:rPr>
                <w:rFonts w:hint="default" w:ascii="Times New Roman" w:hAnsi="Times New Roman" w:eastAsia="宋体" w:cs="Times New Roman"/>
                <w:color w:val="auto"/>
                <w:kern w:val="0"/>
                <w:sz w:val="24"/>
                <w:vertAlign w:val="superscript"/>
                <w:lang w:val="en-US" w:eastAsia="zh-CN" w:bidi="ar"/>
              </w:rPr>
              <w:t>-5</w:t>
            </w:r>
            <w:r>
              <w:rPr>
                <w:rFonts w:hint="default" w:ascii="Times New Roman" w:hAnsi="Times New Roman" w:eastAsia="宋体" w:cs="Times New Roman"/>
                <w:color w:val="auto"/>
                <w:kern w:val="0"/>
                <w:sz w:val="24"/>
                <w:lang w:val="en-US" w:eastAsia="zh-CN" w:bidi="ar"/>
              </w:rPr>
              <w:t>/a。</w:t>
            </w:r>
          </w:p>
          <w:p w14:paraId="22341A81">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（2）大气环境风险影响分析</w:t>
            </w:r>
          </w:p>
          <w:p w14:paraId="7D12372E">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项目若发生爆炸事故，爆炸时产生的冲击波导致大量粉尘进入大气，会使爆炸区域粉尘含量远远高于周围地区，同时在风的作用下向四周扩散，但由于沉降作用，影响范围有限，且毒性较小；但爆炸会生成有毒气体，主要成分为一氧化碳（CO）、氮氧化物（NO</w:t>
            </w:r>
            <w:r>
              <w:rPr>
                <w:rFonts w:hint="eastAsia" w:ascii="Times New Roman" w:hAnsi="Times New Roman" w:eastAsia="宋体" w:cs="Times New Roman"/>
                <w:color w:val="auto"/>
                <w:kern w:val="0"/>
                <w:sz w:val="24"/>
                <w:vertAlign w:val="subscript"/>
                <w:lang w:val="en-US" w:eastAsia="zh-CN" w:bidi="ar"/>
              </w:rPr>
              <w:t>2</w:t>
            </w:r>
            <w:r>
              <w:rPr>
                <w:rFonts w:hint="eastAsia" w:ascii="Times New Roman" w:hAnsi="Times New Roman" w:eastAsia="宋体" w:cs="Times New Roman"/>
                <w:color w:val="auto"/>
                <w:kern w:val="0"/>
                <w:sz w:val="24"/>
                <w:lang w:val="en-US" w:eastAsia="zh-CN" w:bidi="ar"/>
              </w:rPr>
              <w:t>）。</w:t>
            </w:r>
          </w:p>
          <w:p w14:paraId="66271EC1">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CO中毒：动物在低浓度下出现不安、呼吸困难且缓慢、痉挛、感觉消失和死亡，高浓度时可突然倒下死亡。小鼠急性中毒可见痉挛、酸中毒，脑中糖元及葡萄糖含量低。狗的血液中COH</w:t>
            </w:r>
            <w:r>
              <w:rPr>
                <w:rFonts w:hint="default" w:ascii="Times New Roman" w:hAnsi="Times New Roman" w:eastAsia="宋体" w:cs="Times New Roman"/>
                <w:color w:val="auto"/>
                <w:kern w:val="0"/>
                <w:sz w:val="24"/>
                <w:vertAlign w:val="subscript"/>
                <w:lang w:val="en-US" w:eastAsia="zh-CN" w:bidi="ar"/>
              </w:rPr>
              <w:t>b</w:t>
            </w:r>
            <w:r>
              <w:rPr>
                <w:rFonts w:hint="default" w:ascii="Times New Roman" w:hAnsi="Times New Roman" w:eastAsia="宋体" w:cs="Times New Roman"/>
                <w:color w:val="auto"/>
                <w:kern w:val="0"/>
                <w:sz w:val="24"/>
                <w:lang w:val="en-US" w:eastAsia="zh-CN" w:bidi="ar"/>
              </w:rPr>
              <w:t>（碳氧血红蛋白）达50％～70％时，血压升高，腹腔血管中血流明显降低。尸解发现内脏充血及坏死。心肌脂肪过多、水肿变性及蛋白变性，大脑呈弥漫性增生，神经细胞变性，苍白核、四迭体、海马角出现软化灶、肝糖元降低、支气管肺炎等。</w:t>
            </w:r>
          </w:p>
          <w:p w14:paraId="774C167D">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NO</w:t>
            </w:r>
            <w:r>
              <w:rPr>
                <w:rFonts w:hint="eastAsia" w:ascii="Times New Roman" w:hAnsi="Times New Roman" w:eastAsia="宋体" w:cs="Times New Roman"/>
                <w:color w:val="auto"/>
                <w:kern w:val="0"/>
                <w:sz w:val="24"/>
                <w:vertAlign w:val="subscript"/>
                <w:lang w:val="en-US" w:eastAsia="zh-CN" w:bidi="ar"/>
              </w:rPr>
              <w:t>2</w:t>
            </w:r>
            <w:r>
              <w:rPr>
                <w:rFonts w:hint="eastAsia" w:ascii="Times New Roman" w:hAnsi="Times New Roman" w:eastAsia="宋体" w:cs="Times New Roman"/>
                <w:color w:val="auto"/>
                <w:kern w:val="0"/>
                <w:sz w:val="24"/>
                <w:lang w:val="en-US" w:eastAsia="zh-CN" w:bidi="ar"/>
              </w:rPr>
              <w:t>急性中毒：可造成眼及上呼吸道刺激症状，如咽部不适、干咳等。常经6~7小时潜伏期后出现迟发性肺水肿、成人呼吸窘迫综合征。可并发气胸及纵膈气肿。肺水肿消退后2周左右出现迟发性阴塞性细支气管炎，而发生咳嗽、进行性胸闷、呼吸窘迫及紫绀。少数患者在吸入气体后无明显中毒症状而在2周后发生以上病变。</w:t>
            </w:r>
          </w:p>
          <w:p w14:paraId="3A383F56">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lang w:val="en-US" w:eastAsia="zh-CN" w:bidi="ar"/>
              </w:rPr>
              <w:t>本项目主要评价库区发生爆炸后释放的CO、NO</w:t>
            </w:r>
            <w:r>
              <w:rPr>
                <w:rFonts w:hint="eastAsia" w:ascii="Times New Roman" w:hAnsi="Times New Roman" w:eastAsia="宋体" w:cs="Times New Roman"/>
                <w:color w:val="auto"/>
                <w:kern w:val="0"/>
                <w:sz w:val="24"/>
                <w:vertAlign w:val="subscript"/>
                <w:lang w:val="en-US" w:eastAsia="zh-CN" w:bidi="ar"/>
              </w:rPr>
              <w:t>2</w:t>
            </w:r>
            <w:r>
              <w:rPr>
                <w:rFonts w:hint="eastAsia" w:ascii="Times New Roman" w:hAnsi="Times New Roman" w:eastAsia="宋体" w:cs="Times New Roman"/>
                <w:color w:val="auto"/>
                <w:kern w:val="0"/>
                <w:sz w:val="24"/>
                <w:lang w:val="en-US" w:eastAsia="zh-CN" w:bidi="ar"/>
              </w:rPr>
              <w:t>可能造成的影响范围和影响程度。根据项目设计方案，炸药、雷管分库储存，101炸药库内炸药最大存储量为5t，102炸药库内炸药最大存储量为5t，103炸药库内炸药最大存储量为5t，工业雷管库最大炸药储量为2万发（折算为0.02t硝酸铵），库房做防爆设计，且单个储存库四周建设防护土堤工程，因此，发生连锁爆炸的可能性小。考虑最不利事故情景为炸药库内5t炸药全部爆炸，根据类比分析，CO产生率为100L/kg火药，NO</w:t>
            </w:r>
            <w:r>
              <w:rPr>
                <w:rFonts w:hint="eastAsia" w:ascii="Times New Roman" w:hAnsi="Times New Roman" w:eastAsia="宋体" w:cs="Times New Roman"/>
                <w:color w:val="auto"/>
                <w:kern w:val="0"/>
                <w:sz w:val="24"/>
                <w:vertAlign w:val="subscript"/>
                <w:lang w:val="en-US" w:eastAsia="zh-CN" w:bidi="ar"/>
              </w:rPr>
              <w:t>2</w:t>
            </w:r>
            <w:r>
              <w:rPr>
                <w:rFonts w:hint="eastAsia" w:ascii="Times New Roman" w:hAnsi="Times New Roman" w:eastAsia="宋体" w:cs="Times New Roman"/>
                <w:color w:val="auto"/>
                <w:kern w:val="0"/>
                <w:sz w:val="24"/>
                <w:lang w:val="en-US" w:eastAsia="zh-CN" w:bidi="ar"/>
              </w:rPr>
              <w:t>产生率为1.1L/kg火药，则产生的CO</w:t>
            </w:r>
            <w:r>
              <w:rPr>
                <w:rFonts w:hint="eastAsia" w:ascii="Times New Roman" w:hAnsi="Times New Roman" w:eastAsia="宋体" w:cs="Times New Roman"/>
                <w:color w:val="auto"/>
                <w:kern w:val="0"/>
                <w:sz w:val="24"/>
                <w:highlight w:val="none"/>
                <w:lang w:val="en-US" w:eastAsia="zh-CN" w:bidi="ar"/>
              </w:rPr>
              <w:t>为500m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（625kg），NO2为5.5m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（11.275kg）。本项目仓库储存的物质为炸药不是裸药，因此，当火灾爆炸事故发生时，不会瞬间完成，假定5t库区内炸药10min内全部爆炸，则其CO产生速率为62.5kg/min，NO</w:t>
            </w:r>
            <w:r>
              <w:rPr>
                <w:rFonts w:hint="eastAsia" w:ascii="Times New Roman" w:hAnsi="Times New Roman" w:eastAsia="宋体" w:cs="Times New Roman"/>
                <w:color w:val="auto"/>
                <w:kern w:val="0"/>
                <w:sz w:val="24"/>
                <w:highlight w:val="none"/>
                <w:vertAlign w:val="subscript"/>
                <w:lang w:val="en-US" w:eastAsia="zh-CN" w:bidi="ar"/>
              </w:rPr>
              <w:t>2</w:t>
            </w:r>
            <w:r>
              <w:rPr>
                <w:rFonts w:hint="eastAsia" w:ascii="Times New Roman" w:hAnsi="Times New Roman" w:eastAsia="宋体" w:cs="Times New Roman"/>
                <w:color w:val="auto"/>
                <w:kern w:val="0"/>
                <w:sz w:val="24"/>
                <w:highlight w:val="none"/>
                <w:lang w:val="en-US" w:eastAsia="zh-CN" w:bidi="ar"/>
              </w:rPr>
              <w:t>产生速率为1.13kg/min。</w:t>
            </w:r>
          </w:p>
          <w:p w14:paraId="05B11B82">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本评价采用《建设项目环境风险评价技术导则》（HJ169-2018）中推荐模型对大气风险进行预测。</w:t>
            </w:r>
          </w:p>
          <w:p w14:paraId="452D3F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auto"/>
                <w:sz w:val="24"/>
                <w:lang w:val="en-US" w:eastAsia="zh-CN"/>
              </w:rPr>
            </w:pPr>
            <w:r>
              <w:rPr>
                <w:rFonts w:hint="eastAsia"/>
                <w:b/>
                <w:bCs/>
                <w:color w:val="auto"/>
                <w:sz w:val="24"/>
                <w:lang w:val="en-US" w:eastAsia="zh-CN"/>
              </w:rPr>
              <w:fldChar w:fldCharType="begin"/>
            </w:r>
            <w:r>
              <w:rPr>
                <w:rFonts w:hint="eastAsia"/>
                <w:b/>
                <w:bCs/>
                <w:color w:val="auto"/>
                <w:sz w:val="24"/>
                <w:lang w:val="en-US" w:eastAsia="zh-CN"/>
              </w:rPr>
              <w:instrText xml:space="preserve"> = 1 \* GB3 \* MERGEFORMAT </w:instrText>
            </w:r>
            <w:r>
              <w:rPr>
                <w:rFonts w:hint="eastAsia"/>
                <w:b/>
                <w:bCs/>
                <w:color w:val="auto"/>
                <w:sz w:val="24"/>
                <w:lang w:val="en-US" w:eastAsia="zh-CN"/>
              </w:rPr>
              <w:fldChar w:fldCharType="separate"/>
            </w:r>
            <w:r>
              <w:rPr>
                <w:b/>
                <w:bCs/>
                <w:color w:val="auto"/>
              </w:rPr>
              <w:t>①</w:t>
            </w:r>
            <w:r>
              <w:rPr>
                <w:rFonts w:hint="eastAsia"/>
                <w:b/>
                <w:bCs/>
                <w:color w:val="auto"/>
                <w:sz w:val="24"/>
                <w:lang w:val="en-US" w:eastAsia="zh-CN"/>
              </w:rPr>
              <w:fldChar w:fldCharType="end"/>
            </w:r>
            <w:r>
              <w:rPr>
                <w:rFonts w:hint="eastAsia"/>
                <w:b/>
                <w:bCs/>
                <w:color w:val="auto"/>
                <w:sz w:val="24"/>
                <w:lang w:val="en-US" w:eastAsia="zh-CN"/>
              </w:rPr>
              <w:t>连续排放与瞬时排放判定</w:t>
            </w:r>
          </w:p>
          <w:p w14:paraId="47F7AF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根据HJ169-2018，判定是连续排放还是瞬时排放，可以通过排放时间T</w:t>
            </w:r>
            <w:r>
              <w:rPr>
                <w:rFonts w:hint="eastAsia" w:ascii="Times New Roman" w:hAnsi="Times New Roman" w:eastAsia="宋体" w:cs="Times New Roman"/>
                <w:color w:val="auto"/>
                <w:sz w:val="24"/>
                <w:vertAlign w:val="subscript"/>
                <w:lang w:val="en-US" w:eastAsia="zh-CN"/>
              </w:rPr>
              <w:t>d</w:t>
            </w:r>
            <w:r>
              <w:rPr>
                <w:rFonts w:hint="eastAsia" w:ascii="Times New Roman" w:hAnsi="Times New Roman" w:eastAsia="宋体" w:cs="Times New Roman"/>
                <w:color w:val="auto"/>
                <w:sz w:val="24"/>
              </w:rPr>
              <w:t>和污染物到达最近受体点（网格点或敏感点）的时间T来确定。</w:t>
            </w:r>
          </w:p>
          <w:p w14:paraId="3E3FC2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position w:val="-6"/>
                <w:sz w:val="24"/>
                <w:lang w:eastAsia="zh-CN"/>
              </w:rPr>
              <w:object>
                <v:shape id="_x0000_i1028" o:spt="75" type="#_x0000_t75" style="height:13.95pt;width:60.95pt;" o:ole="t" filled="f" o:preferrelative="t" stroked="f" coordsize="21600,21600">
                  <v:path/>
                  <v:fill on="f" focussize="0,0"/>
                  <v:stroke on="f"/>
                  <v:imagedata r:id="rId25" o:title=""/>
                  <o:lock v:ext="edit" aspectratio="t"/>
                  <w10:wrap type="none"/>
                  <w10:anchorlock/>
                </v:shape>
                <o:OLEObject Type="Embed" ProgID="Equation.KSEE3" ShapeID="_x0000_i1028" DrawAspect="Content" ObjectID="_1468075728" r:id="rId24">
                  <o:LockedField>false</o:LockedField>
                </o:OLEObject>
              </w:object>
            </w:r>
          </w:p>
          <w:p w14:paraId="164C78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式中</w:t>
            </w:r>
            <w:r>
              <w:rPr>
                <w:rFonts w:hint="eastAsia" w:ascii="Times New Roman" w:hAnsi="Times New Roman" w:eastAsia="宋体" w:cs="Times New Roman"/>
                <w:color w:val="auto"/>
                <w:sz w:val="24"/>
                <w:lang w:eastAsia="zh-CN"/>
              </w:rPr>
              <w:t>：</w:t>
            </w:r>
          </w:p>
          <w:p w14:paraId="2574A034">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X——事故发生地与计算点的距离，m</w:t>
            </w:r>
            <w:r>
              <w:rPr>
                <w:rFonts w:hint="eastAsia" w:ascii="Times New Roman" w:hAnsi="Times New Roman" w:eastAsia="宋体" w:cs="Times New Roman"/>
                <w:color w:val="auto"/>
                <w:sz w:val="24"/>
                <w:lang w:eastAsia="zh-CN"/>
              </w:rPr>
              <w:t>；</w:t>
            </w:r>
          </w:p>
          <w:p w14:paraId="30DC957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U——10m高处风速，m/s。假设风速和风向在T时间段内保持不变。</w:t>
            </w:r>
          </w:p>
          <w:p w14:paraId="7EFDE1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当T</w:t>
            </w: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rPr>
              <w:t>&gt;T时，可被认为是连续排放</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当T</w:t>
            </w: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rPr>
              <w:t>≤T时，可被认为是瞬时排放。</w:t>
            </w:r>
          </w:p>
          <w:p w14:paraId="678860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距离</w:t>
            </w:r>
            <w:r>
              <w:rPr>
                <w:rFonts w:hint="eastAsia" w:ascii="Times New Roman" w:hAnsi="Times New Roman" w:eastAsia="宋体" w:cs="Times New Roman"/>
                <w:color w:val="auto"/>
                <w:sz w:val="24"/>
                <w:lang w:eastAsia="zh-CN"/>
              </w:rPr>
              <w:t>本企业</w:t>
            </w:r>
            <w:r>
              <w:rPr>
                <w:rFonts w:hint="eastAsia" w:ascii="Times New Roman" w:hAnsi="Times New Roman" w:eastAsia="宋体" w:cs="Times New Roman"/>
                <w:color w:val="auto"/>
                <w:sz w:val="24"/>
                <w:lang w:val="en-US" w:eastAsia="zh-CN"/>
              </w:rPr>
              <w:t>炸药库</w:t>
            </w:r>
            <w:r>
              <w:rPr>
                <w:rFonts w:hint="eastAsia" w:ascii="Times New Roman" w:hAnsi="Times New Roman" w:eastAsia="宋体" w:cs="Times New Roman"/>
                <w:color w:val="auto"/>
                <w:sz w:val="24"/>
              </w:rPr>
              <w:t>最近敏感点</w:t>
            </w:r>
            <w:r>
              <w:rPr>
                <w:rFonts w:hint="eastAsia" w:ascii="Times New Roman" w:hAnsi="Times New Roman" w:eastAsia="宋体" w:cs="Times New Roman"/>
                <w:color w:val="auto"/>
                <w:sz w:val="24"/>
                <w:lang w:eastAsia="zh-CN"/>
              </w:rPr>
              <w:t>为</w:t>
            </w:r>
            <w:r>
              <w:rPr>
                <w:rFonts w:hint="eastAsia" w:ascii="Times New Roman" w:hAnsi="Times New Roman" w:eastAsia="宋体" w:cs="Times New Roman"/>
                <w:color w:val="auto"/>
                <w:sz w:val="24"/>
                <w:lang w:val="en-US" w:eastAsia="zh-CN"/>
              </w:rPr>
              <w:t>西面</w:t>
            </w:r>
            <w:r>
              <w:rPr>
                <w:rFonts w:hint="eastAsia" w:ascii="Times New Roman" w:hAnsi="Times New Roman" w:eastAsia="宋体" w:cs="Times New Roman"/>
                <w:color w:val="auto"/>
                <w:sz w:val="24"/>
                <w:lang w:eastAsia="zh-CN"/>
              </w:rPr>
              <w:t>的</w:t>
            </w:r>
            <w:r>
              <w:rPr>
                <w:rFonts w:hint="eastAsia" w:ascii="Times New Roman" w:hAnsi="Times New Roman" w:eastAsia="宋体" w:cs="Times New Roman"/>
                <w:color w:val="auto"/>
                <w:sz w:val="24"/>
                <w:lang w:val="en-US" w:eastAsia="zh-CN"/>
              </w:rPr>
              <w:t>矿山通风工业场地房屋</w:t>
            </w:r>
            <w:r>
              <w:rPr>
                <w:rFonts w:hint="eastAsia" w:ascii="Times New Roman" w:hAnsi="Times New Roman" w:eastAsia="宋体" w:cs="Times New Roman"/>
                <w:color w:val="auto"/>
                <w:sz w:val="24"/>
                <w:lang w:eastAsia="zh-CN"/>
              </w:rPr>
              <w:t>，距离</w:t>
            </w:r>
            <w:r>
              <w:rPr>
                <w:rFonts w:hint="eastAsia" w:ascii="Times New Roman" w:hAnsi="Times New Roman" w:eastAsia="宋体" w:cs="Times New Roman"/>
                <w:color w:val="auto"/>
                <w:sz w:val="24"/>
              </w:rPr>
              <w:t>为</w:t>
            </w:r>
            <w:r>
              <w:rPr>
                <w:rFonts w:hint="eastAsia" w:ascii="Times New Roman" w:hAnsi="Times New Roman" w:eastAsia="宋体" w:cs="Times New Roman"/>
                <w:color w:val="auto"/>
                <w:sz w:val="24"/>
                <w:lang w:val="en-US" w:eastAsia="zh-CN"/>
              </w:rPr>
              <w:t>185</w:t>
            </w:r>
            <w:r>
              <w:rPr>
                <w:rFonts w:hint="eastAsia" w:ascii="Times New Roman" w:hAnsi="Times New Roman" w:eastAsia="宋体" w:cs="Times New Roman"/>
                <w:color w:val="auto"/>
                <w:sz w:val="24"/>
              </w:rPr>
              <w:t>m，则X为</w:t>
            </w:r>
            <w:r>
              <w:rPr>
                <w:rFonts w:hint="eastAsia" w:ascii="Times New Roman" w:hAnsi="Times New Roman" w:eastAsia="宋体" w:cs="Times New Roman"/>
                <w:color w:val="auto"/>
                <w:sz w:val="24"/>
                <w:lang w:val="en-US" w:eastAsia="zh-CN"/>
              </w:rPr>
              <w:t>185</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最不利气象条件风速为1.5m/s。通过计算，污染物到达最近受体点的时间T为</w:t>
            </w:r>
            <w:r>
              <w:rPr>
                <w:rFonts w:hint="eastAsia" w:ascii="Times New Roman" w:hAnsi="Times New Roman" w:eastAsia="宋体" w:cs="Times New Roman"/>
                <w:color w:val="auto"/>
                <w:sz w:val="24"/>
                <w:lang w:val="en-US" w:eastAsia="zh-CN"/>
              </w:rPr>
              <w:t>246.67</w:t>
            </w:r>
            <w:r>
              <w:rPr>
                <w:rFonts w:hint="eastAsia" w:ascii="Times New Roman" w:hAnsi="Times New Roman" w:eastAsia="宋体" w:cs="Times New Roman"/>
                <w:color w:val="auto"/>
                <w:sz w:val="24"/>
              </w:rPr>
              <w:t>s，小于排放时间T</w:t>
            </w: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600s</w:t>
            </w:r>
            <w:r>
              <w:rPr>
                <w:rFonts w:hint="eastAsia" w:ascii="Times New Roman" w:hAnsi="Times New Roman" w:eastAsia="宋体" w:cs="Times New Roman"/>
                <w:color w:val="auto"/>
                <w:sz w:val="24"/>
              </w:rPr>
              <w:t>，因此</w:t>
            </w:r>
            <w:r>
              <w:rPr>
                <w:rFonts w:hint="eastAsia" w:ascii="Times New Roman" w:hAnsi="Times New Roman" w:eastAsia="宋体" w:cs="Times New Roman"/>
                <w:b w:val="0"/>
                <w:bCs w:val="0"/>
                <w:color w:val="auto"/>
                <w:kern w:val="2"/>
                <w:sz w:val="24"/>
                <w:szCs w:val="24"/>
                <w:lang w:val="en-US" w:eastAsia="zh-CN" w:bidi="ar-SA"/>
              </w:rPr>
              <w:t>一氧化碳</w:t>
            </w:r>
            <w:r>
              <w:rPr>
                <w:rFonts w:hint="eastAsia" w:ascii="Times New Roman" w:hAnsi="Times New Roman" w:eastAsia="宋体" w:cs="Times New Roman"/>
                <w:color w:val="auto"/>
                <w:sz w:val="24"/>
              </w:rPr>
              <w:t>扩散属于连续排放。</w:t>
            </w:r>
          </w:p>
          <w:p w14:paraId="7A291F6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rPr>
            </w:pPr>
            <w:r>
              <w:rPr>
                <w:rFonts w:hint="eastAsia" w:ascii="Times New Roman" w:hAnsi="Times New Roman" w:eastAsia="宋体" w:cs="Times New Roman"/>
                <w:b/>
                <w:bCs/>
                <w:color w:val="auto"/>
                <w:sz w:val="24"/>
                <w:lang w:val="en-US" w:eastAsia="zh-CN"/>
              </w:rPr>
              <w:fldChar w:fldCharType="begin"/>
            </w:r>
            <w:r>
              <w:rPr>
                <w:rFonts w:hint="eastAsia" w:ascii="Times New Roman" w:hAnsi="Times New Roman" w:eastAsia="宋体" w:cs="Times New Roman"/>
                <w:b/>
                <w:bCs/>
                <w:color w:val="auto"/>
                <w:sz w:val="24"/>
                <w:lang w:val="en-US" w:eastAsia="zh-CN"/>
              </w:rPr>
              <w:instrText xml:space="preserve"> = 2 \* GB3 \* MERGEFORMAT </w:instrText>
            </w:r>
            <w:r>
              <w:rPr>
                <w:rFonts w:hint="eastAsia" w:ascii="Times New Roman" w:hAnsi="Times New Roman" w:eastAsia="宋体" w:cs="Times New Roman"/>
                <w:b/>
                <w:bCs/>
                <w:color w:val="auto"/>
                <w:sz w:val="24"/>
                <w:lang w:val="en-US" w:eastAsia="zh-CN"/>
              </w:rPr>
              <w:fldChar w:fldCharType="separate"/>
            </w:r>
            <w:r>
              <w:rPr>
                <w:b/>
                <w:bCs/>
                <w:color w:val="auto"/>
              </w:rPr>
              <w:t>②</w:t>
            </w:r>
            <w:r>
              <w:rPr>
                <w:rFonts w:hint="eastAsia" w:ascii="Times New Roman" w:hAnsi="Times New Roman" w:eastAsia="宋体" w:cs="Times New Roman"/>
                <w:b/>
                <w:bCs/>
                <w:color w:val="auto"/>
                <w:sz w:val="24"/>
                <w:lang w:val="en-US" w:eastAsia="zh-CN"/>
              </w:rPr>
              <w:fldChar w:fldCharType="end"/>
            </w:r>
            <w:r>
              <w:rPr>
                <w:rFonts w:hint="eastAsia" w:ascii="Times New Roman" w:hAnsi="Times New Roman" w:eastAsia="宋体" w:cs="Times New Roman"/>
                <w:b/>
                <w:bCs/>
                <w:color w:val="auto"/>
                <w:sz w:val="24"/>
                <w:lang w:val="en-US" w:eastAsia="zh-CN"/>
              </w:rPr>
              <w:t>是否为重质气体判定</w:t>
            </w:r>
          </w:p>
          <w:p w14:paraId="3F11B8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根据HJ169-2018，判定烟团/烟羽是否为重质气体，取决于它相对于空气的</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过剩密度</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和环境条件等因素。通常采用理查德森数（R</w:t>
            </w:r>
            <w:r>
              <w:rPr>
                <w:rFonts w:hint="eastAsia" w:ascii="Times New Roman" w:hAnsi="Times New Roman" w:eastAsia="宋体" w:cs="Times New Roman"/>
                <w:color w:val="auto"/>
                <w:sz w:val="24"/>
                <w:lang w:val="en-US" w:eastAsia="zh-CN"/>
              </w:rPr>
              <w:t>i</w:t>
            </w:r>
            <w:r>
              <w:rPr>
                <w:rFonts w:hint="eastAsia" w:ascii="Times New Roman" w:hAnsi="Times New Roman" w:eastAsia="宋体" w:cs="Times New Roman"/>
                <w:color w:val="auto"/>
                <w:sz w:val="24"/>
              </w:rPr>
              <w:t>）作为标准进行判断。R</w:t>
            </w:r>
            <w:r>
              <w:rPr>
                <w:rFonts w:hint="eastAsia" w:ascii="Times New Roman" w:hAnsi="Times New Roman" w:eastAsia="宋体" w:cs="Times New Roman"/>
                <w:color w:val="auto"/>
                <w:sz w:val="24"/>
                <w:lang w:val="en-US" w:eastAsia="zh-CN"/>
              </w:rPr>
              <w:t>i</w:t>
            </w:r>
            <w:r>
              <w:rPr>
                <w:rFonts w:hint="eastAsia" w:ascii="Times New Roman" w:hAnsi="Times New Roman" w:eastAsia="宋体" w:cs="Times New Roman"/>
                <w:color w:val="auto"/>
                <w:sz w:val="24"/>
              </w:rPr>
              <w:t>的概念公式为</w:t>
            </w:r>
          </w:p>
          <w:p w14:paraId="16D85A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position w:val="-26"/>
                <w:sz w:val="24"/>
              </w:rPr>
              <w:object>
                <v:shape id="_x0000_i1029" o:spt="75" type="#_x0000_t75" style="height:33pt;width:113pt;" o:ole="t" filled="f" o:preferrelative="t" stroked="f" coordsize="21600,21600">
                  <v:path/>
                  <v:fill on="f" focussize="0,0"/>
                  <v:stroke on="f"/>
                  <v:imagedata r:id="rId27" o:title=""/>
                  <o:lock v:ext="edit" aspectratio="t"/>
                  <w10:wrap type="none"/>
                  <w10:anchorlock/>
                </v:shape>
                <o:OLEObject Type="Embed" ProgID="Equation.KSEE3" ShapeID="_x0000_i1029" DrawAspect="Content" ObjectID="_1468075729" r:id="rId26">
                  <o:LockedField>false</o:LockedField>
                </o:OLEObject>
              </w:object>
            </w:r>
          </w:p>
          <w:p w14:paraId="3B96A1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imes New Roman" w:hAnsi="Times New Roman" w:eastAsia="宋体" w:cs="Times New Roman"/>
                <w:color w:val="auto"/>
                <w:sz w:val="24"/>
                <w:szCs w:val="24"/>
              </w:rPr>
              <w:t>R</w:t>
            </w: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rPr>
              <w:t>是个流体动力学参数。根据不同的排放性质，理查德森数的计算公式不同。一般地，依据排放类型，理查德森</w:t>
            </w:r>
            <w:r>
              <w:rPr>
                <w:rFonts w:hint="eastAsia"/>
                <w:color w:val="auto"/>
                <w:sz w:val="24"/>
                <w:szCs w:val="24"/>
              </w:rPr>
              <w:t>数的计算</w:t>
            </w:r>
            <w:r>
              <w:rPr>
                <w:rFonts w:hint="eastAsia"/>
                <w:color w:val="auto"/>
                <w:sz w:val="24"/>
                <w:szCs w:val="24"/>
                <w:lang w:eastAsia="zh-CN"/>
              </w:rPr>
              <w:t>分为</w:t>
            </w:r>
            <w:r>
              <w:rPr>
                <w:rFonts w:hint="eastAsia"/>
                <w:color w:val="auto"/>
                <w:sz w:val="24"/>
                <w:szCs w:val="24"/>
              </w:rPr>
              <w:t>连续排放、瞬时排放两种形式。本次选取连续排放计算公式</w:t>
            </w:r>
            <w:r>
              <w:rPr>
                <w:rFonts w:hint="eastAsia"/>
                <w:color w:val="auto"/>
                <w:sz w:val="24"/>
                <w:szCs w:val="24"/>
                <w:lang w:eastAsia="zh-CN"/>
              </w:rPr>
              <w:t>：</w:t>
            </w:r>
          </w:p>
          <w:p w14:paraId="624C1B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sz w:val="24"/>
              </w:rPr>
            </w:pPr>
            <w:r>
              <w:rPr>
                <w:color w:val="auto"/>
              </w:rPr>
              <w:drawing>
                <wp:inline distT="0" distB="0" distL="114300" distR="114300">
                  <wp:extent cx="2598420" cy="906780"/>
                  <wp:effectExtent l="0" t="0" r="11430" b="762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8"/>
                          <a:stretch>
                            <a:fillRect/>
                          </a:stretch>
                        </pic:blipFill>
                        <pic:spPr>
                          <a:xfrm>
                            <a:off x="0" y="0"/>
                            <a:ext cx="2598420" cy="906780"/>
                          </a:xfrm>
                          <a:prstGeom prst="rect">
                            <a:avLst/>
                          </a:prstGeom>
                          <a:noFill/>
                          <a:ln>
                            <a:noFill/>
                          </a:ln>
                        </pic:spPr>
                      </pic:pic>
                    </a:graphicData>
                  </a:graphic>
                </wp:inline>
              </w:drawing>
            </w:r>
          </w:p>
          <w:p w14:paraId="2210CC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式中</w:t>
            </w:r>
            <w:r>
              <w:rPr>
                <w:rFonts w:hint="default" w:ascii="Times New Roman" w:hAnsi="Times New Roman" w:cs="Times New Roman"/>
                <w:color w:val="auto"/>
                <w:sz w:val="24"/>
                <w:szCs w:val="24"/>
                <w:lang w:eastAsia="zh-CN"/>
              </w:rPr>
              <w:t>：</w:t>
            </w:r>
          </w:p>
          <w:p w14:paraId="6F6E5F32">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ρ</w:t>
            </w:r>
            <w:r>
              <w:rPr>
                <w:rFonts w:hint="default" w:ascii="Times New Roman" w:hAnsi="Times New Roman" w:cs="Times New Roman"/>
                <w:color w:val="auto"/>
                <w:sz w:val="24"/>
                <w:szCs w:val="24"/>
                <w:vertAlign w:val="subscript"/>
              </w:rPr>
              <w:t>re</w:t>
            </w:r>
            <w:r>
              <w:rPr>
                <w:rFonts w:hint="default" w:ascii="Times New Roman" w:hAnsi="Times New Roman" w:cs="Times New Roman"/>
                <w:color w:val="auto"/>
                <w:sz w:val="24"/>
                <w:szCs w:val="24"/>
                <w:vertAlign w:val="subscript"/>
                <w:lang w:val="en-US" w:eastAsia="zh-CN"/>
              </w:rPr>
              <w:t>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排放物质进入大气的初始密度，kg/m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CO</w:t>
            </w:r>
            <w:r>
              <w:rPr>
                <w:rFonts w:hint="default" w:ascii="Times New Roman" w:hAnsi="Times New Roman" w:cs="Times New Roman"/>
                <w:color w:val="auto"/>
                <w:sz w:val="24"/>
                <w:szCs w:val="24"/>
                <w:lang w:eastAsia="zh-CN"/>
              </w:rPr>
              <w:t>取</w:t>
            </w:r>
            <w:r>
              <w:rPr>
                <w:rFonts w:hint="eastAsia" w:ascii="Times New Roman" w:hAnsi="Times New Roman" w:cs="Times New Roman"/>
                <w:color w:val="auto"/>
                <w:sz w:val="24"/>
                <w:szCs w:val="24"/>
                <w:lang w:val="en-US" w:eastAsia="zh-CN"/>
              </w:rPr>
              <w:t>1.25</w:t>
            </w:r>
            <w:r>
              <w:rPr>
                <w:rFonts w:hint="default" w:ascii="Times New Roman" w:hAnsi="Times New Roman" w:cs="Times New Roman"/>
                <w:color w:val="auto"/>
                <w:sz w:val="24"/>
                <w:szCs w:val="24"/>
                <w:lang w:val="en-US" w:eastAsia="zh-CN"/>
              </w:rPr>
              <w:t>k</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eastAsia="zh-CN"/>
              </w:rPr>
              <w:t>取</w:t>
            </w:r>
            <w:r>
              <w:rPr>
                <w:rFonts w:hint="eastAsia" w:ascii="Times New Roman" w:hAnsi="Times New Roman" w:cs="Times New Roman"/>
                <w:color w:val="auto"/>
                <w:sz w:val="24"/>
                <w:szCs w:val="24"/>
                <w:lang w:val="en-US" w:eastAsia="zh-CN"/>
              </w:rPr>
              <w:t>2.05</w:t>
            </w:r>
            <w:r>
              <w:rPr>
                <w:rFonts w:hint="default" w:ascii="Times New Roman" w:hAnsi="Times New Roman" w:cs="Times New Roman"/>
                <w:color w:val="auto"/>
                <w:sz w:val="24"/>
                <w:szCs w:val="24"/>
                <w:lang w:val="en-US" w:eastAsia="zh-CN"/>
              </w:rPr>
              <w:t>k</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eastAsia="zh-CN"/>
              </w:rPr>
              <w:t>。</w:t>
            </w:r>
          </w:p>
          <w:p w14:paraId="1F33832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ρ</w:t>
            </w:r>
            <w:r>
              <w:rPr>
                <w:rFonts w:hint="default" w:ascii="Times New Roman" w:hAnsi="Times New Roman" w:cs="Times New Roman"/>
                <w:color w:val="auto"/>
                <w:sz w:val="24"/>
                <w:szCs w:val="24"/>
                <w:vertAlign w:val="subscript"/>
                <w:lang w:val="en-US" w:eastAsia="zh-CN"/>
              </w:rPr>
              <w:t>a</w:t>
            </w:r>
            <w:r>
              <w:rPr>
                <w:rFonts w:hint="default" w:ascii="Times New Roman" w:hAnsi="Times New Roman" w:cs="Times New Roman"/>
                <w:color w:val="auto"/>
                <w:sz w:val="24"/>
                <w:szCs w:val="24"/>
              </w:rPr>
              <w:t>——环境空气密度，kg/m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；取</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kg/m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vertAlign w:val="baseline"/>
                <w:lang w:val="en-US" w:eastAsia="zh-CN"/>
              </w:rPr>
              <w:t>。</w:t>
            </w:r>
          </w:p>
          <w:p w14:paraId="2A9CD3CF">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Q——连续排放烟羽的排放速率，kg/s</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CO</w:t>
            </w:r>
            <w:r>
              <w:rPr>
                <w:rFonts w:hint="default" w:ascii="Times New Roman" w:hAnsi="Times New Roman" w:cs="Times New Roman"/>
                <w:color w:val="auto"/>
                <w:sz w:val="24"/>
                <w:szCs w:val="24"/>
                <w:lang w:eastAsia="zh-CN"/>
              </w:rPr>
              <w:t>取</w:t>
            </w:r>
            <w:r>
              <w:rPr>
                <w:rFonts w:hint="eastAsia" w:ascii="Times New Roman" w:hAnsi="Times New Roman" w:cs="Times New Roman"/>
                <w:color w:val="auto"/>
                <w:sz w:val="24"/>
                <w:szCs w:val="24"/>
                <w:lang w:val="en-US" w:eastAsia="zh-CN"/>
              </w:rPr>
              <w:t>1.04</w:t>
            </w:r>
            <w:r>
              <w:rPr>
                <w:rFonts w:hint="default" w:ascii="Times New Roman" w:hAnsi="Times New Roman" w:cs="Times New Roman"/>
                <w:color w:val="auto"/>
                <w:sz w:val="24"/>
                <w:szCs w:val="24"/>
              </w:rPr>
              <w:t>kg/s</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eastAsia="zh-CN"/>
              </w:rPr>
              <w:t>取</w:t>
            </w:r>
            <w:r>
              <w:rPr>
                <w:rFonts w:hint="eastAsia" w:ascii="Times New Roman" w:hAnsi="Times New Roman" w:cs="Times New Roman"/>
                <w:color w:val="auto"/>
                <w:sz w:val="24"/>
                <w:szCs w:val="24"/>
                <w:lang w:val="en-US" w:eastAsia="zh-CN"/>
              </w:rPr>
              <w:t>0.019</w:t>
            </w:r>
            <w:r>
              <w:rPr>
                <w:rFonts w:hint="default" w:ascii="Times New Roman" w:hAnsi="Times New Roman" w:cs="Times New Roman"/>
                <w:color w:val="auto"/>
                <w:sz w:val="24"/>
                <w:szCs w:val="24"/>
              </w:rPr>
              <w:t>kg/s</w:t>
            </w:r>
            <w:r>
              <w:rPr>
                <w:rFonts w:hint="eastAsia" w:ascii="Times New Roman" w:hAnsi="Times New Roman" w:cs="Times New Roman"/>
                <w:color w:val="auto"/>
                <w:sz w:val="24"/>
                <w:szCs w:val="24"/>
                <w:lang w:eastAsia="zh-CN"/>
              </w:rPr>
              <w:t>。</w:t>
            </w:r>
          </w:p>
          <w:p w14:paraId="213E30DB">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D</w:t>
            </w:r>
            <w:r>
              <w:rPr>
                <w:rFonts w:hint="default" w:ascii="Times New Roman" w:hAnsi="Times New Roman" w:cs="Times New Roman"/>
                <w:color w:val="auto"/>
                <w:sz w:val="24"/>
                <w:szCs w:val="24"/>
                <w:vertAlign w:val="subscript"/>
                <w:lang w:eastAsia="zh-CN"/>
              </w:rPr>
              <w:t>re</w:t>
            </w:r>
            <w:r>
              <w:rPr>
                <w:rFonts w:hint="default" w:ascii="Times New Roman" w:hAnsi="Times New Roman" w:cs="Times New Roman"/>
                <w:color w:val="auto"/>
                <w:sz w:val="24"/>
                <w:szCs w:val="24"/>
                <w:vertAlign w:val="subscript"/>
                <w:lang w:val="en-US" w:eastAsia="zh-CN"/>
              </w:rPr>
              <w:t>l</w:t>
            </w:r>
            <w:r>
              <w:rPr>
                <w:rFonts w:hint="default" w:ascii="Times New Roman" w:hAnsi="Times New Roman" w:cs="Times New Roman"/>
                <w:color w:val="auto"/>
                <w:sz w:val="24"/>
                <w:szCs w:val="24"/>
                <w:lang w:eastAsia="zh-CN"/>
              </w:rPr>
              <w:t>—初始的烟团宽度，即源直径，m；</w:t>
            </w:r>
            <w:r>
              <w:rPr>
                <w:rFonts w:hint="eastAsia" w:ascii="Times New Roman" w:hAnsi="Times New Roman" w:cs="Times New Roman"/>
                <w:color w:val="auto"/>
                <w:sz w:val="24"/>
                <w:szCs w:val="24"/>
                <w:lang w:eastAsia="zh-CN"/>
              </w:rPr>
              <w:t>取</w:t>
            </w:r>
            <w:r>
              <w:rPr>
                <w:rFonts w:hint="eastAsia" w:ascii="Times New Roman" w:hAnsi="Times New Roman" w:cs="Times New Roman"/>
                <w:color w:val="auto"/>
                <w:sz w:val="24"/>
                <w:szCs w:val="24"/>
                <w:lang w:val="en-US" w:eastAsia="zh-CN"/>
              </w:rPr>
              <w:t>10m。</w:t>
            </w:r>
          </w:p>
          <w:p w14:paraId="67D6EE28">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U</w:t>
            </w:r>
            <w:r>
              <w:rPr>
                <w:rFonts w:hint="default" w:ascii="Times New Roman" w:hAnsi="Times New Roman" w:cs="Times New Roman"/>
                <w:color w:val="auto"/>
                <w:sz w:val="24"/>
                <w:szCs w:val="24"/>
                <w:lang w:val="en-US" w:eastAsia="zh-CN"/>
              </w:rPr>
              <w:t>r</w:t>
            </w:r>
            <w:r>
              <w:rPr>
                <w:rFonts w:hint="default" w:ascii="Times New Roman" w:hAnsi="Times New Roman" w:cs="Times New Roman"/>
                <w:color w:val="auto"/>
                <w:sz w:val="24"/>
                <w:szCs w:val="24"/>
                <w:lang w:eastAsia="zh-CN"/>
              </w:rPr>
              <w:t>——10m高处风速，m/s，取</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eastAsia="zh-CN"/>
              </w:rPr>
              <w:t>m/s。</w:t>
            </w:r>
          </w:p>
          <w:p w14:paraId="2DD26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判断标准为：对于连续排放，R</w:t>
            </w:r>
            <w:r>
              <w:rPr>
                <w:rFonts w:hint="default" w:ascii="Times New Roman" w:hAnsi="Times New Roman" w:cs="Times New Roman"/>
                <w:color w:val="auto"/>
                <w:sz w:val="24"/>
                <w:szCs w:val="24"/>
                <w:lang w:val="en-US" w:eastAsia="zh-CN"/>
              </w:rPr>
              <w:t>i</w:t>
            </w:r>
            <w:r>
              <w:rPr>
                <w:rFonts w:hint="default" w:ascii="Times New Roman" w:hAnsi="Times New Roman" w:cs="Times New Roman"/>
                <w:color w:val="auto"/>
                <w:sz w:val="24"/>
                <w:szCs w:val="24"/>
                <w:lang w:eastAsia="zh-CN"/>
              </w:rPr>
              <w:t>≥1/6为重质气体，R</w:t>
            </w:r>
            <w:r>
              <w:rPr>
                <w:rFonts w:hint="default" w:ascii="Times New Roman" w:hAnsi="Times New Roman" w:cs="Times New Roman"/>
                <w:color w:val="auto"/>
                <w:sz w:val="24"/>
                <w:szCs w:val="24"/>
                <w:lang w:val="en-US" w:eastAsia="zh-CN"/>
              </w:rPr>
              <w:t>i</w:t>
            </w:r>
            <w:r>
              <w:rPr>
                <w:rFonts w:hint="default" w:ascii="Times New Roman" w:hAnsi="Times New Roman" w:cs="Times New Roman"/>
                <w:color w:val="auto"/>
                <w:sz w:val="24"/>
                <w:szCs w:val="24"/>
                <w:lang w:eastAsia="zh-CN"/>
              </w:rPr>
              <w:t>&lt;1/6为轻质气体。当R处于临界值附近时，说明烟团/烟羽既不是典型的重质气体扩散，也不是典型的轻质气体扩散。</w:t>
            </w:r>
          </w:p>
          <w:p w14:paraId="1A05E2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CO初始密度比环境空气密度小，为轻质气体；</w:t>
            </w:r>
            <w:r>
              <w:rPr>
                <w:rFonts w:hint="default" w:ascii="Times New Roman" w:hAnsi="Times New Roman" w:cs="Times New Roman"/>
                <w:color w:val="auto"/>
                <w:sz w:val="24"/>
                <w:szCs w:val="24"/>
                <w:lang w:eastAsia="zh-CN"/>
              </w:rPr>
              <w:t>经过计算R</w:t>
            </w:r>
            <w:r>
              <w:rPr>
                <w:rFonts w:hint="default" w:ascii="Times New Roman" w:hAnsi="Times New Roman" w:cs="Times New Roman"/>
                <w:color w:val="auto"/>
                <w:sz w:val="24"/>
                <w:szCs w:val="24"/>
                <w:lang w:val="en-US" w:eastAsia="zh-CN"/>
              </w:rPr>
              <w:t>i</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）=0.146&lt;0.167，为轻质气体</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eastAsia="zh-CN"/>
              </w:rPr>
              <w:t>HJ169-2018附录</w:t>
            </w:r>
            <w:r>
              <w:rPr>
                <w:rFonts w:hint="default" w:ascii="Times New Roman" w:hAnsi="Times New Roman" w:eastAsia="宋体" w:cs="Times New Roman"/>
                <w:color w:val="auto"/>
                <w:sz w:val="24"/>
                <w:szCs w:val="24"/>
                <w:lang w:val="en-US" w:eastAsia="zh-CN"/>
              </w:rPr>
              <w:t>G，适用AFTOX模型。</w:t>
            </w:r>
          </w:p>
          <w:p w14:paraId="4BB880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33" w:name="_Toc10455"/>
            <w:bookmarkStart w:id="34" w:name="_Toc26350"/>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3 \* GB3 \* MERGEFORMAT </w:instrText>
            </w:r>
            <w:r>
              <w:rPr>
                <w:rFonts w:hint="eastAsia"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eastAsia="zh-CN"/>
              </w:rPr>
              <w:t>③</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预测参数选择</w:t>
            </w:r>
            <w:bookmarkEnd w:id="33"/>
            <w:bookmarkEnd w:id="34"/>
          </w:p>
          <w:p w14:paraId="55F0D1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A、气象参数</w:t>
            </w:r>
          </w:p>
          <w:p w14:paraId="446CB6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根据《建设项目环境风险评价技术导则》（HJ169-2018），需选取最不利气象条件进行后果预测。最不利气象条件取F类稳定度，1.5m/s风速，温度25℃，相对湿度50%。</w:t>
            </w:r>
          </w:p>
          <w:p w14:paraId="31293A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B、地表粗糙度</w:t>
            </w:r>
          </w:p>
          <w:p w14:paraId="61901D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地表粗糙度一般由事故发生地周围1km范围内占地面积最大的土地利用类型来确定。项目地周边为山体，灌木丛较繁密，地表粗糙度依据模型推荐值，取值100cm。</w:t>
            </w:r>
          </w:p>
          <w:p w14:paraId="71F03F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w:t>
            </w:r>
            <w:r>
              <w:rPr>
                <w:rFonts w:hint="default" w:ascii="Times New Roman" w:hAnsi="Times New Roman" w:eastAsia="宋体" w:cs="Times New Roman"/>
                <w:color w:val="auto"/>
                <w:sz w:val="24"/>
                <w:szCs w:val="24"/>
                <w:lang w:val="en-US" w:eastAsia="zh-CN"/>
              </w:rPr>
              <w:t>地形数据</w:t>
            </w:r>
          </w:p>
          <w:p w14:paraId="38CE06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当考虑地形对扩散的影响时，所采用的地形原始数据分辨率一般不应小于30m。</w:t>
            </w:r>
          </w:p>
          <w:p w14:paraId="5E5A8C2B">
            <w:pPr>
              <w:spacing w:line="360" w:lineRule="auto"/>
              <w:ind w:firstLine="480" w:firstLineChars="200"/>
              <w:rPr>
                <w:color w:val="auto"/>
                <w:u w:val="single"/>
              </w:rPr>
            </w:pPr>
            <w:r>
              <w:rPr>
                <w:rFonts w:hint="default" w:ascii="Times New Roman" w:hAnsi="Times New Roman" w:cs="Times New Roman"/>
                <w:color w:val="auto"/>
                <w:sz w:val="24"/>
                <w:lang w:eastAsia="zh-CN"/>
              </w:rPr>
              <w:t>对</w:t>
            </w:r>
            <w:r>
              <w:rPr>
                <w:rFonts w:hint="eastAsia" w:ascii="Times New Roman" w:hAnsi="Times New Roman" w:cs="Times New Roman"/>
                <w:color w:val="auto"/>
                <w:sz w:val="24"/>
                <w:lang w:eastAsia="zh-CN"/>
              </w:rPr>
              <w:t>第</w:t>
            </w:r>
            <w:r>
              <w:rPr>
                <w:rFonts w:hint="eastAsia" w:ascii="Times New Roman" w:hAnsi="Times New Roman" w:cs="Times New Roman"/>
                <w:color w:val="auto"/>
                <w:sz w:val="24"/>
                <w:lang w:val="en-US" w:eastAsia="zh-CN"/>
              </w:rPr>
              <w:t>10min时，一氧化碳、二氧化氮</w:t>
            </w:r>
            <w:r>
              <w:rPr>
                <w:rFonts w:hint="default" w:ascii="Times New Roman" w:hAnsi="Times New Roman" w:cs="Times New Roman"/>
                <w:color w:val="auto"/>
                <w:sz w:val="24"/>
                <w:lang w:val="en-US" w:eastAsia="zh-CN"/>
              </w:rPr>
              <w:t>污染扩散的污染范围及危害程度进行模拟计算，预测结果如</w:t>
            </w:r>
            <w:r>
              <w:rPr>
                <w:rFonts w:hint="eastAsia" w:ascii="Times New Roman" w:hAnsi="Times New Roman" w:cs="Times New Roman"/>
                <w:color w:val="auto"/>
                <w:sz w:val="24"/>
                <w:lang w:val="en-US" w:eastAsia="zh-CN"/>
              </w:rPr>
              <w:t>下表</w:t>
            </w:r>
            <w:r>
              <w:rPr>
                <w:rFonts w:hint="default" w:ascii="Times New Roman" w:hAnsi="Times New Roman" w:cs="Times New Roman"/>
                <w:color w:val="auto"/>
                <w:sz w:val="24"/>
                <w:lang w:val="en-US" w:eastAsia="zh-CN"/>
              </w:rPr>
              <w:t>所示。</w:t>
            </w:r>
          </w:p>
          <w:p w14:paraId="6480D8D5">
            <w:pPr>
              <w:pStyle w:val="11"/>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4-18    火灾伴生事故CO预测结果</w:t>
            </w:r>
          </w:p>
          <w:tbl>
            <w:tblPr>
              <w:tblStyle w:val="37"/>
              <w:tblW w:w="4998" w:type="pct"/>
              <w:jc w:val="center"/>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Layout w:type="fixed"/>
              <w:tblCellMar>
                <w:top w:w="0" w:type="dxa"/>
                <w:left w:w="108" w:type="dxa"/>
                <w:bottom w:w="0" w:type="dxa"/>
                <w:right w:w="108" w:type="dxa"/>
              </w:tblCellMar>
            </w:tblPr>
            <w:tblGrid>
              <w:gridCol w:w="1421"/>
              <w:gridCol w:w="2602"/>
              <w:gridCol w:w="1544"/>
              <w:gridCol w:w="2569"/>
            </w:tblGrid>
            <w:tr w14:paraId="34B8EE18">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44CDBC31">
                  <w:pPr>
                    <w:jc w:val="center"/>
                    <w:textAlignment w:val="baseline"/>
                    <w:rPr>
                      <w:rFonts w:hint="default" w:ascii="Times New Roman" w:hAnsi="Times New Roman" w:eastAsia="宋体" w:cs="Times New Roman"/>
                      <w:color w:val="auto"/>
                      <w:sz w:val="18"/>
                      <w:szCs w:val="18"/>
                      <w:lang w:val="en-US" w:eastAsia="zh-CN"/>
                    </w:rPr>
                  </w:pPr>
                  <w:bookmarkStart w:id="35" w:name="_Toc28209"/>
                  <w:bookmarkStart w:id="36" w:name="_Toc16772"/>
                  <w:r>
                    <w:rPr>
                      <w:rFonts w:hint="eastAsia" w:ascii="Times New Roman" w:hAnsi="Times New Roman" w:eastAsia="宋体" w:cs="Times New Roman"/>
                      <w:color w:val="auto"/>
                      <w:sz w:val="18"/>
                      <w:szCs w:val="18"/>
                      <w:lang w:val="en-US" w:eastAsia="zh-CN"/>
                    </w:rPr>
                    <w:t>距离m</w:t>
                  </w:r>
                  <w:bookmarkEnd w:id="35"/>
                  <w:bookmarkEnd w:id="36"/>
                </w:p>
              </w:tc>
              <w:tc>
                <w:tcPr>
                  <w:tcW w:w="1599" w:type="pct"/>
                  <w:tcBorders>
                    <w:tl2br w:val="nil"/>
                    <w:tr2bl w:val="nil"/>
                  </w:tcBorders>
                  <w:noWrap w:val="0"/>
                  <w:vAlign w:val="center"/>
                </w:tcPr>
                <w:p w14:paraId="762CB3DB">
                  <w:pPr>
                    <w:jc w:val="center"/>
                    <w:textAlignment w:val="baseline"/>
                    <w:rPr>
                      <w:rFonts w:hint="default" w:ascii="Times New Roman" w:hAnsi="Times New Roman" w:eastAsia="宋体" w:cs="Times New Roman"/>
                      <w:color w:val="auto"/>
                      <w:sz w:val="18"/>
                      <w:szCs w:val="18"/>
                      <w:lang w:val="en-US" w:eastAsia="zh-CN"/>
                    </w:rPr>
                  </w:pPr>
                  <w:bookmarkStart w:id="37" w:name="_Toc31989"/>
                  <w:bookmarkStart w:id="38" w:name="_Toc12593"/>
                  <w:r>
                    <w:rPr>
                      <w:rFonts w:hint="eastAsia" w:ascii="Times New Roman" w:hAnsi="Times New Roman" w:eastAsia="宋体" w:cs="Times New Roman"/>
                      <w:color w:val="auto"/>
                      <w:sz w:val="18"/>
                      <w:szCs w:val="18"/>
                      <w:lang w:val="en-US" w:eastAsia="zh-CN"/>
                    </w:rPr>
                    <w:t>预测浓度mg/m</w:t>
                  </w:r>
                  <w:r>
                    <w:rPr>
                      <w:rFonts w:hint="eastAsia" w:ascii="Times New Roman" w:hAnsi="Times New Roman" w:eastAsia="宋体" w:cs="Times New Roman"/>
                      <w:color w:val="auto"/>
                      <w:sz w:val="18"/>
                      <w:szCs w:val="18"/>
                      <w:vertAlign w:val="superscript"/>
                      <w:lang w:val="en-US" w:eastAsia="zh-CN"/>
                    </w:rPr>
                    <w:t>3</w:t>
                  </w:r>
                  <w:bookmarkEnd w:id="37"/>
                  <w:bookmarkEnd w:id="38"/>
                </w:p>
              </w:tc>
              <w:tc>
                <w:tcPr>
                  <w:tcW w:w="949" w:type="pct"/>
                  <w:tcBorders>
                    <w:tl2br w:val="nil"/>
                    <w:tr2bl w:val="nil"/>
                  </w:tcBorders>
                  <w:noWrap w:val="0"/>
                  <w:vAlign w:val="center"/>
                </w:tcPr>
                <w:p w14:paraId="77F0C2F0">
                  <w:pPr>
                    <w:jc w:val="center"/>
                    <w:textAlignment w:val="baseline"/>
                    <w:rPr>
                      <w:rFonts w:hint="eastAsia" w:ascii="Times New Roman" w:hAnsi="Times New Roman" w:eastAsia="宋体" w:cs="Times New Roman"/>
                      <w:color w:val="auto"/>
                      <w:sz w:val="18"/>
                      <w:szCs w:val="18"/>
                      <w:lang w:val="en-US" w:eastAsia="zh-CN"/>
                    </w:rPr>
                  </w:pPr>
                  <w:bookmarkStart w:id="39" w:name="_Toc13312"/>
                  <w:bookmarkStart w:id="40" w:name="_Toc18288"/>
                  <w:r>
                    <w:rPr>
                      <w:rFonts w:hint="eastAsia" w:ascii="Times New Roman" w:hAnsi="Times New Roman" w:eastAsia="宋体" w:cs="Times New Roman"/>
                      <w:color w:val="auto"/>
                      <w:sz w:val="18"/>
                      <w:szCs w:val="18"/>
                      <w:lang w:val="en-US" w:eastAsia="zh-CN"/>
                    </w:rPr>
                    <w:t>距离m</w:t>
                  </w:r>
                  <w:bookmarkEnd w:id="39"/>
                  <w:bookmarkEnd w:id="40"/>
                </w:p>
              </w:tc>
              <w:tc>
                <w:tcPr>
                  <w:tcW w:w="1577" w:type="pct"/>
                  <w:tcBorders>
                    <w:tl2br w:val="nil"/>
                    <w:tr2bl w:val="nil"/>
                  </w:tcBorders>
                  <w:noWrap w:val="0"/>
                  <w:vAlign w:val="center"/>
                </w:tcPr>
                <w:p w14:paraId="6BC6562E">
                  <w:pPr>
                    <w:jc w:val="center"/>
                    <w:textAlignment w:val="baseline"/>
                    <w:rPr>
                      <w:rFonts w:hint="eastAsia" w:ascii="Times New Roman" w:hAnsi="Times New Roman" w:eastAsia="宋体" w:cs="Times New Roman"/>
                      <w:color w:val="auto"/>
                      <w:sz w:val="18"/>
                      <w:szCs w:val="18"/>
                      <w:lang w:val="en-US" w:eastAsia="zh-CN"/>
                    </w:rPr>
                  </w:pPr>
                  <w:bookmarkStart w:id="41" w:name="_Toc5727"/>
                  <w:bookmarkStart w:id="42" w:name="_Toc31039"/>
                  <w:r>
                    <w:rPr>
                      <w:rFonts w:hint="eastAsia" w:ascii="Times New Roman" w:hAnsi="Times New Roman" w:eastAsia="宋体" w:cs="Times New Roman"/>
                      <w:color w:val="auto"/>
                      <w:sz w:val="18"/>
                      <w:szCs w:val="18"/>
                      <w:lang w:val="en-US" w:eastAsia="zh-CN"/>
                    </w:rPr>
                    <w:t>预测浓度mg/m</w:t>
                  </w:r>
                  <w:r>
                    <w:rPr>
                      <w:rFonts w:hint="eastAsia" w:ascii="Times New Roman" w:hAnsi="Times New Roman" w:eastAsia="宋体" w:cs="Times New Roman"/>
                      <w:color w:val="auto"/>
                      <w:sz w:val="18"/>
                      <w:szCs w:val="18"/>
                      <w:vertAlign w:val="superscript"/>
                      <w:lang w:val="en-US" w:eastAsia="zh-CN"/>
                    </w:rPr>
                    <w:t>3</w:t>
                  </w:r>
                  <w:bookmarkEnd w:id="41"/>
                  <w:bookmarkEnd w:id="42"/>
                </w:p>
              </w:tc>
            </w:tr>
            <w:tr w14:paraId="39334285">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153816DD">
                  <w:pPr>
                    <w:jc w:val="center"/>
                    <w:textAlignment w:val="baseline"/>
                    <w:rPr>
                      <w:rFonts w:hint="default" w:ascii="Times New Roman" w:hAnsi="Times New Roman" w:eastAsia="宋体" w:cs="Times New Roman"/>
                      <w:color w:val="auto"/>
                      <w:sz w:val="18"/>
                      <w:szCs w:val="18"/>
                      <w:lang w:val="en-US" w:eastAsia="zh-CN"/>
                    </w:rPr>
                  </w:pPr>
                  <w:bookmarkStart w:id="43" w:name="_Toc14063"/>
                  <w:bookmarkStart w:id="44" w:name="_Toc9822"/>
                  <w:r>
                    <w:rPr>
                      <w:rFonts w:hint="eastAsia" w:ascii="Times New Roman" w:hAnsi="Times New Roman" w:eastAsia="宋体" w:cs="Times New Roman"/>
                      <w:color w:val="auto"/>
                      <w:sz w:val="18"/>
                      <w:szCs w:val="18"/>
                      <w:lang w:val="en-US" w:eastAsia="zh-CN"/>
                    </w:rPr>
                    <w:t>10</w:t>
                  </w:r>
                  <w:bookmarkEnd w:id="43"/>
                  <w:bookmarkEnd w:id="44"/>
                </w:p>
              </w:tc>
              <w:tc>
                <w:tcPr>
                  <w:tcW w:w="1599" w:type="pct"/>
                  <w:tcBorders>
                    <w:tl2br w:val="nil"/>
                    <w:tr2bl w:val="nil"/>
                  </w:tcBorders>
                  <w:noWrap w:val="0"/>
                  <w:vAlign w:val="center"/>
                </w:tcPr>
                <w:p w14:paraId="420A155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2.12E+04</w:t>
                  </w:r>
                </w:p>
              </w:tc>
              <w:tc>
                <w:tcPr>
                  <w:tcW w:w="949" w:type="pct"/>
                  <w:tcBorders>
                    <w:tl2br w:val="nil"/>
                    <w:tr2bl w:val="nil"/>
                  </w:tcBorders>
                  <w:noWrap w:val="0"/>
                  <w:vAlign w:val="center"/>
                </w:tcPr>
                <w:p w14:paraId="52D8BA4C">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610</w:t>
                  </w:r>
                </w:p>
              </w:tc>
              <w:tc>
                <w:tcPr>
                  <w:tcW w:w="1577" w:type="pct"/>
                  <w:tcBorders>
                    <w:tl2br w:val="nil"/>
                    <w:tr2bl w:val="nil"/>
                  </w:tcBorders>
                  <w:noWrap w:val="0"/>
                  <w:vAlign w:val="center"/>
                </w:tcPr>
                <w:p w14:paraId="6E7436D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1.19E+01</w:t>
                  </w:r>
                </w:p>
              </w:tc>
            </w:tr>
            <w:tr w14:paraId="695F7E6E">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56FB117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1599" w:type="pct"/>
                  <w:tcBorders>
                    <w:tl2br w:val="nil"/>
                    <w:tr2bl w:val="nil"/>
                  </w:tcBorders>
                  <w:noWrap w:val="0"/>
                  <w:vAlign w:val="center"/>
                </w:tcPr>
                <w:p w14:paraId="4289964F">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7.91E+03</w:t>
                  </w:r>
                </w:p>
              </w:tc>
              <w:tc>
                <w:tcPr>
                  <w:tcW w:w="949" w:type="pct"/>
                  <w:tcBorders>
                    <w:tl2br w:val="nil"/>
                    <w:tr2bl w:val="nil"/>
                  </w:tcBorders>
                  <w:noWrap w:val="0"/>
                  <w:vAlign w:val="center"/>
                </w:tcPr>
                <w:p w14:paraId="2B855421">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710</w:t>
                  </w:r>
                </w:p>
              </w:tc>
              <w:tc>
                <w:tcPr>
                  <w:tcW w:w="1577" w:type="pct"/>
                  <w:tcBorders>
                    <w:tl2br w:val="nil"/>
                    <w:tr2bl w:val="nil"/>
                  </w:tcBorders>
                  <w:noWrap w:val="0"/>
                  <w:vAlign w:val="center"/>
                </w:tcPr>
                <w:p w14:paraId="66971B3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8.78E+00</w:t>
                  </w:r>
                </w:p>
              </w:tc>
            </w:tr>
            <w:tr w14:paraId="58A26D1B">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0EBA5025">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599" w:type="pct"/>
                  <w:tcBorders>
                    <w:tl2br w:val="nil"/>
                    <w:tr2bl w:val="nil"/>
                  </w:tcBorders>
                  <w:noWrap w:val="0"/>
                  <w:vAlign w:val="center"/>
                </w:tcPr>
                <w:p w14:paraId="6FC2E87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3.96E+03</w:t>
                  </w:r>
                </w:p>
              </w:tc>
              <w:tc>
                <w:tcPr>
                  <w:tcW w:w="949" w:type="pct"/>
                  <w:tcBorders>
                    <w:tl2br w:val="nil"/>
                    <w:tr2bl w:val="nil"/>
                  </w:tcBorders>
                  <w:noWrap w:val="0"/>
                  <w:vAlign w:val="center"/>
                </w:tcPr>
                <w:p w14:paraId="5170F17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810</w:t>
                  </w:r>
                </w:p>
              </w:tc>
              <w:tc>
                <w:tcPr>
                  <w:tcW w:w="1577" w:type="pct"/>
                  <w:tcBorders>
                    <w:tl2br w:val="nil"/>
                    <w:tr2bl w:val="nil"/>
                  </w:tcBorders>
                  <w:noWrap w:val="0"/>
                  <w:vAlign w:val="center"/>
                </w:tcPr>
                <w:p w14:paraId="034349D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6.65E+00</w:t>
                  </w:r>
                </w:p>
              </w:tc>
            </w:tr>
            <w:tr w14:paraId="13A64FA0">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0957C84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1599" w:type="pct"/>
                  <w:tcBorders>
                    <w:tl2br w:val="nil"/>
                    <w:tr2bl w:val="nil"/>
                  </w:tcBorders>
                  <w:noWrap w:val="0"/>
                  <w:vAlign w:val="center"/>
                </w:tcPr>
                <w:p w14:paraId="456FCBF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1.55E+03</w:t>
                  </w:r>
                </w:p>
              </w:tc>
              <w:tc>
                <w:tcPr>
                  <w:tcW w:w="949" w:type="pct"/>
                  <w:tcBorders>
                    <w:tl2br w:val="nil"/>
                    <w:tr2bl w:val="nil"/>
                  </w:tcBorders>
                  <w:noWrap w:val="0"/>
                  <w:vAlign w:val="center"/>
                </w:tcPr>
                <w:p w14:paraId="4CCDEA7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910</w:t>
                  </w:r>
                </w:p>
              </w:tc>
              <w:tc>
                <w:tcPr>
                  <w:tcW w:w="1577" w:type="pct"/>
                  <w:tcBorders>
                    <w:tl2br w:val="nil"/>
                    <w:tr2bl w:val="nil"/>
                  </w:tcBorders>
                  <w:noWrap w:val="0"/>
                  <w:vAlign w:val="center"/>
                </w:tcPr>
                <w:p w14:paraId="442B0AF3">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5.09E+00</w:t>
                  </w:r>
                </w:p>
              </w:tc>
            </w:tr>
            <w:tr w14:paraId="6150621D">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507D55E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w:t>
                  </w:r>
                </w:p>
              </w:tc>
              <w:tc>
                <w:tcPr>
                  <w:tcW w:w="1599" w:type="pct"/>
                  <w:tcBorders>
                    <w:tl2br w:val="nil"/>
                    <w:tr2bl w:val="nil"/>
                  </w:tcBorders>
                  <w:noWrap w:val="0"/>
                  <w:vAlign w:val="center"/>
                </w:tcPr>
                <w:p w14:paraId="4C309D7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6.31E+02</w:t>
                  </w:r>
                </w:p>
              </w:tc>
              <w:tc>
                <w:tcPr>
                  <w:tcW w:w="949" w:type="pct"/>
                  <w:tcBorders>
                    <w:tl2br w:val="nil"/>
                    <w:tr2bl w:val="nil"/>
                  </w:tcBorders>
                  <w:noWrap w:val="0"/>
                  <w:vAlign w:val="center"/>
                </w:tcPr>
                <w:p w14:paraId="4F657005">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1100</w:t>
                  </w:r>
                </w:p>
              </w:tc>
              <w:tc>
                <w:tcPr>
                  <w:tcW w:w="1577" w:type="pct"/>
                  <w:tcBorders>
                    <w:tl2br w:val="nil"/>
                    <w:tr2bl w:val="nil"/>
                  </w:tcBorders>
                  <w:noWrap w:val="0"/>
                  <w:vAlign w:val="center"/>
                </w:tcPr>
                <w:p w14:paraId="0858FB0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3.28E+00</w:t>
                  </w:r>
                </w:p>
              </w:tc>
            </w:tr>
            <w:tr w14:paraId="27D9A3BB">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0E620672">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1599" w:type="pct"/>
                  <w:tcBorders>
                    <w:tl2br w:val="nil"/>
                    <w:tr2bl w:val="nil"/>
                  </w:tcBorders>
                  <w:noWrap w:val="0"/>
                  <w:vAlign w:val="center"/>
                </w:tcPr>
                <w:p w14:paraId="36D9D59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5.03E+02</w:t>
                  </w:r>
                </w:p>
              </w:tc>
              <w:tc>
                <w:tcPr>
                  <w:tcW w:w="949" w:type="pct"/>
                  <w:tcBorders>
                    <w:tl2br w:val="nil"/>
                    <w:tr2bl w:val="nil"/>
                  </w:tcBorders>
                  <w:noWrap w:val="0"/>
                  <w:vAlign w:val="center"/>
                </w:tcPr>
                <w:p w14:paraId="652CD4A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1210</w:t>
                  </w:r>
                </w:p>
              </w:tc>
              <w:tc>
                <w:tcPr>
                  <w:tcW w:w="1577" w:type="pct"/>
                  <w:tcBorders>
                    <w:tl2br w:val="nil"/>
                    <w:tr2bl w:val="nil"/>
                  </w:tcBorders>
                  <w:noWrap w:val="0"/>
                  <w:vAlign w:val="center"/>
                </w:tcPr>
                <w:p w14:paraId="1DBD06B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2.62E+00</w:t>
                  </w:r>
                </w:p>
              </w:tc>
            </w:tr>
            <w:tr w14:paraId="5398878E">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PrEx>
              <w:trPr>
                <w:trHeight w:val="340" w:hRule="atLeast"/>
                <w:jc w:val="center"/>
              </w:trPr>
              <w:tc>
                <w:tcPr>
                  <w:tcW w:w="873" w:type="pct"/>
                  <w:tcBorders>
                    <w:tl2br w:val="nil"/>
                    <w:tr2bl w:val="nil"/>
                  </w:tcBorders>
                  <w:noWrap w:val="0"/>
                  <w:vAlign w:val="center"/>
                </w:tcPr>
                <w:p w14:paraId="72FB02E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1599" w:type="pct"/>
                  <w:tcBorders>
                    <w:tl2br w:val="nil"/>
                    <w:tr2bl w:val="nil"/>
                  </w:tcBorders>
                  <w:noWrap w:val="0"/>
                  <w:vAlign w:val="center"/>
                </w:tcPr>
                <w:p w14:paraId="6A0B52F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4.10E+02</w:t>
                  </w:r>
                </w:p>
              </w:tc>
              <w:tc>
                <w:tcPr>
                  <w:tcW w:w="949" w:type="pct"/>
                  <w:tcBorders>
                    <w:tl2br w:val="nil"/>
                    <w:tr2bl w:val="nil"/>
                  </w:tcBorders>
                  <w:noWrap w:val="0"/>
                  <w:vAlign w:val="center"/>
                </w:tcPr>
                <w:p w14:paraId="432D133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1310</w:t>
                  </w:r>
                </w:p>
              </w:tc>
              <w:tc>
                <w:tcPr>
                  <w:tcW w:w="1577" w:type="pct"/>
                  <w:tcBorders>
                    <w:tl2br w:val="nil"/>
                    <w:tr2bl w:val="nil"/>
                  </w:tcBorders>
                  <w:noWrap w:val="0"/>
                  <w:vAlign w:val="center"/>
                </w:tcPr>
                <w:p w14:paraId="3693FAA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2.17E+00</w:t>
                  </w:r>
                </w:p>
              </w:tc>
            </w:tr>
            <w:tr w14:paraId="6BA940E9">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shd w:val="clear" w:color="auto" w:fill="D7D7D7"/>
                  <w:noWrap w:val="0"/>
                  <w:vAlign w:val="center"/>
                </w:tcPr>
                <w:p w14:paraId="6F96DF4C">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104</w:t>
                  </w:r>
                </w:p>
              </w:tc>
              <w:tc>
                <w:tcPr>
                  <w:tcW w:w="1599" w:type="pct"/>
                  <w:tcBorders>
                    <w:tl2br w:val="nil"/>
                    <w:tr2bl w:val="nil"/>
                  </w:tcBorders>
                  <w:shd w:val="clear" w:color="auto" w:fill="D7D7D7"/>
                  <w:noWrap w:val="0"/>
                  <w:vAlign w:val="center"/>
                </w:tcPr>
                <w:p w14:paraId="5E13EAA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3.80E+02</w:t>
                  </w:r>
                </w:p>
              </w:tc>
              <w:tc>
                <w:tcPr>
                  <w:tcW w:w="949" w:type="pct"/>
                  <w:tcBorders>
                    <w:tl2br w:val="nil"/>
                    <w:tr2bl w:val="nil"/>
                  </w:tcBorders>
                  <w:noWrap w:val="0"/>
                  <w:vAlign w:val="center"/>
                </w:tcPr>
                <w:p w14:paraId="5336168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1410</w:t>
                  </w:r>
                </w:p>
              </w:tc>
              <w:tc>
                <w:tcPr>
                  <w:tcW w:w="1577" w:type="pct"/>
                  <w:tcBorders>
                    <w:tl2br w:val="nil"/>
                    <w:tr2bl w:val="nil"/>
                  </w:tcBorders>
                  <w:noWrap w:val="0"/>
                  <w:vAlign w:val="center"/>
                </w:tcPr>
                <w:p w14:paraId="5B7590D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7253F65C">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6EA9425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110</w:t>
                  </w:r>
                </w:p>
              </w:tc>
              <w:tc>
                <w:tcPr>
                  <w:tcW w:w="1599" w:type="pct"/>
                  <w:tcBorders>
                    <w:tl2br w:val="nil"/>
                    <w:tr2bl w:val="nil"/>
                  </w:tcBorders>
                  <w:noWrap w:val="0"/>
                  <w:vAlign w:val="center"/>
                </w:tcPr>
                <w:p w14:paraId="764C830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3.41E+02</w:t>
                  </w:r>
                </w:p>
              </w:tc>
              <w:tc>
                <w:tcPr>
                  <w:tcW w:w="949" w:type="pct"/>
                  <w:tcBorders>
                    <w:tl2br w:val="nil"/>
                    <w:tr2bl w:val="nil"/>
                  </w:tcBorders>
                  <w:noWrap w:val="0"/>
                  <w:vAlign w:val="center"/>
                </w:tcPr>
                <w:p w14:paraId="6ADA3E5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1510</w:t>
                  </w:r>
                </w:p>
              </w:tc>
              <w:tc>
                <w:tcPr>
                  <w:tcW w:w="1577" w:type="pct"/>
                  <w:tcBorders>
                    <w:tl2br w:val="nil"/>
                    <w:tr2bl w:val="nil"/>
                  </w:tcBorders>
                  <w:noWrap w:val="0"/>
                  <w:vAlign w:val="center"/>
                </w:tcPr>
                <w:p w14:paraId="4ADB12D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3B876CA5">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5392B8F8">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160</w:t>
                  </w:r>
                </w:p>
              </w:tc>
              <w:tc>
                <w:tcPr>
                  <w:tcW w:w="1599" w:type="pct"/>
                  <w:tcBorders>
                    <w:tl2br w:val="nil"/>
                    <w:tr2bl w:val="nil"/>
                  </w:tcBorders>
                  <w:noWrap w:val="0"/>
                  <w:vAlign w:val="center"/>
                </w:tcPr>
                <w:p w14:paraId="1EAA62C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1.65E+02</w:t>
                  </w:r>
                </w:p>
              </w:tc>
              <w:tc>
                <w:tcPr>
                  <w:tcW w:w="949" w:type="pct"/>
                  <w:tcBorders>
                    <w:tl2br w:val="nil"/>
                    <w:tr2bl w:val="nil"/>
                  </w:tcBorders>
                  <w:noWrap w:val="0"/>
                  <w:vAlign w:val="center"/>
                </w:tcPr>
                <w:p w14:paraId="722C713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1610</w:t>
                  </w:r>
                </w:p>
              </w:tc>
              <w:tc>
                <w:tcPr>
                  <w:tcW w:w="1577" w:type="pct"/>
                  <w:tcBorders>
                    <w:tl2br w:val="nil"/>
                    <w:tr2bl w:val="nil"/>
                  </w:tcBorders>
                  <w:noWrap w:val="0"/>
                  <w:vAlign w:val="center"/>
                </w:tcPr>
                <w:p w14:paraId="439C6C7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21EDE2B2">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4F94239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w:t>
                  </w:r>
                </w:p>
              </w:tc>
              <w:tc>
                <w:tcPr>
                  <w:tcW w:w="1599" w:type="pct"/>
                  <w:tcBorders>
                    <w:tl2br w:val="nil"/>
                    <w:tr2bl w:val="nil"/>
                  </w:tcBorders>
                  <w:noWrap w:val="0"/>
                  <w:vAlign w:val="center"/>
                </w:tcPr>
                <w:p w14:paraId="02E3E1A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1.31E+02</w:t>
                  </w:r>
                </w:p>
              </w:tc>
              <w:tc>
                <w:tcPr>
                  <w:tcW w:w="949" w:type="pct"/>
                  <w:tcBorders>
                    <w:tl2br w:val="nil"/>
                    <w:tr2bl w:val="nil"/>
                  </w:tcBorders>
                  <w:noWrap w:val="0"/>
                  <w:vAlign w:val="center"/>
                </w:tcPr>
                <w:p w14:paraId="78CE45E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1710</w:t>
                  </w:r>
                </w:p>
              </w:tc>
              <w:tc>
                <w:tcPr>
                  <w:tcW w:w="1577" w:type="pct"/>
                  <w:tcBorders>
                    <w:tl2br w:val="nil"/>
                    <w:tr2bl w:val="nil"/>
                  </w:tcBorders>
                  <w:noWrap w:val="0"/>
                  <w:vAlign w:val="center"/>
                </w:tcPr>
                <w:p w14:paraId="2223077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7146B1FC">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113BCFF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210</w:t>
                  </w:r>
                </w:p>
              </w:tc>
              <w:tc>
                <w:tcPr>
                  <w:tcW w:w="1599" w:type="pct"/>
                  <w:tcBorders>
                    <w:tl2br w:val="nil"/>
                    <w:tr2bl w:val="nil"/>
                  </w:tcBorders>
                  <w:noWrap w:val="0"/>
                  <w:vAlign w:val="center"/>
                </w:tcPr>
                <w:p w14:paraId="301A2D5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9.67E+01</w:t>
                  </w:r>
                </w:p>
              </w:tc>
              <w:tc>
                <w:tcPr>
                  <w:tcW w:w="949" w:type="pct"/>
                  <w:tcBorders>
                    <w:tl2br w:val="nil"/>
                    <w:tr2bl w:val="nil"/>
                  </w:tcBorders>
                  <w:noWrap w:val="0"/>
                  <w:vAlign w:val="center"/>
                </w:tcPr>
                <w:p w14:paraId="0DB4356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1810</w:t>
                  </w:r>
                </w:p>
              </w:tc>
              <w:tc>
                <w:tcPr>
                  <w:tcW w:w="1577" w:type="pct"/>
                  <w:tcBorders>
                    <w:tl2br w:val="nil"/>
                    <w:tr2bl w:val="nil"/>
                  </w:tcBorders>
                  <w:noWrap w:val="0"/>
                  <w:vAlign w:val="center"/>
                </w:tcPr>
                <w:p w14:paraId="052BF42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3FEF7803">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shd w:val="clear" w:color="auto" w:fill="D7D7D7"/>
                  <w:noWrap w:val="0"/>
                  <w:vAlign w:val="center"/>
                </w:tcPr>
                <w:p w14:paraId="247A934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212</w:t>
                  </w:r>
                </w:p>
              </w:tc>
              <w:tc>
                <w:tcPr>
                  <w:tcW w:w="1599" w:type="pct"/>
                  <w:tcBorders>
                    <w:tl2br w:val="nil"/>
                    <w:tr2bl w:val="nil"/>
                  </w:tcBorders>
                  <w:shd w:val="clear" w:color="auto" w:fill="D7D7D7"/>
                  <w:noWrap w:val="0"/>
                  <w:vAlign w:val="center"/>
                </w:tcPr>
                <w:p w14:paraId="0CB9247B">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9.49E+01</w:t>
                  </w:r>
                </w:p>
              </w:tc>
              <w:tc>
                <w:tcPr>
                  <w:tcW w:w="949" w:type="pct"/>
                  <w:tcBorders>
                    <w:tl2br w:val="nil"/>
                    <w:tr2bl w:val="nil"/>
                  </w:tcBorders>
                  <w:noWrap w:val="0"/>
                  <w:vAlign w:val="center"/>
                </w:tcPr>
                <w:p w14:paraId="1CFA44D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1910</w:t>
                  </w:r>
                </w:p>
              </w:tc>
              <w:tc>
                <w:tcPr>
                  <w:tcW w:w="1577" w:type="pct"/>
                  <w:tcBorders>
                    <w:tl2br w:val="nil"/>
                    <w:tr2bl w:val="nil"/>
                  </w:tcBorders>
                  <w:noWrap w:val="0"/>
                  <w:vAlign w:val="center"/>
                </w:tcPr>
                <w:p w14:paraId="4BFB4F6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5B7C3F87">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3CF1FB0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260</w:t>
                  </w:r>
                </w:p>
              </w:tc>
              <w:tc>
                <w:tcPr>
                  <w:tcW w:w="1599" w:type="pct"/>
                  <w:tcBorders>
                    <w:tl2br w:val="nil"/>
                    <w:tr2bl w:val="nil"/>
                  </w:tcBorders>
                  <w:noWrap w:val="0"/>
                  <w:vAlign w:val="center"/>
                </w:tcPr>
                <w:p w14:paraId="00A53C7B">
                  <w:pPr>
                    <w:jc w:val="center"/>
                    <w:textAlignment w:val="baseline"/>
                    <w:rPr>
                      <w:rFonts w:hint="eastAsia" w:ascii="Times New Roman" w:hAnsi="Times New Roman" w:eastAsia="宋体" w:cs="Times New Roman"/>
                      <w:color w:val="auto"/>
                      <w:sz w:val="18"/>
                      <w:szCs w:val="18"/>
                      <w:lang w:val="en-US" w:eastAsia="zh-CN"/>
                    </w:rPr>
                  </w:pPr>
                  <w:bookmarkStart w:id="45" w:name="_Toc10620"/>
                  <w:bookmarkStart w:id="46" w:name="_Toc21709"/>
                  <w:r>
                    <w:rPr>
                      <w:rFonts w:hint="eastAsia" w:ascii="Times New Roman" w:hAnsi="Times New Roman" w:eastAsia="宋体" w:cs="Times New Roman"/>
                      <w:color w:val="auto"/>
                      <w:sz w:val="18"/>
                      <w:szCs w:val="18"/>
                      <w:lang w:val="en-US" w:eastAsia="zh-CN"/>
                    </w:rPr>
                    <w:t>6.39E+0</w:t>
                  </w:r>
                  <w:bookmarkEnd w:id="45"/>
                  <w:bookmarkEnd w:id="46"/>
                  <w:r>
                    <w:rPr>
                      <w:rFonts w:hint="eastAsia" w:ascii="Times New Roman" w:hAnsi="Times New Roman" w:eastAsia="宋体" w:cs="Times New Roman"/>
                      <w:color w:val="auto"/>
                      <w:sz w:val="18"/>
                      <w:szCs w:val="18"/>
                      <w:lang w:val="en-US" w:eastAsia="zh-CN"/>
                    </w:rPr>
                    <w:t>1</w:t>
                  </w:r>
                </w:p>
              </w:tc>
              <w:tc>
                <w:tcPr>
                  <w:tcW w:w="949" w:type="pct"/>
                  <w:tcBorders>
                    <w:tl2br w:val="nil"/>
                    <w:tr2bl w:val="nil"/>
                  </w:tcBorders>
                  <w:noWrap w:val="0"/>
                  <w:vAlign w:val="center"/>
                </w:tcPr>
                <w:p w14:paraId="0B27C9F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2010</w:t>
                  </w:r>
                </w:p>
              </w:tc>
              <w:tc>
                <w:tcPr>
                  <w:tcW w:w="1577" w:type="pct"/>
                  <w:tcBorders>
                    <w:tl2br w:val="nil"/>
                    <w:tr2bl w:val="nil"/>
                  </w:tcBorders>
                  <w:noWrap w:val="0"/>
                  <w:vAlign w:val="center"/>
                </w:tcPr>
                <w:p w14:paraId="11A6BB1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502C6E6A">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214169A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310</w:t>
                  </w:r>
                </w:p>
              </w:tc>
              <w:tc>
                <w:tcPr>
                  <w:tcW w:w="1599" w:type="pct"/>
                  <w:tcBorders>
                    <w:tl2br w:val="nil"/>
                    <w:tr2bl w:val="nil"/>
                  </w:tcBorders>
                  <w:noWrap w:val="0"/>
                  <w:vAlign w:val="center"/>
                </w:tcPr>
                <w:p w14:paraId="4EE2893C">
                  <w:pPr>
                    <w:jc w:val="center"/>
                    <w:textAlignment w:val="baseline"/>
                    <w:rPr>
                      <w:rFonts w:hint="eastAsia" w:ascii="Times New Roman" w:hAnsi="Times New Roman" w:eastAsia="宋体" w:cs="Times New Roman"/>
                      <w:color w:val="auto"/>
                      <w:sz w:val="18"/>
                      <w:szCs w:val="18"/>
                      <w:lang w:val="en-US" w:eastAsia="zh-CN"/>
                    </w:rPr>
                  </w:pPr>
                  <w:bookmarkStart w:id="47" w:name="_Toc23045"/>
                  <w:bookmarkStart w:id="48" w:name="_Toc4591"/>
                  <w:r>
                    <w:rPr>
                      <w:rFonts w:hint="eastAsia" w:ascii="Times New Roman" w:hAnsi="Times New Roman" w:eastAsia="宋体" w:cs="Times New Roman"/>
                      <w:color w:val="auto"/>
                      <w:sz w:val="18"/>
                      <w:szCs w:val="18"/>
                      <w:lang w:val="en-US" w:eastAsia="zh-CN"/>
                    </w:rPr>
                    <w:t>4.51E+0</w:t>
                  </w:r>
                  <w:bookmarkEnd w:id="47"/>
                  <w:bookmarkEnd w:id="48"/>
                  <w:r>
                    <w:rPr>
                      <w:rFonts w:hint="eastAsia" w:ascii="Times New Roman" w:hAnsi="Times New Roman" w:eastAsia="宋体" w:cs="Times New Roman"/>
                      <w:color w:val="auto"/>
                      <w:sz w:val="18"/>
                      <w:szCs w:val="18"/>
                      <w:lang w:val="en-US" w:eastAsia="zh-CN"/>
                    </w:rPr>
                    <w:t>1</w:t>
                  </w:r>
                </w:p>
              </w:tc>
              <w:tc>
                <w:tcPr>
                  <w:tcW w:w="949" w:type="pct"/>
                  <w:tcBorders>
                    <w:tl2br w:val="nil"/>
                    <w:tr2bl w:val="nil"/>
                  </w:tcBorders>
                  <w:noWrap w:val="0"/>
                  <w:vAlign w:val="center"/>
                </w:tcPr>
                <w:p w14:paraId="2163C6A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2110</w:t>
                  </w:r>
                </w:p>
              </w:tc>
              <w:tc>
                <w:tcPr>
                  <w:tcW w:w="1577" w:type="pct"/>
                  <w:tcBorders>
                    <w:tl2br w:val="nil"/>
                    <w:tr2bl w:val="nil"/>
                  </w:tcBorders>
                  <w:noWrap w:val="0"/>
                  <w:vAlign w:val="center"/>
                </w:tcPr>
                <w:p w14:paraId="217BC5D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4F484059">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474462D7">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360</w:t>
                  </w:r>
                </w:p>
              </w:tc>
              <w:tc>
                <w:tcPr>
                  <w:tcW w:w="1599" w:type="pct"/>
                  <w:tcBorders>
                    <w:tl2br w:val="nil"/>
                    <w:tr2bl w:val="nil"/>
                  </w:tcBorders>
                  <w:noWrap w:val="0"/>
                  <w:vAlign w:val="center"/>
                </w:tcPr>
                <w:p w14:paraId="685830FC">
                  <w:pPr>
                    <w:jc w:val="center"/>
                    <w:textAlignment w:val="baseline"/>
                    <w:rPr>
                      <w:rFonts w:hint="eastAsia" w:ascii="Times New Roman" w:hAnsi="Times New Roman" w:eastAsia="宋体" w:cs="Times New Roman"/>
                      <w:color w:val="auto"/>
                      <w:sz w:val="18"/>
                      <w:szCs w:val="18"/>
                      <w:lang w:val="en-US" w:eastAsia="zh-CN"/>
                    </w:rPr>
                  </w:pPr>
                  <w:bookmarkStart w:id="49" w:name="_Toc2682"/>
                  <w:bookmarkStart w:id="50" w:name="_Toc15519"/>
                  <w:r>
                    <w:rPr>
                      <w:rFonts w:hint="eastAsia" w:ascii="Times New Roman" w:hAnsi="Times New Roman" w:eastAsia="宋体" w:cs="Times New Roman"/>
                      <w:color w:val="auto"/>
                      <w:sz w:val="18"/>
                      <w:szCs w:val="18"/>
                      <w:lang w:val="en-US" w:eastAsia="zh-CN"/>
                    </w:rPr>
                    <w:t>3.36E+0</w:t>
                  </w:r>
                  <w:bookmarkEnd w:id="49"/>
                  <w:bookmarkEnd w:id="50"/>
                  <w:r>
                    <w:rPr>
                      <w:rFonts w:hint="eastAsia" w:ascii="Times New Roman" w:hAnsi="Times New Roman" w:eastAsia="宋体" w:cs="Times New Roman"/>
                      <w:color w:val="auto"/>
                      <w:sz w:val="18"/>
                      <w:szCs w:val="18"/>
                      <w:lang w:val="en-US" w:eastAsia="zh-CN"/>
                    </w:rPr>
                    <w:t>1</w:t>
                  </w:r>
                </w:p>
              </w:tc>
              <w:tc>
                <w:tcPr>
                  <w:tcW w:w="949" w:type="pct"/>
                  <w:tcBorders>
                    <w:tl2br w:val="nil"/>
                    <w:tr2bl w:val="nil"/>
                  </w:tcBorders>
                  <w:noWrap w:val="0"/>
                  <w:vAlign w:val="center"/>
                </w:tcPr>
                <w:p w14:paraId="05305E12">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2210</w:t>
                  </w:r>
                </w:p>
              </w:tc>
              <w:tc>
                <w:tcPr>
                  <w:tcW w:w="1577" w:type="pct"/>
                  <w:tcBorders>
                    <w:tl2br w:val="nil"/>
                    <w:tr2bl w:val="nil"/>
                  </w:tcBorders>
                  <w:noWrap w:val="0"/>
                  <w:vAlign w:val="center"/>
                </w:tcPr>
                <w:p w14:paraId="17DC311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2360B358">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3514E4F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410</w:t>
                  </w:r>
                </w:p>
              </w:tc>
              <w:tc>
                <w:tcPr>
                  <w:tcW w:w="1599" w:type="pct"/>
                  <w:tcBorders>
                    <w:tl2br w:val="nil"/>
                    <w:tr2bl w:val="nil"/>
                  </w:tcBorders>
                  <w:noWrap w:val="0"/>
                  <w:vAlign w:val="center"/>
                </w:tcPr>
                <w:p w14:paraId="25DE83E7">
                  <w:pPr>
                    <w:jc w:val="center"/>
                    <w:textAlignment w:val="baseline"/>
                    <w:rPr>
                      <w:rFonts w:hint="default" w:ascii="Times New Roman" w:hAnsi="Times New Roman" w:eastAsia="宋体" w:cs="Times New Roman"/>
                      <w:color w:val="auto"/>
                      <w:sz w:val="18"/>
                      <w:szCs w:val="18"/>
                      <w:lang w:val="en-US" w:eastAsia="zh-CN"/>
                    </w:rPr>
                  </w:pPr>
                  <w:bookmarkStart w:id="51" w:name="_Toc16029"/>
                  <w:bookmarkStart w:id="52" w:name="_Toc23658"/>
                  <w:r>
                    <w:rPr>
                      <w:rFonts w:hint="eastAsia" w:ascii="Times New Roman" w:hAnsi="Times New Roman" w:eastAsia="宋体" w:cs="Times New Roman"/>
                      <w:color w:val="auto"/>
                      <w:sz w:val="18"/>
                      <w:szCs w:val="18"/>
                      <w:lang w:val="en-US" w:eastAsia="zh-CN"/>
                    </w:rPr>
                    <w:t>2.60E+0</w:t>
                  </w:r>
                  <w:bookmarkEnd w:id="51"/>
                  <w:bookmarkEnd w:id="52"/>
                  <w:r>
                    <w:rPr>
                      <w:rFonts w:hint="eastAsia" w:ascii="Times New Roman" w:hAnsi="Times New Roman" w:eastAsia="宋体" w:cs="Times New Roman"/>
                      <w:color w:val="auto"/>
                      <w:sz w:val="18"/>
                      <w:szCs w:val="18"/>
                      <w:lang w:val="en-US" w:eastAsia="zh-CN"/>
                    </w:rPr>
                    <w:t>1</w:t>
                  </w:r>
                </w:p>
              </w:tc>
              <w:tc>
                <w:tcPr>
                  <w:tcW w:w="949" w:type="pct"/>
                  <w:tcBorders>
                    <w:tl2br w:val="nil"/>
                    <w:tr2bl w:val="nil"/>
                  </w:tcBorders>
                  <w:noWrap w:val="0"/>
                  <w:vAlign w:val="center"/>
                </w:tcPr>
                <w:p w14:paraId="371FA7A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2310</w:t>
                  </w:r>
                </w:p>
              </w:tc>
              <w:tc>
                <w:tcPr>
                  <w:tcW w:w="1577" w:type="pct"/>
                  <w:tcBorders>
                    <w:tl2br w:val="nil"/>
                    <w:tr2bl w:val="nil"/>
                  </w:tcBorders>
                  <w:noWrap w:val="0"/>
                  <w:vAlign w:val="center"/>
                </w:tcPr>
                <w:p w14:paraId="375FA473">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7EB21F4F">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4A024A2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510</w:t>
                  </w:r>
                </w:p>
              </w:tc>
              <w:tc>
                <w:tcPr>
                  <w:tcW w:w="1599" w:type="pct"/>
                  <w:tcBorders>
                    <w:tl2br w:val="nil"/>
                    <w:tr2bl w:val="nil"/>
                  </w:tcBorders>
                  <w:noWrap w:val="0"/>
                  <w:vAlign w:val="center"/>
                </w:tcPr>
                <w:p w14:paraId="1BC6EC92">
                  <w:pPr>
                    <w:jc w:val="center"/>
                    <w:textAlignment w:val="baseline"/>
                    <w:rPr>
                      <w:rFonts w:hint="eastAsia" w:ascii="Times New Roman" w:hAnsi="Times New Roman" w:eastAsia="宋体" w:cs="Times New Roman"/>
                      <w:color w:val="auto"/>
                      <w:sz w:val="18"/>
                      <w:szCs w:val="18"/>
                      <w:lang w:val="en-US" w:eastAsia="zh-CN"/>
                    </w:rPr>
                  </w:pPr>
                  <w:bookmarkStart w:id="53" w:name="_Toc6997"/>
                  <w:bookmarkStart w:id="54" w:name="_Toc1831"/>
                  <w:r>
                    <w:rPr>
                      <w:rFonts w:hint="eastAsia" w:ascii="Times New Roman" w:hAnsi="Times New Roman" w:eastAsia="宋体" w:cs="Times New Roman"/>
                      <w:color w:val="auto"/>
                      <w:sz w:val="18"/>
                      <w:szCs w:val="18"/>
                      <w:lang w:val="en-US" w:eastAsia="zh-CN"/>
                    </w:rPr>
                    <w:t>1.69E</w:t>
                  </w:r>
                  <w:bookmarkEnd w:id="53"/>
                  <w:bookmarkEnd w:id="54"/>
                  <w:r>
                    <w:rPr>
                      <w:rFonts w:hint="eastAsia" w:ascii="Times New Roman" w:hAnsi="Times New Roman" w:eastAsia="宋体" w:cs="Times New Roman"/>
                      <w:color w:val="auto"/>
                      <w:sz w:val="18"/>
                      <w:szCs w:val="18"/>
                      <w:lang w:val="en-US" w:eastAsia="zh-CN"/>
                    </w:rPr>
                    <w:t>+01</w:t>
                  </w:r>
                </w:p>
              </w:tc>
              <w:tc>
                <w:tcPr>
                  <w:tcW w:w="949" w:type="pct"/>
                  <w:tcBorders>
                    <w:tl2br w:val="nil"/>
                    <w:tr2bl w:val="nil"/>
                  </w:tcBorders>
                  <w:noWrap w:val="0"/>
                  <w:vAlign w:val="center"/>
                </w:tcPr>
                <w:p w14:paraId="6FFFE36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2410</w:t>
                  </w:r>
                </w:p>
              </w:tc>
              <w:tc>
                <w:tcPr>
                  <w:tcW w:w="1577" w:type="pct"/>
                  <w:tcBorders>
                    <w:tl2br w:val="nil"/>
                    <w:tr2bl w:val="nil"/>
                  </w:tcBorders>
                  <w:noWrap w:val="0"/>
                  <w:vAlign w:val="center"/>
                </w:tcPr>
                <w:p w14:paraId="2EE404B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773E09A6">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873" w:type="pct"/>
                  <w:tcBorders>
                    <w:tl2br w:val="nil"/>
                    <w:tr2bl w:val="nil"/>
                  </w:tcBorders>
                  <w:noWrap w:val="0"/>
                  <w:vAlign w:val="center"/>
                </w:tcPr>
                <w:p w14:paraId="5D36B56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560</w:t>
                  </w:r>
                </w:p>
              </w:tc>
              <w:tc>
                <w:tcPr>
                  <w:tcW w:w="1599" w:type="pct"/>
                  <w:tcBorders>
                    <w:tl2br w:val="nil"/>
                    <w:tr2bl w:val="nil"/>
                  </w:tcBorders>
                  <w:noWrap w:val="0"/>
                  <w:vAlign w:val="center"/>
                </w:tcPr>
                <w:p w14:paraId="0F35B36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1.41E+01</w:t>
                  </w:r>
                </w:p>
              </w:tc>
              <w:tc>
                <w:tcPr>
                  <w:tcW w:w="949" w:type="pct"/>
                  <w:tcBorders>
                    <w:tl2br w:val="nil"/>
                    <w:tr2bl w:val="nil"/>
                  </w:tcBorders>
                  <w:noWrap w:val="0"/>
                  <w:vAlign w:val="center"/>
                </w:tcPr>
                <w:p w14:paraId="51066A7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2510</w:t>
                  </w:r>
                </w:p>
              </w:tc>
              <w:tc>
                <w:tcPr>
                  <w:tcW w:w="1577" w:type="pct"/>
                  <w:tcBorders>
                    <w:tl2br w:val="nil"/>
                    <w:tr2bl w:val="nil"/>
                  </w:tcBorders>
                  <w:noWrap w:val="0"/>
                  <w:vAlign w:val="center"/>
                </w:tcPr>
                <w:p w14:paraId="39F720E9">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0.00E+00</w:t>
                  </w:r>
                </w:p>
              </w:tc>
            </w:tr>
            <w:tr w14:paraId="61AC02A8">
              <w:tblPrEx>
                <w:tblBorders>
                  <w:top w:val="single" w:color="000000" w:sz="12"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0329D0D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大气毒性终点浓度限值：-1</w:t>
                  </w:r>
                  <w:r>
                    <w:rPr>
                      <w:rFonts w:hint="eastAsia"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380mg/m3 ；-2</w:t>
                  </w:r>
                  <w:r>
                    <w:rPr>
                      <w:rFonts w:hint="eastAsia"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95mg/m3</w:t>
                  </w:r>
                </w:p>
              </w:tc>
            </w:tr>
          </w:tbl>
          <w:p w14:paraId="20DA26D7">
            <w:pPr>
              <w:pStyle w:val="11"/>
              <w:spacing w:before="0" w:line="360" w:lineRule="auto"/>
              <w:ind w:firstLine="420" w:firstLineChars="200"/>
              <w:jc w:val="center"/>
              <w:rPr>
                <w:rFonts w:hint="eastAsia"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lang w:val="en-US" w:eastAsia="zh-CN"/>
              </w:rPr>
              <w:t>表4-19  火灾伴生事故NO2预测结果</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592"/>
              <w:gridCol w:w="1540"/>
              <w:gridCol w:w="2557"/>
            </w:tblGrid>
            <w:tr w14:paraId="0356B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noWrap w:val="0"/>
                  <w:vAlign w:val="center"/>
                </w:tcPr>
                <w:p w14:paraId="3716C981">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距离m</w:t>
                  </w:r>
                </w:p>
              </w:tc>
              <w:tc>
                <w:tcPr>
                  <w:tcW w:w="1599" w:type="pct"/>
                  <w:noWrap w:val="0"/>
                  <w:vAlign w:val="center"/>
                </w:tcPr>
                <w:p w14:paraId="431040B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预测浓度mg/m3</w:t>
                  </w:r>
                </w:p>
              </w:tc>
              <w:tc>
                <w:tcPr>
                  <w:tcW w:w="950" w:type="pct"/>
                  <w:noWrap w:val="0"/>
                  <w:vAlign w:val="center"/>
                </w:tcPr>
                <w:p w14:paraId="6AB49053">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距离m</w:t>
                  </w:r>
                </w:p>
              </w:tc>
              <w:tc>
                <w:tcPr>
                  <w:tcW w:w="1575" w:type="pct"/>
                  <w:tcBorders>
                    <w:right w:val="nil"/>
                  </w:tcBorders>
                  <w:noWrap w:val="0"/>
                  <w:vAlign w:val="center"/>
                </w:tcPr>
                <w:p w14:paraId="1E07767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预测浓度mg/m</w:t>
                  </w:r>
                  <w:r>
                    <w:rPr>
                      <w:rFonts w:hint="eastAsia" w:ascii="Times New Roman" w:hAnsi="Times New Roman" w:eastAsia="宋体" w:cs="Times New Roman"/>
                      <w:color w:val="auto"/>
                      <w:sz w:val="18"/>
                      <w:szCs w:val="18"/>
                      <w:vertAlign w:val="superscript"/>
                      <w:lang w:val="en-US" w:eastAsia="zh-CN"/>
                    </w:rPr>
                    <w:t>3</w:t>
                  </w:r>
                </w:p>
              </w:tc>
            </w:tr>
            <w:tr w14:paraId="08637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54F29BB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599" w:type="pct"/>
                  <w:noWrap w:val="0"/>
                  <w:vAlign w:val="center"/>
                </w:tcPr>
                <w:p w14:paraId="56AAC151">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3.82E+02</w:t>
                  </w:r>
                </w:p>
              </w:tc>
              <w:tc>
                <w:tcPr>
                  <w:tcW w:w="950" w:type="pct"/>
                  <w:noWrap w:val="0"/>
                  <w:vAlign w:val="center"/>
                </w:tcPr>
                <w:p w14:paraId="5BEDC06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610</w:t>
                  </w:r>
                </w:p>
              </w:tc>
              <w:tc>
                <w:tcPr>
                  <w:tcW w:w="1575" w:type="pct"/>
                  <w:tcBorders>
                    <w:right w:val="nil"/>
                  </w:tcBorders>
                  <w:noWrap w:val="0"/>
                  <w:vAlign w:val="center"/>
                </w:tcPr>
                <w:p w14:paraId="583D0FE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2.14E-01</w:t>
                  </w:r>
                </w:p>
              </w:tc>
            </w:tr>
            <w:tr w14:paraId="660E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7955CAF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1599" w:type="pct"/>
                  <w:noWrap w:val="0"/>
                  <w:vAlign w:val="center"/>
                </w:tcPr>
                <w:p w14:paraId="185BC74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1.43E+02</w:t>
                  </w:r>
                </w:p>
              </w:tc>
              <w:tc>
                <w:tcPr>
                  <w:tcW w:w="950" w:type="pct"/>
                  <w:noWrap w:val="0"/>
                  <w:vAlign w:val="center"/>
                </w:tcPr>
                <w:p w14:paraId="31D4258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710</w:t>
                  </w:r>
                </w:p>
              </w:tc>
              <w:tc>
                <w:tcPr>
                  <w:tcW w:w="1575" w:type="pct"/>
                  <w:tcBorders>
                    <w:right w:val="nil"/>
                  </w:tcBorders>
                  <w:noWrap w:val="0"/>
                  <w:vAlign w:val="center"/>
                </w:tcPr>
                <w:p w14:paraId="29A11C1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1.58E-01</w:t>
                  </w:r>
                </w:p>
              </w:tc>
            </w:tr>
            <w:tr w14:paraId="6908E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3D42AA0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599" w:type="pct"/>
                  <w:noWrap w:val="0"/>
                  <w:vAlign w:val="center"/>
                </w:tcPr>
                <w:p w14:paraId="1CBD58B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7.14E+01</w:t>
                  </w:r>
                </w:p>
              </w:tc>
              <w:tc>
                <w:tcPr>
                  <w:tcW w:w="950" w:type="pct"/>
                  <w:noWrap w:val="0"/>
                  <w:vAlign w:val="center"/>
                </w:tcPr>
                <w:p w14:paraId="3FC5F9A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810</w:t>
                  </w:r>
                </w:p>
              </w:tc>
              <w:tc>
                <w:tcPr>
                  <w:tcW w:w="1575" w:type="pct"/>
                  <w:tcBorders>
                    <w:right w:val="nil"/>
                  </w:tcBorders>
                  <w:noWrap w:val="0"/>
                  <w:vAlign w:val="center"/>
                </w:tcPr>
                <w:p w14:paraId="1823923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1.20E-01</w:t>
                  </w:r>
                </w:p>
              </w:tc>
            </w:tr>
            <w:tr w14:paraId="05152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16772E5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599" w:type="pct"/>
                  <w:noWrap w:val="0"/>
                  <w:vAlign w:val="center"/>
                </w:tcPr>
                <w:p w14:paraId="06712CCB">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4.23E+01</w:t>
                  </w:r>
                </w:p>
              </w:tc>
              <w:tc>
                <w:tcPr>
                  <w:tcW w:w="950" w:type="pct"/>
                  <w:noWrap w:val="0"/>
                  <w:vAlign w:val="center"/>
                </w:tcPr>
                <w:p w14:paraId="476D34E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910</w:t>
                  </w:r>
                </w:p>
              </w:tc>
              <w:tc>
                <w:tcPr>
                  <w:tcW w:w="1575" w:type="pct"/>
                  <w:tcBorders>
                    <w:right w:val="nil"/>
                  </w:tcBorders>
                  <w:noWrap w:val="0"/>
                  <w:vAlign w:val="center"/>
                </w:tcPr>
                <w:p w14:paraId="0F690AD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9.19E-02</w:t>
                  </w:r>
                </w:p>
              </w:tc>
            </w:tr>
            <w:tr w14:paraId="25885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shd w:val="clear" w:color="auto" w:fill="D7D7D7"/>
                  <w:noWrap w:val="0"/>
                  <w:vAlign w:val="center"/>
                </w:tcPr>
                <w:p w14:paraId="0534AC6C">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43</w:t>
                  </w:r>
                </w:p>
              </w:tc>
              <w:tc>
                <w:tcPr>
                  <w:tcW w:w="1599" w:type="pct"/>
                  <w:shd w:val="clear" w:color="auto" w:fill="D7D7D7"/>
                  <w:noWrap w:val="0"/>
                  <w:vAlign w:val="center"/>
                </w:tcPr>
                <w:p w14:paraId="5CB39BD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3.70E+01</w:t>
                  </w:r>
                </w:p>
              </w:tc>
              <w:tc>
                <w:tcPr>
                  <w:tcW w:w="950" w:type="pct"/>
                  <w:noWrap w:val="0"/>
                  <w:vAlign w:val="center"/>
                </w:tcPr>
                <w:p w14:paraId="0142076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1100</w:t>
                  </w:r>
                </w:p>
              </w:tc>
              <w:tc>
                <w:tcPr>
                  <w:tcW w:w="1575" w:type="pct"/>
                  <w:tcBorders>
                    <w:right w:val="nil"/>
                  </w:tcBorders>
                  <w:noWrap w:val="0"/>
                  <w:vAlign w:val="center"/>
                </w:tcPr>
                <w:p w14:paraId="7002FA4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5.92E-02</w:t>
                  </w:r>
                </w:p>
              </w:tc>
            </w:tr>
            <w:tr w14:paraId="2FB0A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2DEAF76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1599" w:type="pct"/>
                  <w:noWrap w:val="0"/>
                  <w:vAlign w:val="center"/>
                </w:tcPr>
                <w:p w14:paraId="42C2898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2.79E+01</w:t>
                  </w:r>
                </w:p>
              </w:tc>
              <w:tc>
                <w:tcPr>
                  <w:tcW w:w="950" w:type="pct"/>
                  <w:noWrap w:val="0"/>
                  <w:vAlign w:val="center"/>
                </w:tcPr>
                <w:p w14:paraId="2D48525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1210</w:t>
                  </w:r>
                </w:p>
              </w:tc>
              <w:tc>
                <w:tcPr>
                  <w:tcW w:w="1575" w:type="pct"/>
                  <w:tcBorders>
                    <w:right w:val="nil"/>
                  </w:tcBorders>
                  <w:noWrap w:val="0"/>
                  <w:vAlign w:val="center"/>
                </w:tcPr>
                <w:p w14:paraId="574D366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4.73E-02</w:t>
                  </w:r>
                </w:p>
              </w:tc>
            </w:tr>
            <w:tr w14:paraId="2E16F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shd w:val="clear" w:color="auto" w:fill="D7D7D7"/>
                  <w:noWrap w:val="0"/>
                  <w:vAlign w:val="center"/>
                </w:tcPr>
                <w:p w14:paraId="6407012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56</w:t>
                  </w:r>
                </w:p>
              </w:tc>
              <w:tc>
                <w:tcPr>
                  <w:tcW w:w="1599" w:type="pct"/>
                  <w:shd w:val="clear" w:color="auto" w:fill="D7D7D7"/>
                  <w:noWrap w:val="0"/>
                  <w:vAlign w:val="center"/>
                </w:tcPr>
                <w:p w14:paraId="3F32A0A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2.25E+01</w:t>
                  </w:r>
                </w:p>
              </w:tc>
              <w:tc>
                <w:tcPr>
                  <w:tcW w:w="950" w:type="pct"/>
                  <w:noWrap w:val="0"/>
                  <w:vAlign w:val="center"/>
                </w:tcPr>
                <w:p w14:paraId="6F9AAE3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1310</w:t>
                  </w:r>
                </w:p>
              </w:tc>
              <w:tc>
                <w:tcPr>
                  <w:tcW w:w="1575" w:type="pct"/>
                  <w:tcBorders>
                    <w:right w:val="nil"/>
                  </w:tcBorders>
                  <w:noWrap w:val="0"/>
                  <w:vAlign w:val="center"/>
                </w:tcPr>
                <w:p w14:paraId="147F29E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2.92E-02</w:t>
                  </w:r>
                </w:p>
              </w:tc>
            </w:tr>
            <w:tr w14:paraId="08B66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672A093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1599" w:type="pct"/>
                  <w:noWrap w:val="0"/>
                  <w:vAlign w:val="center"/>
                </w:tcPr>
                <w:p w14:paraId="06F4A123">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1.97E+01</w:t>
                  </w:r>
                </w:p>
              </w:tc>
              <w:tc>
                <w:tcPr>
                  <w:tcW w:w="950" w:type="pct"/>
                  <w:noWrap w:val="0"/>
                  <w:vAlign w:val="center"/>
                </w:tcPr>
                <w:p w14:paraId="59E2996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1410</w:t>
                  </w:r>
                </w:p>
              </w:tc>
              <w:tc>
                <w:tcPr>
                  <w:tcW w:w="1575" w:type="pct"/>
                  <w:tcBorders>
                    <w:right w:val="nil"/>
                  </w:tcBorders>
                  <w:noWrap w:val="0"/>
                  <w:vAlign w:val="center"/>
                </w:tcPr>
                <w:p w14:paraId="3E2D183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34A73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7F36B099">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w:t>
                  </w:r>
                </w:p>
              </w:tc>
              <w:tc>
                <w:tcPr>
                  <w:tcW w:w="1599" w:type="pct"/>
                  <w:noWrap w:val="0"/>
                  <w:vAlign w:val="center"/>
                </w:tcPr>
                <w:p w14:paraId="3E0A2EB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1.14E+01</w:t>
                  </w:r>
                </w:p>
              </w:tc>
              <w:tc>
                <w:tcPr>
                  <w:tcW w:w="950" w:type="pct"/>
                  <w:noWrap w:val="0"/>
                  <w:vAlign w:val="center"/>
                </w:tcPr>
                <w:p w14:paraId="56C7499C">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1510</w:t>
                  </w:r>
                </w:p>
              </w:tc>
              <w:tc>
                <w:tcPr>
                  <w:tcW w:w="1575" w:type="pct"/>
                  <w:tcBorders>
                    <w:right w:val="nil"/>
                  </w:tcBorders>
                  <w:noWrap w:val="0"/>
                  <w:vAlign w:val="center"/>
                </w:tcPr>
                <w:p w14:paraId="70009DE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1C6D3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1446113F">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110</w:t>
                  </w:r>
                </w:p>
              </w:tc>
              <w:tc>
                <w:tcPr>
                  <w:tcW w:w="1599" w:type="pct"/>
                  <w:noWrap w:val="0"/>
                  <w:vAlign w:val="center"/>
                </w:tcPr>
                <w:p w14:paraId="48631AF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6.15E+00</w:t>
                  </w:r>
                </w:p>
              </w:tc>
              <w:tc>
                <w:tcPr>
                  <w:tcW w:w="950" w:type="pct"/>
                  <w:noWrap w:val="0"/>
                  <w:vAlign w:val="center"/>
                </w:tcPr>
                <w:p w14:paraId="40B0271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1610</w:t>
                  </w:r>
                </w:p>
              </w:tc>
              <w:tc>
                <w:tcPr>
                  <w:tcW w:w="1575" w:type="pct"/>
                  <w:tcBorders>
                    <w:right w:val="nil"/>
                  </w:tcBorders>
                  <w:noWrap w:val="0"/>
                  <w:vAlign w:val="center"/>
                </w:tcPr>
                <w:p w14:paraId="53FA722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36B95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2947803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160</w:t>
                  </w:r>
                </w:p>
              </w:tc>
              <w:tc>
                <w:tcPr>
                  <w:tcW w:w="1599" w:type="pct"/>
                  <w:noWrap w:val="0"/>
                  <w:vAlign w:val="center"/>
                </w:tcPr>
                <w:p w14:paraId="715226F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2.97E+00</w:t>
                  </w:r>
                </w:p>
              </w:tc>
              <w:tc>
                <w:tcPr>
                  <w:tcW w:w="950" w:type="pct"/>
                  <w:noWrap w:val="0"/>
                  <w:vAlign w:val="center"/>
                </w:tcPr>
                <w:p w14:paraId="1010CD1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1710</w:t>
                  </w:r>
                </w:p>
              </w:tc>
              <w:tc>
                <w:tcPr>
                  <w:tcW w:w="1575" w:type="pct"/>
                  <w:tcBorders>
                    <w:right w:val="nil"/>
                  </w:tcBorders>
                  <w:noWrap w:val="0"/>
                  <w:vAlign w:val="center"/>
                </w:tcPr>
                <w:p w14:paraId="38C806E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2A0D5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6E13AA9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w:t>
                  </w:r>
                </w:p>
              </w:tc>
              <w:tc>
                <w:tcPr>
                  <w:tcW w:w="1599" w:type="pct"/>
                  <w:noWrap w:val="0"/>
                  <w:vAlign w:val="center"/>
                </w:tcPr>
                <w:p w14:paraId="48A2ECEE">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2.36E+00</w:t>
                  </w:r>
                </w:p>
              </w:tc>
              <w:tc>
                <w:tcPr>
                  <w:tcW w:w="950" w:type="pct"/>
                  <w:noWrap w:val="0"/>
                  <w:vAlign w:val="center"/>
                </w:tcPr>
                <w:p w14:paraId="435C74B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1810</w:t>
                  </w:r>
                </w:p>
              </w:tc>
              <w:tc>
                <w:tcPr>
                  <w:tcW w:w="1575" w:type="pct"/>
                  <w:tcBorders>
                    <w:right w:val="nil"/>
                  </w:tcBorders>
                  <w:noWrap w:val="0"/>
                  <w:vAlign w:val="center"/>
                </w:tcPr>
                <w:p w14:paraId="732BDC21">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1C1D9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0660D34C">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210</w:t>
                  </w:r>
                </w:p>
              </w:tc>
              <w:tc>
                <w:tcPr>
                  <w:tcW w:w="1599" w:type="pct"/>
                  <w:noWrap w:val="0"/>
                  <w:vAlign w:val="center"/>
                </w:tcPr>
                <w:p w14:paraId="418B293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1.74E+00</w:t>
                  </w:r>
                </w:p>
              </w:tc>
              <w:tc>
                <w:tcPr>
                  <w:tcW w:w="950" w:type="pct"/>
                  <w:noWrap w:val="0"/>
                  <w:vAlign w:val="center"/>
                </w:tcPr>
                <w:p w14:paraId="5CEEA985">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1910</w:t>
                  </w:r>
                </w:p>
              </w:tc>
              <w:tc>
                <w:tcPr>
                  <w:tcW w:w="1575" w:type="pct"/>
                  <w:tcBorders>
                    <w:right w:val="nil"/>
                  </w:tcBorders>
                  <w:noWrap w:val="0"/>
                  <w:vAlign w:val="center"/>
                </w:tcPr>
                <w:p w14:paraId="76AC98C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7076D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02F29AE0">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260</w:t>
                  </w:r>
                </w:p>
              </w:tc>
              <w:tc>
                <w:tcPr>
                  <w:tcW w:w="1599" w:type="pct"/>
                  <w:noWrap w:val="0"/>
                  <w:vAlign w:val="center"/>
                </w:tcPr>
                <w:p w14:paraId="725ACB2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1.15E+00</w:t>
                  </w:r>
                </w:p>
              </w:tc>
              <w:tc>
                <w:tcPr>
                  <w:tcW w:w="950" w:type="pct"/>
                  <w:noWrap w:val="0"/>
                  <w:vAlign w:val="center"/>
                </w:tcPr>
                <w:p w14:paraId="69565836">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2010</w:t>
                  </w:r>
                </w:p>
              </w:tc>
              <w:tc>
                <w:tcPr>
                  <w:tcW w:w="1575" w:type="pct"/>
                  <w:tcBorders>
                    <w:right w:val="nil"/>
                  </w:tcBorders>
                  <w:noWrap w:val="0"/>
                  <w:vAlign w:val="center"/>
                </w:tcPr>
                <w:p w14:paraId="1277A05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10F7F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7ADD67B7">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310</w:t>
                  </w:r>
                </w:p>
              </w:tc>
              <w:tc>
                <w:tcPr>
                  <w:tcW w:w="1599" w:type="pct"/>
                  <w:noWrap w:val="0"/>
                  <w:vAlign w:val="center"/>
                </w:tcPr>
                <w:p w14:paraId="68263F5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8.13E-01</w:t>
                  </w:r>
                </w:p>
              </w:tc>
              <w:tc>
                <w:tcPr>
                  <w:tcW w:w="950" w:type="pct"/>
                  <w:noWrap w:val="0"/>
                  <w:vAlign w:val="center"/>
                </w:tcPr>
                <w:p w14:paraId="454A081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2110</w:t>
                  </w:r>
                </w:p>
              </w:tc>
              <w:tc>
                <w:tcPr>
                  <w:tcW w:w="1575" w:type="pct"/>
                  <w:tcBorders>
                    <w:right w:val="nil"/>
                  </w:tcBorders>
                  <w:noWrap w:val="0"/>
                  <w:vAlign w:val="center"/>
                </w:tcPr>
                <w:p w14:paraId="0BB85B2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090DF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7BA5D7D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360</w:t>
                  </w:r>
                </w:p>
              </w:tc>
              <w:tc>
                <w:tcPr>
                  <w:tcW w:w="1599" w:type="pct"/>
                  <w:noWrap w:val="0"/>
                  <w:vAlign w:val="center"/>
                </w:tcPr>
                <w:p w14:paraId="06F73AF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6.06E-01</w:t>
                  </w:r>
                </w:p>
              </w:tc>
              <w:tc>
                <w:tcPr>
                  <w:tcW w:w="950" w:type="pct"/>
                  <w:noWrap w:val="0"/>
                  <w:vAlign w:val="center"/>
                </w:tcPr>
                <w:p w14:paraId="67123625">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2210</w:t>
                  </w:r>
                </w:p>
              </w:tc>
              <w:tc>
                <w:tcPr>
                  <w:tcW w:w="1575" w:type="pct"/>
                  <w:tcBorders>
                    <w:right w:val="nil"/>
                  </w:tcBorders>
                  <w:noWrap w:val="0"/>
                  <w:vAlign w:val="center"/>
                </w:tcPr>
                <w:p w14:paraId="15FB9D4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02E8F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4A6C336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410</w:t>
                  </w:r>
                </w:p>
              </w:tc>
              <w:tc>
                <w:tcPr>
                  <w:tcW w:w="1599" w:type="pct"/>
                  <w:noWrap w:val="0"/>
                  <w:vAlign w:val="center"/>
                </w:tcPr>
                <w:p w14:paraId="1BA651B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4.69E-01</w:t>
                  </w:r>
                </w:p>
              </w:tc>
              <w:tc>
                <w:tcPr>
                  <w:tcW w:w="950" w:type="pct"/>
                  <w:noWrap w:val="0"/>
                  <w:vAlign w:val="center"/>
                </w:tcPr>
                <w:p w14:paraId="1406592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2310</w:t>
                  </w:r>
                </w:p>
              </w:tc>
              <w:tc>
                <w:tcPr>
                  <w:tcW w:w="1575" w:type="pct"/>
                  <w:tcBorders>
                    <w:right w:val="nil"/>
                  </w:tcBorders>
                  <w:noWrap w:val="0"/>
                  <w:vAlign w:val="center"/>
                </w:tcPr>
                <w:p w14:paraId="62DABE5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605F3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217FF69D">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510</w:t>
                  </w:r>
                </w:p>
              </w:tc>
              <w:tc>
                <w:tcPr>
                  <w:tcW w:w="1599" w:type="pct"/>
                  <w:noWrap w:val="0"/>
                  <w:vAlign w:val="center"/>
                </w:tcPr>
                <w:p w14:paraId="6A82C94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3.05E-01</w:t>
                  </w:r>
                </w:p>
              </w:tc>
              <w:tc>
                <w:tcPr>
                  <w:tcW w:w="950" w:type="pct"/>
                  <w:noWrap w:val="0"/>
                  <w:vAlign w:val="center"/>
                </w:tcPr>
                <w:p w14:paraId="1CF0E86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2410</w:t>
                  </w:r>
                </w:p>
              </w:tc>
              <w:tc>
                <w:tcPr>
                  <w:tcW w:w="1575" w:type="pct"/>
                  <w:tcBorders>
                    <w:right w:val="nil"/>
                  </w:tcBorders>
                  <w:noWrap w:val="0"/>
                  <w:vAlign w:val="center"/>
                </w:tcPr>
                <w:p w14:paraId="22D208F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2141D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tcBorders>
                    <w:left w:val="nil"/>
                  </w:tcBorders>
                  <w:noWrap w:val="0"/>
                  <w:vAlign w:val="center"/>
                </w:tcPr>
                <w:p w14:paraId="0785F3AA">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560</w:t>
                  </w:r>
                </w:p>
              </w:tc>
              <w:tc>
                <w:tcPr>
                  <w:tcW w:w="1599" w:type="pct"/>
                  <w:noWrap w:val="0"/>
                  <w:vAlign w:val="center"/>
                </w:tcPr>
                <w:p w14:paraId="0996CF9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2.53E-01</w:t>
                  </w:r>
                </w:p>
              </w:tc>
              <w:tc>
                <w:tcPr>
                  <w:tcW w:w="950" w:type="pct"/>
                  <w:noWrap w:val="0"/>
                  <w:vAlign w:val="center"/>
                </w:tcPr>
                <w:p w14:paraId="4E425D6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2510</w:t>
                  </w:r>
                </w:p>
              </w:tc>
              <w:tc>
                <w:tcPr>
                  <w:tcW w:w="1575" w:type="pct"/>
                  <w:tcBorders>
                    <w:right w:val="nil"/>
                  </w:tcBorders>
                  <w:noWrap w:val="0"/>
                  <w:vAlign w:val="center"/>
                </w:tcPr>
                <w:p w14:paraId="074E894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00E+00</w:t>
                  </w:r>
                </w:p>
              </w:tc>
            </w:tr>
            <w:tr w14:paraId="348F3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left w:val="nil"/>
                    <w:right w:val="nil"/>
                  </w:tcBorders>
                  <w:noWrap w:val="0"/>
                  <w:vAlign w:val="center"/>
                </w:tcPr>
                <w:p w14:paraId="7363B4B4">
                  <w:pPr>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大气毒性终点浓度限值：-1</w:t>
                  </w:r>
                  <w:r>
                    <w:rPr>
                      <w:rFonts w:hint="eastAsia"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38mg/m3；-2</w:t>
                  </w:r>
                  <w:r>
                    <w:rPr>
                      <w:rFonts w:hint="eastAsia"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23mg/m3</w:t>
                  </w:r>
                </w:p>
              </w:tc>
            </w:tr>
          </w:tbl>
          <w:p w14:paraId="40961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最不利气象条件下，经过10min扩散，CO预测浓度在约104m范围内高于毒性终点浓度-1，人群暴露1h可能存在生命威胁；CO预测浓度在约212m范围内高于毒性终点浓度-2，人群暴露1h可能对人体造成不可逆伤害。火灾伴生事故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预测浓度在约43m范围内高于毒性终点浓度-1，人群暴露1h可能存在生命威胁；NO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预测浓度在约56m范围内高于毒性终点浓度-2，人群暴露1h可能对人体造成不可逆伤害。根据预测结果分析，本项目应急撤离范围和对象为事故发生源下风向212m内的人群。据调查，在应急撤离范围内均为山林，无常驻人群敏感点。在事故应急过程中，应急人员须装戴好防毒面具，避免出现人员中毒伤亡事故。</w:t>
            </w:r>
          </w:p>
          <w:p w14:paraId="7D6E3CA5">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（3）水环境风险影响分析</w:t>
            </w:r>
          </w:p>
          <w:p w14:paraId="37300F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①事故对地表水环境的影响主要有两方面：</w:t>
            </w:r>
          </w:p>
          <w:p w14:paraId="5AFD66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直接影响（最不利影响）：本项目产生的消防废水若收集不当进入附近水体，会对水环境造成污染。根据国家环保总局的环发[2005]152号文件，在进一步完善环境风险应急措施过程中，企业水环境污染应急防范措施分为二级防控体系，即：一级防控措</w:t>
            </w:r>
            <w:r>
              <w:rPr>
                <w:rFonts w:hint="eastAsia" w:cs="Times New Roman"/>
                <w:color w:val="auto"/>
                <w:sz w:val="24"/>
                <w:szCs w:val="24"/>
                <w:lang w:val="en-US" w:eastAsia="zh-CN"/>
              </w:rPr>
              <w:t>施是</w:t>
            </w:r>
            <w:r>
              <w:rPr>
                <w:rFonts w:hint="eastAsia" w:ascii="Times New Roman" w:hAnsi="Times New Roman" w:eastAsia="宋体" w:cs="Times New Roman"/>
                <w:color w:val="auto"/>
                <w:sz w:val="24"/>
                <w:szCs w:val="24"/>
                <w:lang w:val="en-US" w:eastAsia="zh-CN"/>
              </w:rPr>
              <w:t>将污染物控制在库区，关闭雨水排口；二级防控措施是对库区消防废水进行收集，并妥善处理，确保事故状态下不发生污染事件。因此，环评要求建设单位在炸药库、雷管库周边及库区道路一侧</w:t>
            </w:r>
            <w:r>
              <w:rPr>
                <w:rFonts w:hint="eastAsia" w:cs="Times New Roman"/>
                <w:color w:val="auto"/>
                <w:sz w:val="24"/>
                <w:szCs w:val="24"/>
                <w:lang w:val="en-US" w:eastAsia="zh-CN"/>
              </w:rPr>
              <w:t>设置</w:t>
            </w:r>
            <w:r>
              <w:rPr>
                <w:rFonts w:hint="eastAsia" w:ascii="Times New Roman" w:hAnsi="Times New Roman" w:eastAsia="宋体" w:cs="Times New Roman"/>
                <w:color w:val="auto"/>
                <w:sz w:val="24"/>
                <w:szCs w:val="24"/>
                <w:lang w:val="en-US" w:eastAsia="zh-CN"/>
              </w:rPr>
              <w:t>排水沟用于收集消防废水，在厂区西侧低地势处设置事故应急池用于收集事故废水，废水取样化验，如满足玉溪大红山矿业有限公司污水处理</w:t>
            </w:r>
            <w:r>
              <w:rPr>
                <w:rFonts w:hint="eastAsia" w:cs="Times New Roman"/>
                <w:color w:val="auto"/>
                <w:sz w:val="24"/>
                <w:szCs w:val="24"/>
                <w:lang w:val="en-US" w:eastAsia="zh-CN"/>
              </w:rPr>
              <w:t>站</w:t>
            </w:r>
            <w:r>
              <w:rPr>
                <w:rFonts w:hint="eastAsia" w:ascii="Times New Roman" w:hAnsi="Times New Roman" w:eastAsia="宋体" w:cs="Times New Roman"/>
                <w:color w:val="auto"/>
                <w:sz w:val="24"/>
                <w:szCs w:val="24"/>
                <w:lang w:val="en-US" w:eastAsia="zh-CN"/>
              </w:rPr>
              <w:t>进水水质要求，运至玉溪大红山矿业有限公司污水处理</w:t>
            </w:r>
            <w:r>
              <w:rPr>
                <w:rFonts w:hint="eastAsia" w:cs="Times New Roman"/>
                <w:color w:val="auto"/>
                <w:sz w:val="24"/>
                <w:szCs w:val="24"/>
                <w:lang w:val="en-US" w:eastAsia="zh-CN"/>
              </w:rPr>
              <w:t>站</w:t>
            </w:r>
            <w:r>
              <w:rPr>
                <w:rFonts w:hint="eastAsia" w:ascii="Times New Roman" w:hAnsi="Times New Roman" w:eastAsia="宋体" w:cs="Times New Roman"/>
                <w:color w:val="auto"/>
                <w:sz w:val="24"/>
                <w:szCs w:val="24"/>
                <w:lang w:val="en-US" w:eastAsia="zh-CN"/>
              </w:rPr>
              <w:t>处理，如不满足则运至有资质单位处理。企业通过设置截流系统、事故收集池等事故环境风险减缓防线，基本能够把事故污水控制在该场界区范围内，可降低事故废水对外环境造成不良影响的概率。</w:t>
            </w:r>
          </w:p>
          <w:p w14:paraId="41C146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事故应急池设计：</w:t>
            </w:r>
          </w:p>
          <w:p w14:paraId="5C5DB8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本项目事故应急池的确定参考《事故状态下水体污染的预防和控制规范》（QSY08190-2019）中规定，事故储存设施总有效容积：</w:t>
            </w:r>
          </w:p>
          <w:p w14:paraId="72E2B1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object>
                <v:shape id="_x0000_i1030" o:spt="75" type="#_x0000_t75" style="height:18.1pt;width:192.8pt;" o:ole="t" filled="f" o:preferrelative="t" stroked="f" coordsize="21600,21600">
                  <v:path/>
                  <v:fill on="f" focussize="0,0"/>
                  <v:stroke on="f"/>
                  <v:imagedata r:id="rId30" o:title=""/>
                  <o:lock v:ext="edit" aspectratio="t"/>
                  <w10:wrap type="none"/>
                  <w10:anchorlock/>
                </v:shape>
                <o:OLEObject Type="Embed" ProgID="Equation.KSEE3" ShapeID="_x0000_i1030" DrawAspect="Content" ObjectID="_1468075730" r:id="rId29">
                  <o:LockedField>false</o:LockedField>
                </o:OLEObject>
              </w:object>
            </w:r>
          </w:p>
          <w:p w14:paraId="064C2D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w:t>
            </w:r>
          </w:p>
          <w:p w14:paraId="2DF4FF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（V1+V2-V3）max—是指对收集系统范围内不同罐组或装置分别计算V1+V2-V3，取其中最大值。</w:t>
            </w:r>
          </w:p>
          <w:p w14:paraId="621D0D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1——收集系统范围内发生事故的一个罐组或一套装置的物料量，m³；注：储存相同物料的罐组按一个最大储罐计，装置物料量按存留最大物料量的一台反应器或中间储罐计；本项目储存固态炸药和雷管，不涉及泄漏物料。</w:t>
            </w:r>
          </w:p>
          <w:p w14:paraId="5537B3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——发生事故的储罐或装置的消防水量，m³；V2=Q</w:t>
            </w:r>
            <w:r>
              <w:rPr>
                <w:rFonts w:hint="eastAsia" w:ascii="Times New Roman" w:hAnsi="Times New Roman" w:eastAsia="宋体" w:cs="Times New Roman"/>
                <w:color w:val="auto"/>
                <w:sz w:val="24"/>
                <w:szCs w:val="24"/>
                <w:vertAlign w:val="subscript"/>
                <w:lang w:val="en-US" w:eastAsia="zh-CN"/>
              </w:rPr>
              <w:t>消</w:t>
            </w:r>
            <w:r>
              <w:rPr>
                <w:rFonts w:hint="eastAsia"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vertAlign w:val="subscript"/>
                <w:lang w:val="en-US" w:eastAsia="zh-CN"/>
              </w:rPr>
              <w:t>消</w:t>
            </w:r>
          </w:p>
          <w:p w14:paraId="02B7C9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Q</w:t>
            </w:r>
            <w:r>
              <w:rPr>
                <w:rFonts w:hint="eastAsia" w:ascii="Times New Roman" w:hAnsi="Times New Roman" w:eastAsia="宋体" w:cs="Times New Roman"/>
                <w:color w:val="auto"/>
                <w:sz w:val="24"/>
                <w:szCs w:val="24"/>
                <w:vertAlign w:val="subscript"/>
                <w:lang w:val="en-US" w:eastAsia="zh-CN"/>
              </w:rPr>
              <w:t>消</w:t>
            </w:r>
            <w:r>
              <w:rPr>
                <w:rFonts w:hint="eastAsia" w:ascii="Times New Roman" w:hAnsi="Times New Roman" w:eastAsia="宋体" w:cs="Times New Roman"/>
                <w:color w:val="auto"/>
                <w:sz w:val="24"/>
                <w:szCs w:val="24"/>
                <w:lang w:val="en-US" w:eastAsia="zh-CN"/>
              </w:rPr>
              <w:t>——发生事故的储罐或装置的同时使用的消防设施给水流量，m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p>
          <w:p w14:paraId="5E82DA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vertAlign w:val="subscript"/>
                <w:lang w:val="en-US" w:eastAsia="zh-CN"/>
              </w:rPr>
              <w:t>消</w:t>
            </w:r>
            <w:r>
              <w:rPr>
                <w:rFonts w:hint="eastAsia" w:ascii="Times New Roman" w:hAnsi="Times New Roman" w:eastAsia="宋体" w:cs="Times New Roman"/>
                <w:color w:val="auto"/>
                <w:sz w:val="24"/>
                <w:szCs w:val="24"/>
                <w:lang w:val="en-US" w:eastAsia="zh-CN"/>
              </w:rPr>
              <w:t>—消防设施对应的设计消防历时，h；</w:t>
            </w:r>
          </w:p>
          <w:p w14:paraId="265DF4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本项目消防给水系统消防用水量按</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5L/s设计，火灾延续时间按</w:t>
            </w:r>
            <w:r>
              <w:rPr>
                <w:rFonts w:hint="eastAsia" w:cs="Times New Roman"/>
                <w:color w:val="auto"/>
                <w:sz w:val="24"/>
                <w:szCs w:val="24"/>
                <w:lang w:val="en-US" w:eastAsia="zh-CN"/>
              </w:rPr>
              <w:t>60min</w:t>
            </w:r>
            <w:r>
              <w:rPr>
                <w:rFonts w:hint="eastAsia" w:ascii="Times New Roman" w:hAnsi="Times New Roman" w:eastAsia="宋体" w:cs="Times New Roman"/>
                <w:color w:val="auto"/>
                <w:sz w:val="24"/>
                <w:szCs w:val="24"/>
                <w:lang w:val="en-US" w:eastAsia="zh-CN"/>
              </w:rPr>
              <w:t>计算，则消防废水量为</w:t>
            </w:r>
            <w:r>
              <w:rPr>
                <w:rFonts w:hint="eastAsia" w:cs="Times New Roman"/>
                <w:color w:val="auto"/>
                <w:sz w:val="24"/>
                <w:szCs w:val="24"/>
                <w:lang w:val="en-US" w:eastAsia="zh-CN"/>
              </w:rPr>
              <w:t>54</w:t>
            </w:r>
            <w:r>
              <w:rPr>
                <w:rFonts w:hint="eastAsia" w:ascii="Times New Roman" w:hAnsi="Times New Roman" w:eastAsia="宋体" w:cs="Times New Roman"/>
                <w:color w:val="auto"/>
                <w:sz w:val="24"/>
                <w:szCs w:val="24"/>
                <w:lang w:val="en-US" w:eastAsia="zh-CN"/>
              </w:rPr>
              <w:t>m³；</w:t>
            </w:r>
          </w:p>
          <w:p w14:paraId="2C65F8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V3——发生事故时可以转输到其他储存或处理设施的物料量，m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；本项目不涉及。</w:t>
            </w:r>
          </w:p>
          <w:p w14:paraId="3B9A7A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V4——发生事故时仍必须进入该收集系统的生产废水量，m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；本项目不涉及。</w:t>
            </w:r>
          </w:p>
          <w:p w14:paraId="6C3D0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V5——发生事故时可能进入该收集系统的降雨量，m³；</w:t>
            </w:r>
          </w:p>
          <w:p w14:paraId="48D9E3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vertAlign w:val="subscript"/>
                <w:lang w:val="en-US" w:eastAsia="zh-CN"/>
              </w:rPr>
              <w:t>雨水</w:t>
            </w:r>
            <w:r>
              <w:rPr>
                <w:rFonts w:hint="eastAsia" w:ascii="Times New Roman" w:hAnsi="Times New Roman" w:eastAsia="宋体" w:cs="Times New Roman"/>
                <w:color w:val="auto"/>
                <w:sz w:val="24"/>
                <w:szCs w:val="24"/>
                <w:lang w:val="en-US" w:eastAsia="zh-CN"/>
              </w:rPr>
              <w:t>=10qaFt/24n</w:t>
            </w:r>
          </w:p>
          <w:p w14:paraId="2917A4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qa——年平均降雨量，mm</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新平</w:t>
            </w:r>
            <w:r>
              <w:rPr>
                <w:rFonts w:hint="eastAsia" w:ascii="Times New Roman" w:hAnsi="Times New Roman" w:eastAsia="宋体" w:cs="Times New Roman"/>
                <w:color w:val="auto"/>
                <w:sz w:val="24"/>
                <w:szCs w:val="24"/>
                <w:highlight w:val="none"/>
                <w:lang w:val="en-US" w:eastAsia="zh-CN"/>
              </w:rPr>
              <w:t>县多年</w:t>
            </w:r>
            <w:r>
              <w:rPr>
                <w:rFonts w:hint="eastAsia" w:ascii="Times New Roman" w:hAnsi="Times New Roman" w:eastAsia="宋体" w:cs="Times New Roman"/>
                <w:color w:val="auto"/>
                <w:sz w:val="24"/>
                <w:szCs w:val="24"/>
                <w:lang w:val="en-US" w:eastAsia="zh-CN"/>
              </w:rPr>
              <w:t>平均降雨量</w:t>
            </w:r>
            <w:r>
              <w:rPr>
                <w:rFonts w:hint="eastAsia" w:cs="Times New Roman"/>
                <w:color w:val="auto"/>
                <w:sz w:val="24"/>
                <w:szCs w:val="24"/>
                <w:lang w:val="en-US" w:eastAsia="zh-CN"/>
              </w:rPr>
              <w:t>940.6mm</w:t>
            </w:r>
            <w:r>
              <w:rPr>
                <w:rFonts w:hint="eastAsia" w:ascii="Times New Roman" w:hAnsi="Times New Roman" w:eastAsia="宋体" w:cs="Times New Roman"/>
                <w:color w:val="auto"/>
                <w:sz w:val="24"/>
                <w:szCs w:val="24"/>
                <w:lang w:val="en-US" w:eastAsia="zh-CN"/>
              </w:rPr>
              <w:t>；</w:t>
            </w:r>
          </w:p>
          <w:p w14:paraId="4CF2A5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n——年平均降雨日，年平</w:t>
            </w:r>
            <w:r>
              <w:rPr>
                <w:rFonts w:hint="eastAsia" w:cs="Times New Roman"/>
                <w:color w:val="auto"/>
                <w:sz w:val="24"/>
                <w:szCs w:val="24"/>
                <w:lang w:val="en-US" w:eastAsia="zh-CN"/>
              </w:rPr>
              <w:t>均降</w:t>
            </w:r>
            <w:r>
              <w:rPr>
                <w:rFonts w:hint="eastAsia" w:ascii="Times New Roman" w:hAnsi="Times New Roman" w:eastAsia="宋体" w:cs="Times New Roman"/>
                <w:color w:val="auto"/>
                <w:sz w:val="24"/>
                <w:szCs w:val="24"/>
                <w:lang w:val="en-US" w:eastAsia="zh-CN"/>
              </w:rPr>
              <w:t>雨日1</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0天；</w:t>
            </w:r>
          </w:p>
          <w:p w14:paraId="114E11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F——必须进入事故废水收集系统的雨水汇水面积，ha，取厂区面积</w:t>
            </w:r>
            <w:r>
              <w:rPr>
                <w:rFonts w:hint="eastAsia" w:cs="Times New Roman"/>
                <w:color w:val="auto"/>
                <w:sz w:val="24"/>
                <w:szCs w:val="24"/>
                <w:lang w:val="en-US" w:eastAsia="zh-CN"/>
              </w:rPr>
              <w:t>1.18</w:t>
            </w:r>
            <w:r>
              <w:rPr>
                <w:rFonts w:hint="eastAsia" w:ascii="Times New Roman" w:hAnsi="Times New Roman" w:eastAsia="宋体" w:cs="Times New Roman"/>
                <w:color w:val="auto"/>
                <w:sz w:val="24"/>
                <w:szCs w:val="24"/>
                <w:lang w:val="en-US" w:eastAsia="zh-CN"/>
              </w:rPr>
              <w:t>ha；</w:t>
            </w:r>
          </w:p>
          <w:p w14:paraId="551BEF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t——发生事故时降雨持续时间，h，取3h。</w:t>
            </w:r>
          </w:p>
          <w:p w14:paraId="6B0ACE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则雨水收集量为</w:t>
            </w:r>
            <w:r>
              <w:rPr>
                <w:rFonts w:hint="eastAsia" w:cs="Times New Roman"/>
                <w:color w:val="auto"/>
                <w:sz w:val="24"/>
                <w:szCs w:val="24"/>
                <w:highlight w:val="none"/>
                <w:lang w:val="en-US" w:eastAsia="zh-CN"/>
              </w:rPr>
              <w:t>9.25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14:paraId="6367FA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经上述计算，本项目事故废水产生量为</w:t>
            </w:r>
            <w:r>
              <w:rPr>
                <w:rFonts w:hint="eastAsia" w:cs="Times New Roman"/>
                <w:color w:val="auto"/>
                <w:sz w:val="24"/>
                <w:szCs w:val="24"/>
                <w:highlight w:val="none"/>
                <w:lang w:val="en-US" w:eastAsia="zh-CN"/>
              </w:rPr>
              <w:t>54+9.25=63.25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，则设计事故应急池容积为</w:t>
            </w:r>
            <w:r>
              <w:rPr>
                <w:rFonts w:hint="eastAsia" w:cs="Times New Roman"/>
                <w:color w:val="auto"/>
                <w:sz w:val="24"/>
                <w:szCs w:val="24"/>
                <w:highlight w:val="none"/>
                <w:lang w:val="en-US" w:eastAsia="zh-CN"/>
              </w:rPr>
              <w:t>65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，建议设置于库区西</w:t>
            </w:r>
            <w:r>
              <w:rPr>
                <w:rFonts w:hint="eastAsia" w:cs="Times New Roman"/>
                <w:color w:val="auto"/>
                <w:sz w:val="24"/>
                <w:szCs w:val="24"/>
                <w:highlight w:val="none"/>
                <w:lang w:val="en-US" w:eastAsia="zh-CN"/>
              </w:rPr>
              <w:t>南</w:t>
            </w:r>
            <w:r>
              <w:rPr>
                <w:rFonts w:hint="eastAsia" w:ascii="Times New Roman" w:hAnsi="Times New Roman" w:eastAsia="宋体" w:cs="Times New Roman"/>
                <w:color w:val="auto"/>
                <w:sz w:val="24"/>
                <w:szCs w:val="24"/>
                <w:highlight w:val="none"/>
                <w:lang w:val="en-US" w:eastAsia="zh-CN"/>
              </w:rPr>
              <w:t>侧边角处，采用地埋式。事故应急池应采用抗渗混凝土结构，等效黏土防渗层Mb≥1.5m，渗透系数≤</w:t>
            </w:r>
            <w:r>
              <w:rPr>
                <w:rFonts w:hint="eastAsia" w:cs="Times New Roman"/>
                <w:color w:val="auto"/>
                <w:sz w:val="24"/>
                <w:szCs w:val="24"/>
                <w:highlight w:val="none"/>
                <w:lang w:val="en-US" w:eastAsia="zh-CN"/>
              </w:rPr>
              <w:t>1</w:t>
            </w:r>
            <w:r>
              <w:rPr>
                <w:rFonts w:hint="default" w:ascii="Arial" w:hAnsi="Arial"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-7</w:t>
            </w:r>
            <w:r>
              <w:rPr>
                <w:rFonts w:hint="eastAsia" w:ascii="Times New Roman" w:hAnsi="Times New Roman" w:eastAsia="宋体" w:cs="Times New Roman"/>
                <w:color w:val="auto"/>
                <w:sz w:val="24"/>
                <w:szCs w:val="24"/>
                <w:highlight w:val="none"/>
                <w:lang w:val="en-US" w:eastAsia="zh-CN"/>
              </w:rPr>
              <w:t>cm/s。</w:t>
            </w:r>
          </w:p>
          <w:p w14:paraId="012DD6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b）间接影响：由于发生爆炸事故，导致周围地质结构改变，土壤疏松，在暴雨径流作用下，可能造成水土流失加剧，影响事故附近水体水质。据调查，项目拟建地周边均为山体，</w:t>
            </w:r>
            <w:r>
              <w:rPr>
                <w:rFonts w:hint="eastAsia" w:cs="Times New Roman"/>
                <w:color w:val="auto"/>
                <w:sz w:val="24"/>
                <w:szCs w:val="24"/>
                <w:lang w:val="en-US" w:eastAsia="zh-CN"/>
              </w:rPr>
              <w:t>50</w:t>
            </w:r>
            <w:r>
              <w:rPr>
                <w:rFonts w:hint="eastAsia" w:ascii="Times New Roman" w:hAnsi="Times New Roman" w:eastAsia="宋体" w:cs="Times New Roman"/>
                <w:color w:val="auto"/>
                <w:sz w:val="24"/>
                <w:szCs w:val="24"/>
                <w:lang w:val="en-US" w:eastAsia="zh-CN"/>
              </w:rPr>
              <w:t>0m范围内无明显地表径流，且周边有山体阻隔，对地表水体影响小。</w:t>
            </w:r>
          </w:p>
          <w:p w14:paraId="179E8EF0">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（4）生态环境影响分析</w:t>
            </w:r>
          </w:p>
          <w:p w14:paraId="1E63E3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炸药在地面上爆炸时，必然在空气中产生爆炸波，会破坏周边的植被、土地</w:t>
            </w:r>
            <w:r>
              <w:rPr>
                <w:rFonts w:hint="eastAsia" w:cs="Times New Roman"/>
                <w:color w:val="auto"/>
                <w:sz w:val="24"/>
                <w:szCs w:val="24"/>
                <w:lang w:val="en-US" w:eastAsia="zh-CN"/>
              </w:rPr>
              <w:t>，以</w:t>
            </w:r>
            <w:r>
              <w:rPr>
                <w:rFonts w:hint="eastAsia" w:ascii="Times New Roman" w:hAnsi="Times New Roman" w:eastAsia="宋体" w:cs="Times New Roman"/>
                <w:color w:val="auto"/>
                <w:sz w:val="24"/>
                <w:szCs w:val="24"/>
                <w:lang w:val="en-US" w:eastAsia="zh-CN"/>
              </w:rPr>
              <w:t>及对周边动物生境产生影响。</w:t>
            </w:r>
          </w:p>
          <w:p w14:paraId="238C8F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w:t>
            </w:r>
            <w:r>
              <w:rPr>
                <w:rFonts w:hint="eastAsia" w:ascii="Times New Roman" w:hAnsi="Times New Roman" w:eastAsia="宋体" w:cs="Times New Roman"/>
                <w:color w:val="auto"/>
                <w:sz w:val="24"/>
                <w:szCs w:val="24"/>
                <w:lang w:val="en-US" w:eastAsia="zh-CN"/>
              </w:rPr>
              <w:t>据调查，项目拟建</w:t>
            </w:r>
            <w:r>
              <w:rPr>
                <w:rFonts w:hint="eastAsia" w:cs="Times New Roman"/>
                <w:color w:val="auto"/>
                <w:sz w:val="24"/>
                <w:szCs w:val="24"/>
                <w:lang w:val="en-US" w:eastAsia="zh-CN"/>
              </w:rPr>
              <w:t>场</w:t>
            </w:r>
            <w:r>
              <w:rPr>
                <w:rFonts w:hint="eastAsia" w:ascii="Times New Roman" w:hAnsi="Times New Roman" w:eastAsia="宋体" w:cs="Times New Roman"/>
                <w:color w:val="auto"/>
                <w:sz w:val="24"/>
                <w:szCs w:val="24"/>
                <w:lang w:val="en-US" w:eastAsia="zh-CN"/>
              </w:rPr>
              <w:t>地及周边山地为稀树灌木草丛</w:t>
            </w:r>
            <w:r>
              <w:rPr>
                <w:rFonts w:hint="eastAsia" w:cs="Times New Roman"/>
                <w:color w:val="auto"/>
                <w:sz w:val="24"/>
                <w:szCs w:val="24"/>
                <w:lang w:val="en-US" w:eastAsia="zh-CN"/>
              </w:rPr>
              <w:t>及竹林</w:t>
            </w:r>
            <w:r>
              <w:rPr>
                <w:rFonts w:hint="eastAsia" w:ascii="Times New Roman" w:hAnsi="Times New Roman" w:eastAsia="宋体" w:cs="Times New Roman"/>
                <w:color w:val="auto"/>
                <w:sz w:val="24"/>
                <w:szCs w:val="24"/>
                <w:lang w:val="en-US" w:eastAsia="zh-CN"/>
              </w:rPr>
              <w:t>，项目所在区域未发现国家、云南省规定需要保护的植物分布，无古树名木，生态环境状况一般。因此，爆炸冲击影响除破坏一定的植被外，不会对当地生态结构和功能造成严重破坏影响。</w:t>
            </w:r>
          </w:p>
          <w:p w14:paraId="2A1CF2E5">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（5）运输事故影响分析</w:t>
            </w:r>
          </w:p>
          <w:p w14:paraId="7F1604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民用爆炸物品运进储存库由有资质的单位采用专用运输车运进，由储存库到使用点的运输则由爆破单位采用专用运输车进行运输。拟定入库运输路线为：炸药厂家→高速路或国道→县道→村道→炸药库。出库路线为：</w:t>
            </w:r>
            <w:r>
              <w:rPr>
                <w:rFonts w:hint="eastAsia" w:ascii="Times New Roman" w:hAnsi="Times New Roman" w:eastAsia="宋体" w:cs="Times New Roman"/>
                <w:color w:val="auto"/>
                <w:sz w:val="24"/>
                <w:szCs w:val="24"/>
                <w:lang w:val="en-US" w:eastAsia="zh-CN"/>
              </w:rPr>
              <w:t>炸药库</w:t>
            </w:r>
            <w:r>
              <w:rPr>
                <w:rFonts w:hint="default" w:ascii="Times New Roman" w:hAnsi="Times New Roman" w:eastAsia="宋体" w:cs="Times New Roman"/>
                <w:color w:val="auto"/>
                <w:sz w:val="24"/>
                <w:szCs w:val="24"/>
              </w:rPr>
              <w:t>→村道→县道→玉溪大红山矿业有限公司铁矿。</w:t>
            </w:r>
            <w:r>
              <w:rPr>
                <w:rFonts w:hint="eastAsia" w:ascii="Times New Roman" w:hAnsi="Times New Roman" w:eastAsia="宋体" w:cs="Times New Roman"/>
                <w:color w:val="auto"/>
                <w:sz w:val="24"/>
                <w:szCs w:val="24"/>
                <w:lang w:val="en-US" w:eastAsia="zh-CN"/>
              </w:rPr>
              <w:t>在运输途中有可能因交通事故而产生爆炸品的流失、爆炸、火灾等意外。运输途中发生爆炸产生的后果将由当时道路两旁的情况而定，其中在人口密集区、加油站、繁华路段产生爆炸所造成的后果最为严重。因此爆炸品的出入库运输除应严格按危险品货物进行运输外，在选择运输路线时应当绕过人口密集区、加油站、繁华路段等区域。</w:t>
            </w:r>
          </w:p>
          <w:p w14:paraId="47B0C07E">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7.7环境风险防范措施</w:t>
            </w:r>
          </w:p>
          <w:p w14:paraId="4DFF95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为使环境风险减小到最低限度，必须加强劳动安全卫生管理，制定完备、有效的安全防范措施，尽可能降低该项目环境风险事故发生的概率。</w:t>
            </w:r>
          </w:p>
          <w:p w14:paraId="0834989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（1）运输过程的风险防范措施</w:t>
            </w:r>
          </w:p>
          <w:p w14:paraId="0C06E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工业炸药、雷管运输过程中可能发生翻车、撞车、坠落、碰撞及摩擦等险情，可能导致的后果是引起危险品的燃烧或者爆炸。</w:t>
            </w:r>
          </w:p>
          <w:p w14:paraId="6A91A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严格执行《道路危险货物运输管理规定》及其他相关法律法规和安全操作规程。</w:t>
            </w:r>
          </w:p>
          <w:p w14:paraId="6D54C9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本项目炸药和雷管均采用公路运输方式，运输工作委托有资质运输单位负责，采用专用运输车辆进行运输，并应经常维护以保持车况良好。</w:t>
            </w:r>
          </w:p>
          <w:p w14:paraId="5F4170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3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项目运输线路由公安部门审批通过后方可采用，运输过程中避开敏感保护目标。</w:t>
            </w:r>
          </w:p>
          <w:p w14:paraId="5955C3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4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④</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购买爆破器材的单位，应凭有效的爆破器材供销合同和申请表，向公安机关申领“爆炸物品运输证”。凭证在有效期间内，按指定路线运输。</w:t>
            </w:r>
          </w:p>
          <w:p w14:paraId="7A7A15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5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⑤</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委托运输单位的爆破器材运输车辆应符合国家有关运输安全的技术要求；具有防盗、防火、防热、防雨、防潮和防静电等安全功能，并配有车载消防器材。车用帆布覆盖，并设醒目的警示灯，夜晚运输时打开警示灯。在公路上运输爆破器材时，车辆必须限速行驶，前后车辆应当保持避免引起殉爆的距离。在中途停歇时，要远离建筑设施和人烟稠密的地方，并有专人看管，严禁在爆破器材附近吸烟和用火。</w:t>
            </w:r>
          </w:p>
          <w:p w14:paraId="06A3E9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6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⑥</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运输单位要选择气候较好的时间运输危险品，以防遇险；运输时间应尽量避开交通高峰期；如中途遇暴风雨或雷电时，要将车辆停在远离建筑物的空旷地方。</w:t>
            </w:r>
          </w:p>
          <w:p w14:paraId="3A862D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7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⑦</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在爆破器材运输过程中，一旦发生意外，在采取应急处理的同时，迅速报告公安机关和环保等有关部门，疏散群众，防止事态进一步扩大，并积极协助前来救助的公安交通和消防人员抢救伤者和物资，使损失降低到最小范围。</w:t>
            </w:r>
          </w:p>
          <w:p w14:paraId="7DF07C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（2）储存过程的风险防范措施</w:t>
            </w:r>
          </w:p>
          <w:p w14:paraId="58265E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建立出入库检查、登记制度，收存和发放民用爆炸物品必须进行登记，做到账目清楚，账物相符；</w:t>
            </w:r>
          </w:p>
          <w:p w14:paraId="2EB66F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储存的报批物品数量不得超过储存设计容量，对性质相抵触的民用爆炸物品必须分库储存，严禁在库房内存放其他物品；</w:t>
            </w:r>
          </w:p>
          <w:p w14:paraId="70B16A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3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专用仓库应当指定专人管理、看护，严禁无关人员进入仓库区内，严禁在仓库区内吸烟和用火，严禁把其他容易引起燃烧、爆炸的物品带入仓库区内，严禁在库房内住宿和进行其他活动；</w:t>
            </w:r>
          </w:p>
          <w:p w14:paraId="67510A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4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④</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民用爆炸物品丢失、被盗、被抢，应当立即报告当地公安机关；</w:t>
            </w:r>
          </w:p>
          <w:p w14:paraId="5A553D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5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⑤</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民用爆炸物品在储存时，要坚持：“永续盘点”，做到“五查”，“一及时”。即收货前要查库存，发货后查库存，忙时坚持查库存，月底全面查库存，发现问题及时处理。</w:t>
            </w:r>
          </w:p>
          <w:p w14:paraId="429831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6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⑥</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库房设置禁烟禁火等安全警示标志及安全标志和应急疏散标志。应牢固、醒目耐久并标示编号、允许存放产品名称、安全存量、危险等级等项目。</w:t>
            </w:r>
          </w:p>
          <w:p w14:paraId="6A5AE9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7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⑦</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提高事故应急处理的能力，设置保险措施，定期进行安全环保宣传教育以及紧急事故模拟演习，提高事故应变能力。一旦发生事故，应利用场内梯形排水沟收集消防水，并将该废水接入到事故应急池，经检测水质满足污水处理</w:t>
            </w:r>
            <w:r>
              <w:rPr>
                <w:rFonts w:hint="eastAsia" w:cs="Times New Roman"/>
                <w:color w:val="auto"/>
                <w:sz w:val="24"/>
                <w:szCs w:val="24"/>
                <w:lang w:val="en-US" w:eastAsia="zh-CN"/>
              </w:rPr>
              <w:t>站</w:t>
            </w:r>
            <w:r>
              <w:rPr>
                <w:rFonts w:hint="eastAsia" w:ascii="Times New Roman" w:hAnsi="Times New Roman" w:eastAsia="宋体" w:cs="Times New Roman"/>
                <w:color w:val="auto"/>
                <w:sz w:val="24"/>
                <w:szCs w:val="24"/>
                <w:lang w:val="en-US" w:eastAsia="zh-CN"/>
              </w:rPr>
              <w:t>进水水质标准后，运至污水处理</w:t>
            </w:r>
            <w:r>
              <w:rPr>
                <w:rFonts w:hint="eastAsia" w:cs="Times New Roman"/>
                <w:color w:val="auto"/>
                <w:sz w:val="24"/>
                <w:szCs w:val="24"/>
                <w:lang w:val="en-US" w:eastAsia="zh-CN"/>
              </w:rPr>
              <w:t>站</w:t>
            </w:r>
            <w:r>
              <w:rPr>
                <w:rFonts w:hint="eastAsia" w:ascii="Times New Roman" w:hAnsi="Times New Roman" w:eastAsia="宋体" w:cs="Times New Roman"/>
                <w:color w:val="auto"/>
                <w:sz w:val="24"/>
                <w:szCs w:val="24"/>
                <w:lang w:val="en-US" w:eastAsia="zh-CN"/>
              </w:rPr>
              <w:t>处理，不满足时运至有资质单位处理。</w:t>
            </w:r>
          </w:p>
          <w:p w14:paraId="503A27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（3）管理过程中的事故风险防范措施</w:t>
            </w:r>
          </w:p>
          <w:p w14:paraId="014AD0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依法对使用的危险品进行登记、归档管理，在库区设置明显的危险品标志，建立健全安全运营责任制，把安全运营责任落实到岗位和人头。定期组织安全检查，及时消除事故隐患，强化对危险源的监控。</w:t>
            </w:r>
          </w:p>
          <w:p w14:paraId="0D8B09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加强对从业人员安全宣传、教育和培训，严格实行从业人员资格和持证上岗制度，促使其提高安全防范意识，掌握预防和处置危险事故的技能，杜绝违规操作。</w:t>
            </w:r>
          </w:p>
          <w:p w14:paraId="2E222A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根据项目工程特点，建立相应的兼职应急救援队，购置处置危险事故的相关设备、器材，经常组织应急救助人员熟悉本岗位，使其掌握相关知识和事故处置技能。</w:t>
            </w:r>
          </w:p>
          <w:p w14:paraId="1D561F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（4）环境事故风险防范措施</w:t>
            </w:r>
          </w:p>
          <w:p w14:paraId="6EF19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库区发生火灾、爆炸等事故时，将会产生消防废水。消防废水中含有毒、有害物质（主要成份为硝酸氨），未经处理直接排入水体，会对受纳水体产生较大污染且影响生态安全。为了确保项目风险发生时产生的二次水污染，项目建设、运营时采取以下措施：</w:t>
            </w:r>
          </w:p>
          <w:p w14:paraId="1807A2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①设置事故应急池，一旦发生事故时雨排口关闭，同时事故污水被截流输送至事故应急池中，事故应急池有效容积不应小于</w:t>
            </w:r>
            <w:r>
              <w:rPr>
                <w:rFonts w:hint="eastAsia" w:cs="Times New Roman"/>
                <w:color w:val="auto"/>
                <w:sz w:val="24"/>
                <w:szCs w:val="24"/>
                <w:lang w:val="en-US" w:eastAsia="zh-CN"/>
              </w:rPr>
              <w:t>65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，确保项目最严重事故状态下的消防废水全部收集。同时为了维持事故应急池的有效容积，要求及时处理事故应急池中的消防废水。</w:t>
            </w:r>
          </w:p>
          <w:p w14:paraId="5DEDB2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②雨污分流，雨水收集后经雨水排水沟直接外排，不进入事故应急池。事故应急池做防腐、防渗处理，防止污水渗漏污染地下水。</w:t>
            </w:r>
          </w:p>
          <w:p w14:paraId="5B7869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③事故应急池禁止设排放阀，经检测水质如满足玉溪大红山矿业有限公司污水处理站进水水质标准后，运至玉溪大红山矿业有限公司污水处理站处理，不满足时运至有资质单位处理。</w:t>
            </w:r>
          </w:p>
          <w:p w14:paraId="55108ACA">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7.8事故应急处置措施</w:t>
            </w:r>
          </w:p>
          <w:p w14:paraId="6243EA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在发生突发性环境污染事故时，应急处置的首要工作是控制事故污染源和防止污染物扩散造成对周围人群、动植物的伤害，防止进一步污染环境。</w:t>
            </w:r>
          </w:p>
          <w:p w14:paraId="3F64F0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根据本项目实际情况，设立应急救援小组，全面负责应急救援指挥部门人员的组成、职责和分工，争取社会救援，保证应急救援所需经费以及事故调查报告和处理结果的上报。事故应急处置程序见图4-</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p>
          <w:p w14:paraId="5BEB9961">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4272280" cy="2936240"/>
                  <wp:effectExtent l="0" t="0" r="13970" b="1651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31"/>
                          <a:stretch>
                            <a:fillRect/>
                          </a:stretch>
                        </pic:blipFill>
                        <pic:spPr>
                          <a:xfrm>
                            <a:off x="0" y="0"/>
                            <a:ext cx="4272280" cy="2936240"/>
                          </a:xfrm>
                          <a:prstGeom prst="rect">
                            <a:avLst/>
                          </a:prstGeom>
                          <a:noFill/>
                          <a:ln>
                            <a:noFill/>
                          </a:ln>
                        </pic:spPr>
                      </pic:pic>
                    </a:graphicData>
                  </a:graphic>
                </wp:inline>
              </w:drawing>
            </w:r>
          </w:p>
          <w:p w14:paraId="230BF9F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图4-</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 xml:space="preserve">    事故应急处置程序图</w:t>
            </w:r>
          </w:p>
          <w:p w14:paraId="56E4D0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（1）事故应急处置措施</w:t>
            </w:r>
          </w:p>
          <w:p w14:paraId="2D57AC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火灾、爆炸事故</w:t>
            </w:r>
          </w:p>
          <w:p w14:paraId="3F387A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当发生爆炸事故时，本公司应根据安评和公司安全事故应急预案要求进行积极救援。</w:t>
            </w:r>
          </w:p>
          <w:p w14:paraId="6983F2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环境事故</w:t>
            </w:r>
          </w:p>
          <w:p w14:paraId="2DFEA1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发生突发事件可能造成对大气环境和周围水环境的污染，因此在发生意炸药库爆炸事故后，应及时通知下风向人群，必要时组织人员撤离。此外一旦发生事故，应及时将消防水收集到事故应急池，经检测水质满足污水处理厂进水水质标准后，运至污水处理厂处理，不满足时运至有资质单位处理。</w:t>
            </w:r>
          </w:p>
          <w:p w14:paraId="0090A0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（2）突发环境事件应急预案编制要求</w:t>
            </w:r>
          </w:p>
          <w:p w14:paraId="752CC3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企业事业单位突发环境事件应急预案备案管理办法（试行）》（环发〔2015〕4号）、云南省生态环境厅关于印发《云南省突发环境事件应急预案管理办法》的通知（云环规〔2024〕3号）等国家有关环境应急预案法律法规及地方环境保护部门的要求，向环境排放污染物的企业事业单位，生产、贮存、经营、使用、运输危险物品的企业事业单位，产生、收集、贮存、运输、利用、处置危险废物的企业事业单位，以及其他可能发生突发环境事件的企业事业单位，应当编制环境应急预案。应急预案编制工作应在生产运营企业投产前进行。</w:t>
            </w:r>
          </w:p>
          <w:p w14:paraId="680A6C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bCs/>
                <w:color w:val="auto"/>
                <w:highlight w:val="none"/>
              </w:rPr>
            </w:pPr>
            <w:r>
              <w:rPr>
                <w:rFonts w:hint="eastAsia" w:ascii="Times New Roman" w:hAnsi="Times New Roman" w:eastAsia="宋体" w:cs="Times New Roman"/>
                <w:color w:val="auto"/>
                <w:sz w:val="24"/>
                <w:szCs w:val="24"/>
                <w:lang w:val="en-US" w:eastAsia="zh-CN"/>
              </w:rPr>
              <w:t>应急预案基本内容详见下表。</w:t>
            </w:r>
          </w:p>
          <w:p w14:paraId="1ED9AD66">
            <w:pPr>
              <w:pStyle w:val="11"/>
              <w:spacing w:before="0" w:line="360" w:lineRule="auto"/>
              <w:ind w:firstLine="420" w:firstLineChars="200"/>
              <w:jc w:val="center"/>
              <w:rPr>
                <w:rFonts w:hint="default" w:ascii="Times New Roman" w:hAnsi="Times New Roman" w:eastAsia="黑体" w:cs="Times New Roman"/>
                <w:bCs w:val="0"/>
                <w:snapToGrid/>
                <w:color w:val="auto"/>
                <w:kern w:val="2"/>
                <w:sz w:val="21"/>
                <w:szCs w:val="21"/>
                <w:lang w:val="en-US" w:eastAsia="zh-CN" w:bidi="ar-SA"/>
              </w:rPr>
            </w:pPr>
            <w:r>
              <w:rPr>
                <w:rFonts w:hint="default" w:ascii="Times New Roman" w:hAnsi="Times New Roman" w:eastAsia="黑体" w:cs="Times New Roman"/>
                <w:bCs w:val="0"/>
                <w:snapToGrid/>
                <w:color w:val="auto"/>
                <w:kern w:val="2"/>
                <w:sz w:val="21"/>
                <w:szCs w:val="21"/>
                <w:lang w:val="en-US" w:eastAsia="zh-CN" w:bidi="ar-SA"/>
              </w:rPr>
              <w:t>表4-</w:t>
            </w:r>
            <w:r>
              <w:rPr>
                <w:rFonts w:hint="eastAsia" w:ascii="Times New Roman" w:hAnsi="Times New Roman" w:eastAsia="黑体" w:cs="Times New Roman"/>
                <w:bCs w:val="0"/>
                <w:snapToGrid/>
                <w:color w:val="auto"/>
                <w:kern w:val="2"/>
                <w:sz w:val="21"/>
                <w:szCs w:val="21"/>
                <w:lang w:val="en-US" w:eastAsia="zh-CN" w:bidi="ar-SA"/>
              </w:rPr>
              <w:t>20</w:t>
            </w:r>
            <w:r>
              <w:rPr>
                <w:rFonts w:hint="default" w:ascii="Times New Roman" w:hAnsi="Times New Roman" w:eastAsia="黑体" w:cs="Times New Roman"/>
                <w:bCs w:val="0"/>
                <w:snapToGrid/>
                <w:color w:val="auto"/>
                <w:kern w:val="2"/>
                <w:sz w:val="21"/>
                <w:szCs w:val="21"/>
                <w:lang w:val="en-US" w:eastAsia="zh-CN" w:bidi="ar-SA"/>
              </w:rPr>
              <w:t xml:space="preserve"> </w:t>
            </w:r>
            <w:bookmarkStart w:id="55" w:name="_Toc4858_WPSOffice_Level1"/>
            <w:bookmarkStart w:id="56" w:name="_Toc446_WPSOffice_Level1"/>
            <w:r>
              <w:rPr>
                <w:rFonts w:hint="eastAsia" w:ascii="Times New Roman" w:hAnsi="Times New Roman" w:eastAsia="黑体" w:cs="Times New Roman"/>
                <w:bCs w:val="0"/>
                <w:snapToGrid/>
                <w:color w:val="auto"/>
                <w:kern w:val="2"/>
                <w:sz w:val="21"/>
                <w:szCs w:val="21"/>
                <w:lang w:val="en-US" w:eastAsia="zh-CN" w:bidi="ar-SA"/>
              </w:rPr>
              <w:t xml:space="preserve"> </w:t>
            </w:r>
            <w:r>
              <w:rPr>
                <w:rFonts w:hint="default" w:ascii="Times New Roman" w:hAnsi="Times New Roman" w:eastAsia="黑体" w:cs="Times New Roman"/>
                <w:bCs w:val="0"/>
                <w:snapToGrid/>
                <w:color w:val="auto"/>
                <w:kern w:val="2"/>
                <w:sz w:val="21"/>
                <w:szCs w:val="21"/>
                <w:lang w:val="en-US" w:eastAsia="zh-CN" w:bidi="ar-SA"/>
              </w:rPr>
              <w:t>突发事故应急预案纲要一览表</w:t>
            </w:r>
            <w:bookmarkEnd w:id="55"/>
            <w:bookmarkEnd w:id="56"/>
          </w:p>
          <w:tbl>
            <w:tblPr>
              <w:tblStyle w:val="36"/>
              <w:tblW w:w="823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2055"/>
              <w:gridCol w:w="5513"/>
            </w:tblGrid>
            <w:tr w14:paraId="330DC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4B7FF9C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序号</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72945FD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项目</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462A23AC">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内容及要求</w:t>
                  </w:r>
                </w:p>
              </w:tc>
            </w:tr>
            <w:tr w14:paraId="0FE5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3193F31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086708C5">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危险源概况</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1C132E9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详述危险源类型、数量及其分布</w:t>
                  </w:r>
                </w:p>
              </w:tc>
            </w:tr>
            <w:tr w14:paraId="7CF43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0FE9D35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0849E3F9">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应急计划区</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243012C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炸药仓库、雷管仓库</w:t>
                  </w:r>
                </w:p>
              </w:tc>
            </w:tr>
            <w:tr w14:paraId="04B2F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287FC231">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59C5F72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应急组织</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0CA0656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厂指挥部负责现场全面指挥；专业救援队伍负责事故控制、救援、善后处理；地区指挥部负责工厂附近地区全面指挥、救援、管制疏散；专业救援队伍负责对厂专业救援队伍的支援。</w:t>
                  </w:r>
                </w:p>
              </w:tc>
            </w:tr>
            <w:tr w14:paraId="6F86D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3294B437">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330B571D">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应急状态分类及应急响应程序</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213A6250">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规定事故的级别及相应的应急分类响应程序</w:t>
                  </w:r>
                </w:p>
              </w:tc>
            </w:tr>
            <w:tr w14:paraId="3C9C9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6FDF37A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16A960F3">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应急设施、设备与材料</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5D0B21D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防火灾事故应急设施、设备及材料，主要为消防器材；防有毒有害物质外溢、扩散，主要是防护面罩等</w:t>
                  </w:r>
                </w:p>
              </w:tc>
            </w:tr>
            <w:tr w14:paraId="77E5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22E48B39">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229EC80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应急通讯、通知和交通</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755FB5E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应急状态下的通讯方式、通知方式和交通保障、管制</w:t>
                  </w:r>
                </w:p>
              </w:tc>
            </w:tr>
            <w:tr w14:paraId="1C136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5287E75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0270CF06">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应急环境监测及事故后评估</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697B7E27">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委托专业队伍负责对事故现场进行侦察监测，对事故性质、参数与后果进行评估，为指挥部门提供决策依据</w:t>
                  </w:r>
                </w:p>
              </w:tc>
            </w:tr>
            <w:tr w14:paraId="7E003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236D113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720C1E7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应急防范措施、清除泄漏措施方法和器材</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06F3DA5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事故现场：控制事故、防止扩大、蔓延及连锁反应；清除现场污染物，降低危害，相应的设施器材配备邻近区域：控制和清除污染措施及相应设备配备</w:t>
                  </w:r>
                </w:p>
              </w:tc>
            </w:tr>
            <w:tr w14:paraId="1057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71E75D2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106EEFCB">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应急状态终止与恢复措施</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4E1144E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规定应急状态终止程序；事故现场善后处理，恢复措施；临近区域解除事故警戒及善后恢复措施</w:t>
                  </w:r>
                </w:p>
              </w:tc>
            </w:tr>
            <w:tr w14:paraId="21805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3AC4A73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56F0286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人员培训与演练</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5B8256BF">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应急计划制定后，平时安排人员培训与演练</w:t>
                  </w:r>
                </w:p>
              </w:tc>
            </w:tr>
            <w:tr w14:paraId="2458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62385DDA">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3F04DAC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公众教育和信息</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2A69EF4E">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对工厂邻近地区开展公众教育、培训和发布有关信息</w:t>
                  </w:r>
                </w:p>
              </w:tc>
            </w:tr>
            <w:tr w14:paraId="18D10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576" w:type="dxa"/>
                  <w:tcBorders>
                    <w:top w:val="single" w:color="000000" w:sz="6" w:space="0"/>
                    <w:left w:val="nil"/>
                    <w:bottom w:val="single" w:color="000000" w:sz="6" w:space="0"/>
                    <w:right w:val="single" w:color="000000" w:sz="6" w:space="0"/>
                  </w:tcBorders>
                  <w:shd w:val="clear" w:color="auto" w:fill="auto"/>
                  <w:noWrap/>
                  <w:vAlign w:val="center"/>
                </w:tcPr>
                <w:p w14:paraId="5B58DFF8">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2079" w:type="dxa"/>
                  <w:tcBorders>
                    <w:top w:val="single" w:color="000000" w:sz="6" w:space="0"/>
                    <w:left w:val="single" w:color="000000" w:sz="6" w:space="0"/>
                    <w:bottom w:val="single" w:color="000000" w:sz="6" w:space="0"/>
                    <w:right w:val="single" w:color="000000" w:sz="6" w:space="0"/>
                  </w:tcBorders>
                  <w:shd w:val="clear" w:color="auto" w:fill="auto"/>
                  <w:noWrap/>
                  <w:vAlign w:val="center"/>
                </w:tcPr>
                <w:p w14:paraId="00A4E332">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记录和报告</w:t>
                  </w:r>
                </w:p>
              </w:tc>
              <w:tc>
                <w:tcPr>
                  <w:tcW w:w="5583" w:type="dxa"/>
                  <w:tcBorders>
                    <w:top w:val="single" w:color="000000" w:sz="6" w:space="0"/>
                    <w:left w:val="single" w:color="000000" w:sz="6" w:space="0"/>
                    <w:bottom w:val="single" w:color="000000" w:sz="6" w:space="0"/>
                    <w:right w:val="nil"/>
                  </w:tcBorders>
                  <w:shd w:val="clear" w:color="auto" w:fill="auto"/>
                  <w:noWrap/>
                  <w:vAlign w:val="center"/>
                </w:tcPr>
                <w:p w14:paraId="6738C564">
                  <w:pPr>
                    <w:jc w:val="center"/>
                    <w:textAlignment w:val="baseline"/>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设置应急事故专门记录，建档案和专门报告制度，设专门部门和负责管理</w:t>
                  </w:r>
                </w:p>
              </w:tc>
            </w:tr>
          </w:tbl>
          <w:p w14:paraId="363770DA">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7.9分析结论</w:t>
            </w:r>
          </w:p>
          <w:p w14:paraId="79E0BE0F">
            <w:pPr>
              <w:pStyle w:val="138"/>
              <w:adjustRightInd/>
              <w:snapToGrid/>
              <w:spacing w:line="360" w:lineRule="auto"/>
              <w:ind w:firstLine="480" w:firstLineChars="200"/>
              <w:jc w:val="both"/>
              <w:rPr>
                <w:rFonts w:hint="eastAsia"/>
                <w:b w:val="0"/>
                <w:bCs w:val="0"/>
                <w:color w:val="auto"/>
                <w:highlight w:val="none"/>
              </w:rPr>
            </w:pPr>
            <w:r>
              <w:rPr>
                <w:rFonts w:hint="eastAsia"/>
                <w:b w:val="0"/>
                <w:bCs w:val="0"/>
                <w:color w:val="auto"/>
                <w:highlight w:val="none"/>
              </w:rPr>
              <w:t>项目涉及的主要危险物质为工业炸药和雷管，项目存在的环境风险类型为工业炸药和雷管火灾、爆炸等引发的次生污染物排放。建设方在采取各项有效风险防范措施、建立风险事故应急预案并多次演习的情况下，环境风险属可接受水平。</w:t>
            </w:r>
          </w:p>
          <w:p w14:paraId="75E8C6D5">
            <w:pPr>
              <w:pStyle w:val="138"/>
              <w:adjustRightInd/>
              <w:snapToGrid/>
              <w:spacing w:line="360" w:lineRule="auto"/>
              <w:ind w:firstLine="480" w:firstLineChars="200"/>
              <w:jc w:val="both"/>
              <w:rPr>
                <w:rFonts w:hint="eastAsia"/>
                <w:b w:val="0"/>
                <w:bCs w:val="0"/>
                <w:color w:val="auto"/>
                <w:highlight w:val="none"/>
              </w:rPr>
            </w:pPr>
          </w:p>
          <w:p w14:paraId="4FF3D4AD">
            <w:pPr>
              <w:pStyle w:val="138"/>
              <w:adjustRightInd/>
              <w:snapToGrid/>
              <w:spacing w:line="360" w:lineRule="auto"/>
              <w:ind w:firstLine="480" w:firstLineChars="200"/>
              <w:jc w:val="both"/>
              <w:rPr>
                <w:rFonts w:hint="eastAsia"/>
                <w:b w:val="0"/>
                <w:bCs w:val="0"/>
                <w:color w:val="auto"/>
                <w:highlight w:val="none"/>
              </w:rPr>
            </w:pPr>
          </w:p>
          <w:p w14:paraId="1A92386C">
            <w:pPr>
              <w:spacing w:line="360" w:lineRule="auto"/>
              <w:ind w:firstLine="493"/>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21</w:t>
            </w:r>
            <w:r>
              <w:rPr>
                <w:rFonts w:hint="default" w:ascii="Times New Roman" w:hAnsi="Times New Roman" w:cs="Times New Roman"/>
                <w:b/>
                <w:bCs/>
                <w:color w:val="auto"/>
              </w:rPr>
              <w:t xml:space="preserve">   建设项目环境风险简单分析内容表</w:t>
            </w:r>
          </w:p>
          <w:tbl>
            <w:tblPr>
              <w:tblStyle w:val="3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6689"/>
            </w:tblGrid>
            <w:tr w14:paraId="2E32B9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768B526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建设项目名称</w:t>
                  </w:r>
                </w:p>
              </w:tc>
              <w:tc>
                <w:tcPr>
                  <w:tcW w:w="4110" w:type="pct"/>
                  <w:tcBorders>
                    <w:tl2br w:val="nil"/>
                    <w:tr2bl w:val="nil"/>
                  </w:tcBorders>
                  <w:vAlign w:val="center"/>
                </w:tcPr>
                <w:p w14:paraId="59E480E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玉溪大红山矿业民用爆炸物品储存库建设项目</w:t>
                  </w:r>
                </w:p>
              </w:tc>
            </w:tr>
            <w:tr w14:paraId="5DE62E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6AFE50F8">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4110" w:type="pct"/>
                  <w:tcBorders>
                    <w:tl2br w:val="nil"/>
                    <w:tr2bl w:val="nil"/>
                  </w:tcBorders>
                  <w:vAlign w:val="center"/>
                </w:tcPr>
                <w:p w14:paraId="397523A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云南省玉溪市新平县戛洒镇米尺莫村委会哈母白租村民小组</w:t>
                  </w:r>
                </w:p>
              </w:tc>
            </w:tr>
            <w:tr w14:paraId="748BB9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628F636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地理坐标</w:t>
                  </w:r>
                </w:p>
              </w:tc>
              <w:tc>
                <w:tcPr>
                  <w:tcW w:w="4110" w:type="pct"/>
                  <w:tcBorders>
                    <w:tl2br w:val="nil"/>
                    <w:tr2bl w:val="nil"/>
                  </w:tcBorders>
                  <w:vAlign w:val="center"/>
                </w:tcPr>
                <w:p w14:paraId="31E68BB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东经：102°</w:t>
                  </w:r>
                  <w:r>
                    <w:rPr>
                      <w:rFonts w:hint="eastAsia" w:cs="Times New Roman"/>
                      <w:color w:val="auto"/>
                      <w:sz w:val="18"/>
                      <w:szCs w:val="18"/>
                      <w:lang w:val="en-US" w:eastAsia="zh-CN"/>
                    </w:rPr>
                    <w:t>39</w:t>
                  </w:r>
                  <w:r>
                    <w:rPr>
                      <w:rFonts w:hint="default" w:ascii="Times New Roman" w:hAnsi="Times New Roman" w:cs="Times New Roman"/>
                      <w:color w:val="auto"/>
                      <w:sz w:val="18"/>
                      <w:szCs w:val="18"/>
                    </w:rPr>
                    <w:t>′</w:t>
                  </w:r>
                  <w:r>
                    <w:rPr>
                      <w:rFonts w:hint="eastAsia" w:cs="Times New Roman"/>
                      <w:color w:val="auto"/>
                      <w:sz w:val="18"/>
                      <w:szCs w:val="18"/>
                      <w:lang w:val="en-US" w:eastAsia="zh-CN"/>
                    </w:rPr>
                    <w:t>12.424</w:t>
                  </w:r>
                  <w:r>
                    <w:rPr>
                      <w:rFonts w:hint="default" w:ascii="Times New Roman" w:hAnsi="Times New Roman" w:cs="Times New Roman"/>
                      <w:color w:val="auto"/>
                      <w:sz w:val="18"/>
                      <w:szCs w:val="18"/>
                    </w:rPr>
                    <w:t>″，北纬：24°</w:t>
                  </w:r>
                  <w:r>
                    <w:rPr>
                      <w:rFonts w:hint="eastAsia" w:cs="Times New Roman"/>
                      <w:color w:val="auto"/>
                      <w:sz w:val="18"/>
                      <w:szCs w:val="18"/>
                      <w:lang w:val="en-US" w:eastAsia="zh-CN"/>
                    </w:rPr>
                    <w:t>06</w:t>
                  </w:r>
                  <w:r>
                    <w:rPr>
                      <w:rFonts w:hint="default" w:ascii="Times New Roman" w:hAnsi="Times New Roman" w:cs="Times New Roman"/>
                      <w:color w:val="auto"/>
                      <w:sz w:val="18"/>
                      <w:szCs w:val="18"/>
                    </w:rPr>
                    <w:t>′</w:t>
                  </w:r>
                  <w:r>
                    <w:rPr>
                      <w:rFonts w:hint="eastAsia" w:cs="Times New Roman"/>
                      <w:color w:val="auto"/>
                      <w:sz w:val="18"/>
                      <w:szCs w:val="18"/>
                      <w:lang w:val="en-US" w:eastAsia="zh-CN"/>
                    </w:rPr>
                    <w:t>10.431</w:t>
                  </w:r>
                  <w:r>
                    <w:rPr>
                      <w:rFonts w:hint="default" w:ascii="Times New Roman" w:hAnsi="Times New Roman" w:cs="Times New Roman"/>
                      <w:color w:val="auto"/>
                      <w:sz w:val="18"/>
                      <w:szCs w:val="18"/>
                    </w:rPr>
                    <w:t>″</w:t>
                  </w:r>
                </w:p>
              </w:tc>
            </w:tr>
            <w:tr w14:paraId="7E250A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2F58A6F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主要危险物质及分布</w:t>
                  </w:r>
                </w:p>
              </w:tc>
              <w:tc>
                <w:tcPr>
                  <w:tcW w:w="4110" w:type="pct"/>
                  <w:tcBorders>
                    <w:tl2br w:val="nil"/>
                    <w:tr2bl w:val="nil"/>
                  </w:tcBorders>
                  <w:vAlign w:val="center"/>
                </w:tcPr>
                <w:p w14:paraId="770B0E0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炸药仓库、雷管仓库</w:t>
                  </w:r>
                </w:p>
              </w:tc>
            </w:tr>
            <w:tr w14:paraId="111ADB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6E1F8E1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环境影响途径及危害后果（大气、地表水、地下水等）</w:t>
                  </w:r>
                </w:p>
              </w:tc>
              <w:tc>
                <w:tcPr>
                  <w:tcW w:w="4110" w:type="pct"/>
                  <w:tcBorders>
                    <w:tl2br w:val="nil"/>
                    <w:tr2bl w:val="nil"/>
                  </w:tcBorders>
                  <w:vAlign w:val="center"/>
                </w:tcPr>
                <w:p w14:paraId="4B9AEA4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泄漏，造成土壤、地下水环境污染；火灾爆炸。</w:t>
                  </w:r>
                </w:p>
              </w:tc>
            </w:tr>
            <w:tr w14:paraId="035E5A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4E749C3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风险防范措施要求</w:t>
                  </w:r>
                </w:p>
              </w:tc>
              <w:tc>
                <w:tcPr>
                  <w:tcW w:w="4110" w:type="pct"/>
                  <w:tcBorders>
                    <w:tl2br w:val="nil"/>
                    <w:tr2bl w:val="nil"/>
                  </w:tcBorders>
                  <w:vAlign w:val="center"/>
                </w:tcPr>
                <w:p w14:paraId="0DFBDDC2">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（1）运输过程的风险防范措施</w:t>
                  </w:r>
                </w:p>
                <w:p w14:paraId="266CEF7A">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工业炸药、雷管运输过程中可能发生翻车、撞车、坠落、碰撞及摩擦等险情，可能导致的后果是引起危险品的燃烧或者爆炸。</w:t>
                  </w:r>
                </w:p>
                <w:p w14:paraId="62959994">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①严格执行《道路危险货物运输管理规定》及其他相关法律法规和安全操作规程。</w:t>
                  </w:r>
                </w:p>
                <w:p w14:paraId="33F960A8">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②本项目炸药和雷管均采用公路运输方式，运输工作委托有资质运输单位负责，采用专用运输车辆进行运输，并应经常维护以保持车况良好。</w:t>
                  </w:r>
                </w:p>
                <w:p w14:paraId="1E94DFDE">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③项目运输线路由公安部门审批通过后方可采用，运输过程中避开敏感保护目标。</w:t>
                  </w:r>
                </w:p>
                <w:p w14:paraId="4C35D0F1">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④购买爆破器材的单位，应凭有效的爆破器材供销合同和申请表，向公安机关申领“爆炸物品运输证”。凭证在有效期间内，按指定路线运输。</w:t>
                  </w:r>
                </w:p>
                <w:p w14:paraId="72C17044">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委托运输单位的爆破器材运输车辆应符合国家有关运输安全的技术要求；具有防盗、防火、防热、防雨、防潮和防静电等安全功能，并配有车载消防器材。车用帆布覆盖，并设醒目的警示灯，夜晚运输时打开警示灯。在公路上运输爆破器材时，车辆必须限速行驶，前后车辆应当保持避免引起殉爆的距离。在中途停歇时，要远离建筑设施和人烟稠密的地方，并有专人看管，严禁在爆破器材附近吸烟和用火。</w:t>
                  </w:r>
                </w:p>
                <w:p w14:paraId="089A1C5F">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⑥运输单位要选择气候较好的时间运输危险品，以防遇险；运输时间应尽量避开交通高峰期；如中途遇暴风雨或雷电时，要将车辆停在远离建筑物的空旷地方。</w:t>
                  </w:r>
                </w:p>
                <w:p w14:paraId="247037C6">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在爆破器材运输过程中，一旦发生意外，在采取应急处理的同时，迅速报告公安机关和环保等有关部门，疏散群众，防止事态进一步扩大，并积极协助前来救助的公安交通和消防人员抢救伤者和物资，使损失降低到最小范围。</w:t>
                  </w:r>
                </w:p>
                <w:p w14:paraId="5F8DB51E">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（2）储存过程的风险防范措施</w:t>
                  </w:r>
                </w:p>
                <w:p w14:paraId="4BEF9C9E">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①建立出入库检查、登记制度，收存和发放民用爆炸物品必须进行登记，做到账目清楚，账物相符；</w:t>
                  </w:r>
                </w:p>
                <w:p w14:paraId="0C57753C">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②储存的报批物品数量不得超过储存设计容量，对性质相抵触的民用爆炸物品必须分库储存，严禁在库房内存放其他物品；</w:t>
                  </w:r>
                </w:p>
                <w:p w14:paraId="08EB25E4">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③专用仓库应当指定专人管理、看护，严禁无关人员进入仓库区内，严禁在仓库区内吸烟和用火，严禁把其他容易引起燃烧、爆炸的物品带入仓库区内，严禁在库房内住宿和进行其他活动；</w:t>
                  </w:r>
                </w:p>
                <w:p w14:paraId="5A9FBBAB">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④民用爆炸物品丢失、被盗、被抢，应当立即报告当地公安机关；</w:t>
                  </w:r>
                </w:p>
                <w:p w14:paraId="5C22010C">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⑤民用爆炸物品在储存时，要坚持：“永续盘点”，做到“五查”，“一及时”。即收货前要查库存，发货后查库存，忙时坚持查库存，月底全面查库存，发现问题及时处理。</w:t>
                  </w:r>
                </w:p>
                <w:p w14:paraId="1184B234">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⑥库房设置禁烟禁火等安全警示标志及安全标志和应急疏散标志。应牢固、醒目耐久并标示编号、允许存放产品名称、安全存量、危险等级等项目。</w:t>
                  </w:r>
                </w:p>
                <w:p w14:paraId="6AF9E871">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提高事故应急处理的能力，设置保险措施，定期进行安全环保宣传教育以及紧急事故模拟演习，提高事故应变能力。一旦发生事故，应利用场内梯形排水沟收集消防水，并将该废水接入到事故应急池，经检测水质满足玉溪大红山矿业有限公司污水处理站进水水质标准后，运至玉溪大红山矿业有限公司污水处理站处理，不满足时运至有资质单位处理。</w:t>
                  </w:r>
                </w:p>
                <w:p w14:paraId="40071FAB">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（3）管理过程中的事故风险防范措施</w:t>
                  </w:r>
                </w:p>
                <w:p w14:paraId="1503AD09">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依法对使用的危险品进行登记、归档管理，在库区设置明显的危险品标志，建立健全安全运营责任制，把安全运营责任落实到岗位和人头。定期组织安全检查，及时消除事故隐患，强化对危险源的监控。</w:t>
                  </w:r>
                </w:p>
                <w:p w14:paraId="0C94EE41">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加强对从业人员安全宣传、教育和培训，严格实行从业人员资格和持证上岗制度，促使其提高安全防范意识，掌握预防和处置危险事故的技能，杜绝违规操作。</w:t>
                  </w:r>
                </w:p>
                <w:p w14:paraId="3D63CFC0">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根据项目工程特点，建立相应的兼职应急救援队，购置处置危险事故的相关设备、器材，经常组织应急救助人员熟悉本岗位，使其掌握相关知识和事故处置技能。</w:t>
                  </w:r>
                </w:p>
                <w:p w14:paraId="0A70021D">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（4）环境事故风险防范措施</w:t>
                  </w:r>
                </w:p>
                <w:p w14:paraId="7D3495D1">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库区发生火灾、爆炸等事故时，将会产生消防废水。消防废水中含有毒、有害物质（主要成份为硝酸氨），未经处理直接排入水体，会对受纳水体产生较大污染且影响生态安全。为了确保项目风险发生时产生的二次水污染，项目建设、运营时采取以下措施：</w:t>
                  </w:r>
                </w:p>
                <w:p w14:paraId="16A6401B">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①设置事故应急池，一旦发生事故时雨排口关闭，同时事故污水被截流输送至事故应急池中，事故应急池有效容积不应小于</w:t>
                  </w:r>
                  <w:r>
                    <w:rPr>
                      <w:rFonts w:hint="eastAsia" w:cs="Times New Roman"/>
                      <w:color w:val="auto"/>
                      <w:sz w:val="18"/>
                      <w:szCs w:val="18"/>
                      <w:lang w:val="en-US" w:eastAsia="zh-CN"/>
                    </w:rPr>
                    <w:t>65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，确保项目最严重事故状态下的消防废水全部收集。同时为了维持事故应急池的有效容积，要求及时处理事故应急池中的消防废水。</w:t>
                  </w:r>
                </w:p>
                <w:p w14:paraId="1B6E770D">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②雨污分流，雨水收集后经雨水排水沟直接外排，不进入事故应急池。事故应急池做防腐、防渗处理，防止污水渗漏污染地下水。</w:t>
                  </w:r>
                </w:p>
                <w:p w14:paraId="4841120D">
                  <w:pPr>
                    <w:spacing w:before="24" w:beforeLines="10" w:after="24" w:afterLines="10"/>
                    <w:ind w:firstLine="360" w:firstLineChars="200"/>
                    <w:jc w:val="left"/>
                    <w:rPr>
                      <w:rFonts w:hint="default" w:ascii="Times New Roman" w:hAnsi="Times New Roman" w:cs="Times New Roman"/>
                      <w:color w:val="auto"/>
                    </w:rPr>
                  </w:pPr>
                  <w:r>
                    <w:rPr>
                      <w:rFonts w:hint="default" w:ascii="Times New Roman" w:hAnsi="Times New Roman" w:cs="Times New Roman"/>
                      <w:color w:val="auto"/>
                      <w:sz w:val="18"/>
                      <w:szCs w:val="18"/>
                    </w:rPr>
                    <w:t>③事故应急池禁止设排放阀，经检测水质如满足玉溪大红山矿业有限公司污水处理站进水水质标准后，运至玉溪大红山矿业有限公司污水处理站处理，不满足时运至有资质单位处理。</w:t>
                  </w:r>
                </w:p>
              </w:tc>
            </w:tr>
            <w:tr w14:paraId="56E5DA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55AFDE09">
                  <w:pPr>
                    <w:spacing w:before="24" w:beforeLines="10" w:after="24" w:afterLines="1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根据《建设项目环境风险评价技术导则》</w:t>
                  </w:r>
                  <w:r>
                    <w:rPr>
                      <w:rFonts w:hint="eastAsia" w:cs="Times New Roman"/>
                      <w:color w:val="auto"/>
                      <w:sz w:val="18"/>
                      <w:szCs w:val="18"/>
                      <w:lang w:eastAsia="zh-CN"/>
                    </w:rPr>
                    <w:t>（</w:t>
                  </w:r>
                  <w:r>
                    <w:rPr>
                      <w:rFonts w:hint="default" w:ascii="Times New Roman" w:hAnsi="Times New Roman" w:cs="Times New Roman"/>
                      <w:color w:val="auto"/>
                      <w:sz w:val="18"/>
                      <w:szCs w:val="18"/>
                    </w:rPr>
                    <w:t>HJ169-2018</w:t>
                  </w:r>
                  <w:r>
                    <w:rPr>
                      <w:rFonts w:hint="eastAsia" w:cs="Times New Roman"/>
                      <w:color w:val="auto"/>
                      <w:sz w:val="18"/>
                      <w:szCs w:val="18"/>
                      <w:lang w:eastAsia="zh-CN"/>
                    </w:rPr>
                    <w:t>）</w:t>
                  </w:r>
                  <w:r>
                    <w:rPr>
                      <w:rFonts w:hint="default" w:ascii="Times New Roman" w:hAnsi="Times New Roman" w:cs="Times New Roman"/>
                      <w:color w:val="auto"/>
                      <w:sz w:val="18"/>
                      <w:szCs w:val="18"/>
                    </w:rPr>
                    <w:t>，本项目风险潜势为</w:t>
                  </w: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 1 \* ROMAN </w:instrText>
                  </w:r>
                  <w:r>
                    <w:rPr>
                      <w:rFonts w:hint="default" w:ascii="Times New Roman" w:hAnsi="Times New Roman" w:cs="Times New Roman"/>
                      <w:color w:val="auto"/>
                      <w:sz w:val="18"/>
                      <w:szCs w:val="18"/>
                    </w:rPr>
                    <w:fldChar w:fldCharType="separate"/>
                  </w:r>
                  <w:r>
                    <w:rPr>
                      <w:rFonts w:hint="default" w:ascii="Times New Roman" w:hAnsi="Times New Roman" w:cs="Times New Roman"/>
                      <w:color w:val="auto"/>
                      <w:sz w:val="18"/>
                      <w:szCs w:val="18"/>
                    </w:rPr>
                    <w:t>I</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，仅开展简单分析。</w:t>
                  </w:r>
                </w:p>
              </w:tc>
            </w:tr>
          </w:tbl>
          <w:p w14:paraId="385231D4">
            <w:pPr>
              <w:adjustRightInd w:val="0"/>
              <w:snapToGrid w:val="0"/>
              <w:spacing w:before="120" w:beforeLines="50"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、项目“三同时”竣工验收</w:t>
            </w:r>
          </w:p>
          <w:p w14:paraId="6DE49BA1">
            <w:pPr>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根据《国务院关于修改〈建设项目环境保护管理条例〉的决定》的有关规定要求，项目取得环评批复后，由企业完成自主验收，本报告提出了本项目营运期环保设施竣工验收一览表，具体情况见下表。</w:t>
            </w:r>
          </w:p>
          <w:p w14:paraId="1649BD61">
            <w:pPr>
              <w:spacing w:line="360" w:lineRule="auto"/>
              <w:ind w:firstLine="493"/>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2</w:t>
            </w:r>
            <w:r>
              <w:rPr>
                <w:rFonts w:hint="eastAsia" w:cs="Times New Roman"/>
                <w:b/>
                <w:bCs/>
                <w:color w:val="auto"/>
                <w:lang w:val="en-US" w:eastAsia="zh-CN"/>
              </w:rPr>
              <w:t>2</w:t>
            </w:r>
            <w:r>
              <w:rPr>
                <w:rFonts w:hint="default" w:ascii="Times New Roman" w:hAnsi="Times New Roman" w:eastAsia="宋体"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eastAsia="宋体" w:cs="Times New Roman"/>
                <w:b/>
                <w:bCs/>
                <w:color w:val="auto"/>
              </w:rPr>
              <w:t>建设项目运营期环保设施竣工验收一览表</w:t>
            </w:r>
          </w:p>
          <w:tbl>
            <w:tblPr>
              <w:tblStyle w:val="3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788"/>
              <w:gridCol w:w="1281"/>
              <w:gridCol w:w="2617"/>
              <w:gridCol w:w="2868"/>
            </w:tblGrid>
            <w:tr w14:paraId="1B7048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l2br w:val="nil"/>
                    <w:tr2bl w:val="nil"/>
                  </w:tcBorders>
                  <w:noWrap w:val="0"/>
                  <w:vAlign w:val="center"/>
                </w:tcPr>
                <w:p w14:paraId="3D5E0FFF">
                  <w:pPr>
                    <w:adjustRightInd w:val="0"/>
                    <w:snapToGrid w:val="0"/>
                    <w:spacing w:line="240" w:lineRule="auto"/>
                    <w:jc w:val="center"/>
                    <w:rPr>
                      <w:bCs/>
                      <w:color w:val="auto"/>
                      <w:sz w:val="18"/>
                      <w:szCs w:val="18"/>
                    </w:rPr>
                  </w:pPr>
                  <w:r>
                    <w:rPr>
                      <w:bCs/>
                      <w:color w:val="auto"/>
                      <w:sz w:val="18"/>
                      <w:szCs w:val="18"/>
                    </w:rPr>
                    <w:t>类型</w:t>
                  </w:r>
                </w:p>
              </w:tc>
              <w:tc>
                <w:tcPr>
                  <w:tcW w:w="484" w:type="pct"/>
                  <w:tcBorders>
                    <w:tl2br w:val="nil"/>
                    <w:tr2bl w:val="nil"/>
                  </w:tcBorders>
                  <w:noWrap w:val="0"/>
                  <w:vAlign w:val="center"/>
                </w:tcPr>
                <w:p w14:paraId="48B4AFEF">
                  <w:pPr>
                    <w:adjustRightInd w:val="0"/>
                    <w:snapToGrid w:val="0"/>
                    <w:spacing w:line="240" w:lineRule="auto"/>
                    <w:jc w:val="center"/>
                    <w:rPr>
                      <w:bCs/>
                      <w:color w:val="auto"/>
                      <w:sz w:val="18"/>
                      <w:szCs w:val="18"/>
                    </w:rPr>
                  </w:pPr>
                  <w:r>
                    <w:rPr>
                      <w:bCs/>
                      <w:color w:val="auto"/>
                      <w:sz w:val="18"/>
                      <w:szCs w:val="18"/>
                    </w:rPr>
                    <w:t>排放源</w:t>
                  </w:r>
                </w:p>
              </w:tc>
              <w:tc>
                <w:tcPr>
                  <w:tcW w:w="787" w:type="pct"/>
                  <w:tcBorders>
                    <w:tl2br w:val="nil"/>
                    <w:tr2bl w:val="nil"/>
                  </w:tcBorders>
                  <w:noWrap w:val="0"/>
                  <w:vAlign w:val="center"/>
                </w:tcPr>
                <w:p w14:paraId="4CF108F4">
                  <w:pPr>
                    <w:adjustRightInd w:val="0"/>
                    <w:snapToGrid w:val="0"/>
                    <w:spacing w:line="240" w:lineRule="auto"/>
                    <w:jc w:val="center"/>
                    <w:rPr>
                      <w:bCs/>
                      <w:color w:val="auto"/>
                      <w:sz w:val="18"/>
                      <w:szCs w:val="18"/>
                    </w:rPr>
                  </w:pPr>
                  <w:r>
                    <w:rPr>
                      <w:bCs/>
                      <w:color w:val="auto"/>
                      <w:sz w:val="18"/>
                      <w:szCs w:val="18"/>
                    </w:rPr>
                    <w:t>污染因子</w:t>
                  </w:r>
                </w:p>
              </w:tc>
              <w:tc>
                <w:tcPr>
                  <w:tcW w:w="1608" w:type="pct"/>
                  <w:tcBorders>
                    <w:tl2br w:val="nil"/>
                    <w:tr2bl w:val="nil"/>
                  </w:tcBorders>
                  <w:noWrap w:val="0"/>
                  <w:vAlign w:val="center"/>
                </w:tcPr>
                <w:p w14:paraId="03B43535">
                  <w:pPr>
                    <w:adjustRightInd w:val="0"/>
                    <w:snapToGrid w:val="0"/>
                    <w:spacing w:line="240" w:lineRule="auto"/>
                    <w:jc w:val="center"/>
                    <w:rPr>
                      <w:bCs/>
                      <w:color w:val="auto"/>
                      <w:sz w:val="18"/>
                      <w:szCs w:val="18"/>
                    </w:rPr>
                  </w:pPr>
                  <w:r>
                    <w:rPr>
                      <w:bCs/>
                      <w:color w:val="auto"/>
                      <w:sz w:val="18"/>
                      <w:szCs w:val="18"/>
                    </w:rPr>
                    <w:t>环保措施</w:t>
                  </w:r>
                </w:p>
              </w:tc>
              <w:tc>
                <w:tcPr>
                  <w:tcW w:w="1762" w:type="pct"/>
                  <w:tcBorders>
                    <w:tl2br w:val="nil"/>
                    <w:tr2bl w:val="nil"/>
                  </w:tcBorders>
                  <w:noWrap w:val="0"/>
                  <w:vAlign w:val="center"/>
                </w:tcPr>
                <w:p w14:paraId="274A48B0">
                  <w:pPr>
                    <w:adjustRightInd w:val="0"/>
                    <w:snapToGrid w:val="0"/>
                    <w:spacing w:line="240" w:lineRule="auto"/>
                    <w:jc w:val="center"/>
                    <w:rPr>
                      <w:bCs/>
                      <w:color w:val="auto"/>
                      <w:sz w:val="18"/>
                      <w:szCs w:val="18"/>
                    </w:rPr>
                  </w:pPr>
                  <w:r>
                    <w:rPr>
                      <w:bCs/>
                      <w:color w:val="auto"/>
                      <w:sz w:val="18"/>
                      <w:szCs w:val="18"/>
                    </w:rPr>
                    <w:t>验收标准</w:t>
                  </w:r>
                </w:p>
              </w:tc>
            </w:tr>
            <w:tr w14:paraId="56B2FF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tl2br w:val="nil"/>
                    <w:tr2bl w:val="nil"/>
                  </w:tcBorders>
                  <w:noWrap w:val="0"/>
                  <w:vAlign w:val="center"/>
                </w:tcPr>
                <w:p w14:paraId="773ADE18">
                  <w:pPr>
                    <w:adjustRightInd w:val="0"/>
                    <w:snapToGrid w:val="0"/>
                    <w:spacing w:line="240" w:lineRule="auto"/>
                    <w:jc w:val="center"/>
                    <w:rPr>
                      <w:bCs/>
                      <w:color w:val="auto"/>
                      <w:sz w:val="18"/>
                      <w:szCs w:val="18"/>
                    </w:rPr>
                  </w:pPr>
                  <w:r>
                    <w:rPr>
                      <w:bCs/>
                      <w:color w:val="auto"/>
                      <w:sz w:val="18"/>
                      <w:szCs w:val="18"/>
                    </w:rPr>
                    <w:t>废气</w:t>
                  </w:r>
                </w:p>
              </w:tc>
              <w:tc>
                <w:tcPr>
                  <w:tcW w:w="484" w:type="pct"/>
                  <w:tcBorders>
                    <w:tl2br w:val="nil"/>
                    <w:tr2bl w:val="nil"/>
                  </w:tcBorders>
                  <w:noWrap w:val="0"/>
                  <w:vAlign w:val="center"/>
                </w:tcPr>
                <w:p w14:paraId="7E4119A4">
                  <w:pPr>
                    <w:adjustRightInd w:val="0"/>
                    <w:snapToGrid w:val="0"/>
                    <w:spacing w:line="240" w:lineRule="auto"/>
                    <w:jc w:val="center"/>
                    <w:rPr>
                      <w:rFonts w:hint="eastAsia" w:eastAsia="宋体"/>
                      <w:color w:val="auto"/>
                      <w:sz w:val="18"/>
                      <w:szCs w:val="18"/>
                      <w:lang w:eastAsia="zh-CN"/>
                    </w:rPr>
                  </w:pPr>
                  <w:r>
                    <w:rPr>
                      <w:rFonts w:hint="eastAsia" w:eastAsia="宋体"/>
                      <w:color w:val="auto"/>
                      <w:sz w:val="18"/>
                      <w:szCs w:val="18"/>
                      <w:lang w:eastAsia="zh-CN"/>
                    </w:rPr>
                    <w:t>运输</w:t>
                  </w:r>
                </w:p>
                <w:p w14:paraId="24166B94">
                  <w:pPr>
                    <w:adjustRightInd w:val="0"/>
                    <w:snapToGrid w:val="0"/>
                    <w:spacing w:line="240" w:lineRule="auto"/>
                    <w:jc w:val="center"/>
                    <w:rPr>
                      <w:rFonts w:hint="eastAsia" w:eastAsia="宋体"/>
                      <w:color w:val="auto"/>
                      <w:kern w:val="2"/>
                      <w:sz w:val="18"/>
                      <w:szCs w:val="18"/>
                      <w:lang w:val="en-US" w:eastAsia="zh-CN" w:bidi="ar-SA"/>
                    </w:rPr>
                  </w:pPr>
                  <w:r>
                    <w:rPr>
                      <w:rFonts w:hint="eastAsia" w:eastAsia="宋体"/>
                      <w:color w:val="auto"/>
                      <w:sz w:val="18"/>
                      <w:szCs w:val="18"/>
                      <w:lang w:eastAsia="zh-CN"/>
                    </w:rPr>
                    <w:t>扬尘</w:t>
                  </w:r>
                </w:p>
              </w:tc>
              <w:tc>
                <w:tcPr>
                  <w:tcW w:w="787" w:type="pct"/>
                  <w:tcBorders>
                    <w:tl2br w:val="nil"/>
                    <w:tr2bl w:val="nil"/>
                  </w:tcBorders>
                  <w:noWrap w:val="0"/>
                  <w:vAlign w:val="center"/>
                </w:tcPr>
                <w:p w14:paraId="6FBF0F0E">
                  <w:pPr>
                    <w:adjustRightInd w:val="0"/>
                    <w:snapToGrid w:val="0"/>
                    <w:spacing w:line="240" w:lineRule="auto"/>
                    <w:jc w:val="center"/>
                    <w:rPr>
                      <w:rFonts w:hint="eastAsia" w:eastAsia="宋体"/>
                      <w:color w:val="auto"/>
                      <w:kern w:val="2"/>
                      <w:sz w:val="18"/>
                      <w:szCs w:val="18"/>
                      <w:lang w:val="en-US" w:eastAsia="zh-CN" w:bidi="ar-SA"/>
                    </w:rPr>
                  </w:pPr>
                  <w:r>
                    <w:rPr>
                      <w:rFonts w:hint="eastAsia"/>
                      <w:color w:val="auto"/>
                      <w:sz w:val="18"/>
                      <w:szCs w:val="18"/>
                      <w:lang w:eastAsia="zh-CN"/>
                    </w:rPr>
                    <w:t>颗粒物</w:t>
                  </w:r>
                </w:p>
              </w:tc>
              <w:tc>
                <w:tcPr>
                  <w:tcW w:w="1608" w:type="pct"/>
                  <w:tcBorders>
                    <w:tl2br w:val="nil"/>
                    <w:tr2bl w:val="nil"/>
                  </w:tcBorders>
                  <w:noWrap w:val="0"/>
                  <w:vAlign w:val="center"/>
                </w:tcPr>
                <w:p w14:paraId="72B83D21">
                  <w:pPr>
                    <w:adjustRightInd w:val="0"/>
                    <w:snapToGrid w:val="0"/>
                    <w:spacing w:line="240" w:lineRule="auto"/>
                    <w:jc w:val="center"/>
                    <w:rPr>
                      <w:rFonts w:hint="eastAsia" w:eastAsia="宋体"/>
                      <w:color w:val="auto"/>
                      <w:kern w:val="2"/>
                      <w:sz w:val="18"/>
                      <w:szCs w:val="18"/>
                      <w:lang w:val="en-US" w:eastAsia="zh-CN" w:bidi="ar-SA"/>
                    </w:rPr>
                  </w:pPr>
                  <w:r>
                    <w:rPr>
                      <w:rFonts w:hint="eastAsia"/>
                      <w:color w:val="auto"/>
                      <w:sz w:val="18"/>
                      <w:szCs w:val="18"/>
                    </w:rPr>
                    <w:t>加强对运输车辆管理</w:t>
                  </w:r>
                  <w:r>
                    <w:rPr>
                      <w:rFonts w:hint="eastAsia"/>
                      <w:color w:val="auto"/>
                      <w:sz w:val="18"/>
                      <w:szCs w:val="18"/>
                      <w:lang w:eastAsia="zh-CN"/>
                    </w:rPr>
                    <w:t>，限制车速和载重</w:t>
                  </w:r>
                </w:p>
              </w:tc>
              <w:tc>
                <w:tcPr>
                  <w:tcW w:w="1762" w:type="pct"/>
                  <w:vMerge w:val="restart"/>
                  <w:tcBorders>
                    <w:tl2br w:val="nil"/>
                    <w:tr2bl w:val="nil"/>
                  </w:tcBorders>
                  <w:noWrap w:val="0"/>
                  <w:vAlign w:val="center"/>
                </w:tcPr>
                <w:p w14:paraId="12A62EE8">
                  <w:pPr>
                    <w:pStyle w:val="141"/>
                    <w:overflowPunct/>
                    <w:autoSpaceDE/>
                    <w:autoSpaceDN/>
                    <w:snapToGrid w:val="0"/>
                    <w:spacing w:line="240" w:lineRule="auto"/>
                    <w:rPr>
                      <w:rFonts w:hint="default" w:eastAsia="宋体"/>
                      <w:color w:val="auto"/>
                      <w:sz w:val="18"/>
                      <w:szCs w:val="18"/>
                      <w:lang w:val="en-US"/>
                    </w:rPr>
                  </w:pPr>
                  <w:r>
                    <w:rPr>
                      <w:rFonts w:hint="eastAsia" w:eastAsia="宋体" w:cs="Times New Roman"/>
                      <w:color w:val="auto"/>
                      <w:kern w:val="2"/>
                      <w:sz w:val="18"/>
                      <w:szCs w:val="18"/>
                      <w:lang w:val="en-US" w:eastAsia="zh-CN" w:bidi="ar-SA"/>
                    </w:rPr>
                    <w:t>对周围环境影响较小。</w:t>
                  </w:r>
                </w:p>
              </w:tc>
            </w:tr>
            <w:tr w14:paraId="14C25E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noWrap w:val="0"/>
                  <w:vAlign w:val="center"/>
                </w:tcPr>
                <w:p w14:paraId="746708C8">
                  <w:pPr>
                    <w:adjustRightInd w:val="0"/>
                    <w:snapToGrid w:val="0"/>
                    <w:spacing w:line="240" w:lineRule="auto"/>
                    <w:jc w:val="center"/>
                    <w:rPr>
                      <w:bCs/>
                      <w:color w:val="auto"/>
                      <w:sz w:val="18"/>
                      <w:szCs w:val="18"/>
                    </w:rPr>
                  </w:pPr>
                </w:p>
              </w:tc>
              <w:tc>
                <w:tcPr>
                  <w:tcW w:w="484" w:type="pct"/>
                  <w:tcBorders>
                    <w:tl2br w:val="nil"/>
                    <w:tr2bl w:val="nil"/>
                  </w:tcBorders>
                  <w:noWrap w:val="0"/>
                  <w:vAlign w:val="center"/>
                </w:tcPr>
                <w:p w14:paraId="414E69F3">
                  <w:pPr>
                    <w:adjustRightInd w:val="0"/>
                    <w:snapToGrid w:val="0"/>
                    <w:spacing w:line="240" w:lineRule="auto"/>
                    <w:jc w:val="center"/>
                    <w:rPr>
                      <w:rFonts w:hint="eastAsia"/>
                      <w:color w:val="auto"/>
                      <w:sz w:val="18"/>
                      <w:szCs w:val="18"/>
                      <w:lang w:eastAsia="zh-CN"/>
                    </w:rPr>
                  </w:pPr>
                  <w:r>
                    <w:rPr>
                      <w:rFonts w:hint="eastAsia"/>
                      <w:color w:val="auto"/>
                      <w:sz w:val="18"/>
                      <w:szCs w:val="18"/>
                      <w:lang w:eastAsia="zh-CN"/>
                    </w:rPr>
                    <w:t>汽车</w:t>
                  </w:r>
                </w:p>
                <w:p w14:paraId="15A8D77B">
                  <w:pPr>
                    <w:adjustRightInd w:val="0"/>
                    <w:snapToGrid w:val="0"/>
                    <w:spacing w:line="240" w:lineRule="auto"/>
                    <w:jc w:val="center"/>
                    <w:rPr>
                      <w:rFonts w:hint="eastAsia" w:eastAsia="宋体"/>
                      <w:color w:val="auto"/>
                      <w:kern w:val="2"/>
                      <w:sz w:val="18"/>
                      <w:szCs w:val="18"/>
                      <w:lang w:val="en-US" w:eastAsia="zh-CN" w:bidi="ar-SA"/>
                    </w:rPr>
                  </w:pPr>
                  <w:r>
                    <w:rPr>
                      <w:rFonts w:hint="eastAsia"/>
                      <w:color w:val="auto"/>
                      <w:sz w:val="18"/>
                      <w:szCs w:val="18"/>
                      <w:lang w:eastAsia="zh-CN"/>
                    </w:rPr>
                    <w:t>尾气</w:t>
                  </w:r>
                </w:p>
              </w:tc>
              <w:tc>
                <w:tcPr>
                  <w:tcW w:w="787" w:type="pct"/>
                  <w:tcBorders>
                    <w:tl2br w:val="nil"/>
                    <w:tr2bl w:val="nil"/>
                  </w:tcBorders>
                  <w:noWrap w:val="0"/>
                  <w:vAlign w:val="center"/>
                </w:tcPr>
                <w:p w14:paraId="0FC1FD8E">
                  <w:pPr>
                    <w:adjustRightInd w:val="0"/>
                    <w:snapToGrid w:val="0"/>
                    <w:spacing w:line="240" w:lineRule="auto"/>
                    <w:jc w:val="center"/>
                    <w:rPr>
                      <w:color w:val="auto"/>
                      <w:kern w:val="2"/>
                      <w:sz w:val="18"/>
                      <w:szCs w:val="18"/>
                      <w:lang w:val="en-US" w:eastAsia="zh-CN" w:bidi="ar-SA"/>
                    </w:rPr>
                  </w:pPr>
                  <w:r>
                    <w:rPr>
                      <w:rFonts w:hint="eastAsia"/>
                      <w:color w:val="auto"/>
                      <w:sz w:val="18"/>
                      <w:szCs w:val="18"/>
                      <w:lang w:val="en-US" w:eastAsia="zh-CN"/>
                    </w:rPr>
                    <w:t>CO、NOx、THC</w:t>
                  </w:r>
                </w:p>
              </w:tc>
              <w:tc>
                <w:tcPr>
                  <w:tcW w:w="1608" w:type="pct"/>
                  <w:tcBorders>
                    <w:tl2br w:val="nil"/>
                    <w:tr2bl w:val="nil"/>
                  </w:tcBorders>
                  <w:noWrap w:val="0"/>
                  <w:vAlign w:val="center"/>
                </w:tcPr>
                <w:p w14:paraId="4D0CED57">
                  <w:pPr>
                    <w:adjustRightInd w:val="0"/>
                    <w:snapToGrid w:val="0"/>
                    <w:spacing w:line="240" w:lineRule="auto"/>
                    <w:jc w:val="center"/>
                    <w:rPr>
                      <w:rFonts w:hint="eastAsia" w:eastAsia="宋体"/>
                      <w:color w:val="auto"/>
                      <w:kern w:val="2"/>
                      <w:sz w:val="18"/>
                      <w:szCs w:val="18"/>
                      <w:lang w:val="en-US" w:eastAsia="zh-CN" w:bidi="ar-SA"/>
                    </w:rPr>
                  </w:pPr>
                  <w:r>
                    <w:rPr>
                      <w:rFonts w:hint="eastAsia"/>
                      <w:color w:val="auto"/>
                      <w:sz w:val="18"/>
                      <w:szCs w:val="18"/>
                      <w:lang w:eastAsia="zh-CN"/>
                    </w:rPr>
                    <w:t>使用符合标准的运输车辆和燃料</w:t>
                  </w:r>
                </w:p>
              </w:tc>
              <w:tc>
                <w:tcPr>
                  <w:tcW w:w="1762" w:type="pct"/>
                  <w:vMerge w:val="continue"/>
                  <w:tcBorders>
                    <w:tl2br w:val="nil"/>
                    <w:tr2bl w:val="nil"/>
                  </w:tcBorders>
                  <w:noWrap w:val="0"/>
                  <w:vAlign w:val="center"/>
                </w:tcPr>
                <w:p w14:paraId="096FB319">
                  <w:pPr>
                    <w:pStyle w:val="141"/>
                    <w:overflowPunct/>
                    <w:autoSpaceDE/>
                    <w:autoSpaceDN/>
                    <w:snapToGrid w:val="0"/>
                    <w:spacing w:line="240" w:lineRule="auto"/>
                    <w:rPr>
                      <w:rFonts w:eastAsia="宋体"/>
                      <w:color w:val="auto"/>
                      <w:sz w:val="18"/>
                      <w:szCs w:val="18"/>
                    </w:rPr>
                  </w:pPr>
                </w:p>
              </w:tc>
            </w:tr>
            <w:tr w14:paraId="274802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l2br w:val="nil"/>
                    <w:tr2bl w:val="nil"/>
                  </w:tcBorders>
                  <w:noWrap w:val="0"/>
                  <w:vAlign w:val="center"/>
                </w:tcPr>
                <w:p w14:paraId="4DD7B671">
                  <w:pPr>
                    <w:adjustRightInd w:val="0"/>
                    <w:snapToGrid w:val="0"/>
                    <w:spacing w:line="240" w:lineRule="auto"/>
                    <w:jc w:val="center"/>
                    <w:rPr>
                      <w:bCs/>
                      <w:color w:val="auto"/>
                      <w:sz w:val="18"/>
                      <w:szCs w:val="18"/>
                    </w:rPr>
                  </w:pPr>
                  <w:r>
                    <w:rPr>
                      <w:bCs/>
                      <w:color w:val="auto"/>
                      <w:sz w:val="18"/>
                      <w:szCs w:val="18"/>
                    </w:rPr>
                    <w:t>废水</w:t>
                  </w:r>
                </w:p>
              </w:tc>
              <w:tc>
                <w:tcPr>
                  <w:tcW w:w="484" w:type="pct"/>
                  <w:tcBorders>
                    <w:tl2br w:val="nil"/>
                    <w:tr2bl w:val="nil"/>
                  </w:tcBorders>
                  <w:noWrap w:val="0"/>
                  <w:vAlign w:val="center"/>
                </w:tcPr>
                <w:p w14:paraId="10656798">
                  <w:pPr>
                    <w:adjustRightInd w:val="0"/>
                    <w:snapToGrid w:val="0"/>
                    <w:spacing w:line="240" w:lineRule="auto"/>
                    <w:jc w:val="center"/>
                    <w:rPr>
                      <w:rFonts w:hint="eastAsia"/>
                      <w:color w:val="auto"/>
                      <w:sz w:val="18"/>
                      <w:szCs w:val="18"/>
                      <w:lang w:eastAsia="zh-CN"/>
                    </w:rPr>
                  </w:pPr>
                  <w:r>
                    <w:rPr>
                      <w:rFonts w:hint="eastAsia"/>
                      <w:color w:val="auto"/>
                      <w:sz w:val="18"/>
                      <w:szCs w:val="18"/>
                      <w:lang w:eastAsia="zh-CN"/>
                    </w:rPr>
                    <w:t>生活</w:t>
                  </w:r>
                </w:p>
                <w:p w14:paraId="2EBBC6F2">
                  <w:pPr>
                    <w:adjustRightInd w:val="0"/>
                    <w:snapToGrid w:val="0"/>
                    <w:spacing w:line="240" w:lineRule="auto"/>
                    <w:jc w:val="center"/>
                    <w:rPr>
                      <w:rFonts w:hint="eastAsia"/>
                      <w:color w:val="auto"/>
                      <w:kern w:val="2"/>
                      <w:sz w:val="18"/>
                      <w:szCs w:val="18"/>
                      <w:lang w:val="en-US" w:eastAsia="zh-CN" w:bidi="ar-SA"/>
                    </w:rPr>
                  </w:pPr>
                  <w:r>
                    <w:rPr>
                      <w:rFonts w:hint="eastAsia"/>
                      <w:color w:val="auto"/>
                      <w:sz w:val="18"/>
                      <w:szCs w:val="18"/>
                      <w:lang w:eastAsia="zh-CN"/>
                    </w:rPr>
                    <w:t>污水</w:t>
                  </w:r>
                </w:p>
              </w:tc>
              <w:tc>
                <w:tcPr>
                  <w:tcW w:w="787" w:type="pct"/>
                  <w:tcBorders>
                    <w:tl2br w:val="nil"/>
                    <w:tr2bl w:val="nil"/>
                  </w:tcBorders>
                  <w:noWrap w:val="0"/>
                  <w:vAlign w:val="center"/>
                </w:tcPr>
                <w:p w14:paraId="5B3AD4E8">
                  <w:pPr>
                    <w:adjustRightInd w:val="0"/>
                    <w:snapToGrid w:val="0"/>
                    <w:spacing w:line="240" w:lineRule="auto"/>
                    <w:jc w:val="center"/>
                    <w:rPr>
                      <w:color w:val="auto"/>
                      <w:kern w:val="2"/>
                      <w:sz w:val="18"/>
                      <w:szCs w:val="18"/>
                      <w:lang w:val="en-US" w:eastAsia="zh-CN" w:bidi="ar-SA"/>
                    </w:rPr>
                  </w:pPr>
                  <w:r>
                    <w:rPr>
                      <w:color w:val="auto"/>
                      <w:kern w:val="0"/>
                      <w:sz w:val="18"/>
                      <w:szCs w:val="18"/>
                    </w:rPr>
                    <w:t>pH、BOD</w:t>
                  </w:r>
                  <w:r>
                    <w:rPr>
                      <w:color w:val="auto"/>
                      <w:kern w:val="0"/>
                      <w:sz w:val="18"/>
                      <w:szCs w:val="18"/>
                      <w:vertAlign w:val="subscript"/>
                    </w:rPr>
                    <w:t>5</w:t>
                  </w:r>
                  <w:r>
                    <w:rPr>
                      <w:color w:val="auto"/>
                      <w:kern w:val="0"/>
                      <w:sz w:val="18"/>
                      <w:szCs w:val="18"/>
                    </w:rPr>
                    <w:t>、COD、SS、NH</w:t>
                  </w:r>
                  <w:r>
                    <w:rPr>
                      <w:color w:val="auto"/>
                      <w:kern w:val="0"/>
                      <w:sz w:val="18"/>
                      <w:szCs w:val="18"/>
                      <w:vertAlign w:val="subscript"/>
                    </w:rPr>
                    <w:t>3</w:t>
                  </w:r>
                  <w:r>
                    <w:rPr>
                      <w:color w:val="auto"/>
                      <w:kern w:val="0"/>
                      <w:sz w:val="18"/>
                      <w:szCs w:val="18"/>
                    </w:rPr>
                    <w:t>-N</w:t>
                  </w:r>
                </w:p>
              </w:tc>
              <w:tc>
                <w:tcPr>
                  <w:tcW w:w="1608" w:type="pct"/>
                  <w:tcBorders>
                    <w:tl2br w:val="nil"/>
                    <w:tr2bl w:val="nil"/>
                  </w:tcBorders>
                  <w:noWrap w:val="0"/>
                  <w:vAlign w:val="center"/>
                </w:tcPr>
                <w:p w14:paraId="755A0760">
                  <w:pPr>
                    <w:adjustRightInd w:val="0"/>
                    <w:snapToGrid w:val="0"/>
                    <w:spacing w:line="240" w:lineRule="auto"/>
                    <w:jc w:val="center"/>
                    <w:rPr>
                      <w:rFonts w:hint="eastAsia"/>
                      <w:color w:val="auto"/>
                      <w:kern w:val="2"/>
                      <w:sz w:val="18"/>
                      <w:szCs w:val="18"/>
                      <w:lang w:val="en-US" w:eastAsia="zh-CN" w:bidi="ar-SA"/>
                    </w:rPr>
                  </w:pPr>
                  <w:r>
                    <w:rPr>
                      <w:rFonts w:hint="eastAsia"/>
                      <w:color w:val="auto"/>
                      <w:sz w:val="18"/>
                      <w:szCs w:val="18"/>
                      <w:lang w:eastAsia="zh-CN"/>
                    </w:rPr>
                    <w:t>经化粪池收集后运至玉溪大红山矿业有限公司现有的生活污水处理站处理。</w:t>
                  </w:r>
                </w:p>
              </w:tc>
              <w:tc>
                <w:tcPr>
                  <w:tcW w:w="1762" w:type="pct"/>
                  <w:tcBorders>
                    <w:tl2br w:val="nil"/>
                    <w:tr2bl w:val="nil"/>
                  </w:tcBorders>
                  <w:noWrap w:val="0"/>
                  <w:vAlign w:val="center"/>
                </w:tcPr>
                <w:p w14:paraId="24C0CC3F">
                  <w:pPr>
                    <w:adjustRightInd w:val="0"/>
                    <w:snapToGrid w:val="0"/>
                    <w:spacing w:line="240" w:lineRule="auto"/>
                    <w:jc w:val="center"/>
                    <w:rPr>
                      <w:rFonts w:hint="default"/>
                      <w:bCs/>
                      <w:color w:val="auto"/>
                      <w:sz w:val="18"/>
                      <w:szCs w:val="18"/>
                      <w:lang w:val="en-US"/>
                    </w:rPr>
                  </w:pPr>
                  <w:r>
                    <w:rPr>
                      <w:rFonts w:hint="eastAsia"/>
                      <w:b w:val="0"/>
                      <w:bCs w:val="0"/>
                      <w:color w:val="auto"/>
                      <w:sz w:val="18"/>
                      <w:szCs w:val="18"/>
                      <w:highlight w:val="none"/>
                      <w:lang w:val="en-US" w:eastAsia="zh-CN"/>
                    </w:rPr>
                    <w:t>妥善处置，不直接进入周围地表水体。</w:t>
                  </w:r>
                </w:p>
              </w:tc>
            </w:tr>
            <w:tr w14:paraId="01ECEA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l2br w:val="nil"/>
                    <w:tr2bl w:val="nil"/>
                  </w:tcBorders>
                  <w:noWrap w:val="0"/>
                  <w:vAlign w:val="center"/>
                </w:tcPr>
                <w:p w14:paraId="514E5647">
                  <w:pPr>
                    <w:adjustRightInd w:val="0"/>
                    <w:snapToGrid w:val="0"/>
                    <w:spacing w:line="240" w:lineRule="auto"/>
                    <w:jc w:val="center"/>
                    <w:rPr>
                      <w:bCs/>
                      <w:color w:val="auto"/>
                      <w:sz w:val="18"/>
                      <w:szCs w:val="18"/>
                    </w:rPr>
                  </w:pPr>
                  <w:r>
                    <w:rPr>
                      <w:bCs/>
                      <w:color w:val="auto"/>
                      <w:sz w:val="18"/>
                      <w:szCs w:val="18"/>
                    </w:rPr>
                    <w:t>噪声</w:t>
                  </w:r>
                </w:p>
              </w:tc>
              <w:tc>
                <w:tcPr>
                  <w:tcW w:w="484" w:type="pct"/>
                  <w:tcBorders>
                    <w:tl2br w:val="nil"/>
                    <w:tr2bl w:val="nil"/>
                  </w:tcBorders>
                  <w:noWrap w:val="0"/>
                  <w:vAlign w:val="center"/>
                </w:tcPr>
                <w:p w14:paraId="45BAB673">
                  <w:pPr>
                    <w:adjustRightInd w:val="0"/>
                    <w:snapToGrid w:val="0"/>
                    <w:spacing w:line="240" w:lineRule="auto"/>
                    <w:jc w:val="center"/>
                    <w:rPr>
                      <w:rFonts w:hint="eastAsia"/>
                      <w:color w:val="auto"/>
                      <w:sz w:val="18"/>
                      <w:szCs w:val="18"/>
                      <w:lang w:eastAsia="zh-CN"/>
                    </w:rPr>
                  </w:pPr>
                  <w:r>
                    <w:rPr>
                      <w:rFonts w:hint="eastAsia"/>
                      <w:color w:val="auto"/>
                      <w:sz w:val="18"/>
                      <w:szCs w:val="18"/>
                      <w:lang w:eastAsia="zh-CN"/>
                    </w:rPr>
                    <w:t>运输</w:t>
                  </w:r>
                </w:p>
                <w:p w14:paraId="7745B8AB">
                  <w:pPr>
                    <w:adjustRightInd w:val="0"/>
                    <w:snapToGrid w:val="0"/>
                    <w:spacing w:line="240" w:lineRule="auto"/>
                    <w:jc w:val="center"/>
                    <w:rPr>
                      <w:rFonts w:hint="eastAsia" w:eastAsia="宋体"/>
                      <w:color w:val="auto"/>
                      <w:kern w:val="2"/>
                      <w:sz w:val="18"/>
                      <w:szCs w:val="18"/>
                      <w:lang w:val="en-US" w:eastAsia="zh-CN" w:bidi="ar-SA"/>
                    </w:rPr>
                  </w:pPr>
                  <w:r>
                    <w:rPr>
                      <w:rFonts w:hint="eastAsia"/>
                      <w:color w:val="auto"/>
                      <w:sz w:val="18"/>
                      <w:szCs w:val="18"/>
                      <w:lang w:eastAsia="zh-CN"/>
                    </w:rPr>
                    <w:t>车辆</w:t>
                  </w:r>
                </w:p>
              </w:tc>
              <w:tc>
                <w:tcPr>
                  <w:tcW w:w="787" w:type="pct"/>
                  <w:tcBorders>
                    <w:tl2br w:val="nil"/>
                    <w:tr2bl w:val="nil"/>
                  </w:tcBorders>
                  <w:noWrap w:val="0"/>
                  <w:vAlign w:val="center"/>
                </w:tcPr>
                <w:p w14:paraId="6719D5BA">
                  <w:pPr>
                    <w:adjustRightInd w:val="0"/>
                    <w:snapToGrid w:val="0"/>
                    <w:spacing w:line="240" w:lineRule="auto"/>
                    <w:jc w:val="center"/>
                    <w:rPr>
                      <w:rFonts w:hint="eastAsia" w:eastAsia="宋体"/>
                      <w:color w:val="auto"/>
                      <w:kern w:val="2"/>
                      <w:sz w:val="18"/>
                      <w:szCs w:val="18"/>
                      <w:lang w:val="en-US" w:eastAsia="zh-CN" w:bidi="ar-SA"/>
                    </w:rPr>
                  </w:pPr>
                  <w:r>
                    <w:rPr>
                      <w:rFonts w:hint="eastAsia"/>
                      <w:color w:val="auto"/>
                      <w:sz w:val="18"/>
                      <w:szCs w:val="18"/>
                      <w:lang w:eastAsia="zh-CN"/>
                    </w:rPr>
                    <w:t>交通噪声</w:t>
                  </w:r>
                </w:p>
              </w:tc>
              <w:tc>
                <w:tcPr>
                  <w:tcW w:w="1608" w:type="pct"/>
                  <w:tcBorders>
                    <w:tl2br w:val="nil"/>
                    <w:tr2bl w:val="nil"/>
                  </w:tcBorders>
                  <w:noWrap w:val="0"/>
                  <w:vAlign w:val="center"/>
                </w:tcPr>
                <w:p w14:paraId="4DB37ECE">
                  <w:pPr>
                    <w:adjustRightInd w:val="0"/>
                    <w:snapToGrid w:val="0"/>
                    <w:spacing w:line="240" w:lineRule="auto"/>
                    <w:jc w:val="center"/>
                    <w:rPr>
                      <w:color w:val="auto"/>
                      <w:kern w:val="2"/>
                      <w:sz w:val="18"/>
                      <w:szCs w:val="18"/>
                      <w:lang w:val="en-US" w:eastAsia="zh-CN" w:bidi="ar-SA"/>
                    </w:rPr>
                  </w:pPr>
                  <w:r>
                    <w:rPr>
                      <w:rFonts w:hint="eastAsia"/>
                      <w:b w:val="0"/>
                      <w:bCs w:val="0"/>
                      <w:color w:val="auto"/>
                      <w:sz w:val="18"/>
                      <w:szCs w:val="18"/>
                      <w:highlight w:val="none"/>
                      <w:lang w:eastAsia="zh-CN"/>
                    </w:rPr>
                    <w:t>限制车速、禁止鸣笛</w:t>
                  </w:r>
                </w:p>
              </w:tc>
              <w:tc>
                <w:tcPr>
                  <w:tcW w:w="1762" w:type="pct"/>
                  <w:tcBorders>
                    <w:tl2br w:val="nil"/>
                    <w:tr2bl w:val="nil"/>
                  </w:tcBorders>
                  <w:noWrap w:val="0"/>
                  <w:vAlign w:val="center"/>
                </w:tcPr>
                <w:p w14:paraId="5797390B">
                  <w:pPr>
                    <w:adjustRightInd w:val="0"/>
                    <w:snapToGrid w:val="0"/>
                    <w:spacing w:line="240" w:lineRule="auto"/>
                    <w:jc w:val="center"/>
                    <w:rPr>
                      <w:bCs/>
                      <w:color w:val="auto"/>
                      <w:sz w:val="18"/>
                      <w:szCs w:val="18"/>
                    </w:rPr>
                  </w:pPr>
                  <w:r>
                    <w:rPr>
                      <w:bCs/>
                      <w:color w:val="auto"/>
                      <w:sz w:val="18"/>
                      <w:szCs w:val="18"/>
                    </w:rPr>
                    <w:t>《工业企业厂界环境噪声排放标准》（GB12348-2008）</w:t>
                  </w:r>
                  <w:r>
                    <w:rPr>
                      <w:rFonts w:hint="eastAsia"/>
                      <w:bCs/>
                      <w:color w:val="auto"/>
                      <w:sz w:val="18"/>
                      <w:szCs w:val="18"/>
                      <w:lang w:val="en-US" w:eastAsia="zh-CN"/>
                    </w:rPr>
                    <w:t>2</w:t>
                  </w:r>
                  <w:r>
                    <w:rPr>
                      <w:bCs/>
                      <w:color w:val="auto"/>
                      <w:sz w:val="18"/>
                      <w:szCs w:val="18"/>
                    </w:rPr>
                    <w:t>类标准</w:t>
                  </w:r>
                </w:p>
              </w:tc>
            </w:tr>
            <w:tr w14:paraId="0BBFB4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tl2br w:val="nil"/>
                    <w:tr2bl w:val="nil"/>
                  </w:tcBorders>
                  <w:noWrap w:val="0"/>
                  <w:vAlign w:val="center"/>
                </w:tcPr>
                <w:p w14:paraId="2B8050AE">
                  <w:pPr>
                    <w:adjustRightInd w:val="0"/>
                    <w:snapToGrid w:val="0"/>
                    <w:spacing w:line="240" w:lineRule="auto"/>
                    <w:jc w:val="center"/>
                    <w:rPr>
                      <w:bCs/>
                      <w:color w:val="auto"/>
                      <w:sz w:val="18"/>
                      <w:szCs w:val="18"/>
                    </w:rPr>
                  </w:pPr>
                  <w:r>
                    <w:rPr>
                      <w:bCs/>
                      <w:color w:val="auto"/>
                      <w:sz w:val="18"/>
                      <w:szCs w:val="18"/>
                    </w:rPr>
                    <w:t>固废</w:t>
                  </w:r>
                </w:p>
              </w:tc>
              <w:tc>
                <w:tcPr>
                  <w:tcW w:w="1271" w:type="pct"/>
                  <w:gridSpan w:val="2"/>
                  <w:tcBorders>
                    <w:tl2br w:val="nil"/>
                    <w:tr2bl w:val="nil"/>
                  </w:tcBorders>
                  <w:noWrap w:val="0"/>
                  <w:vAlign w:val="center"/>
                </w:tcPr>
                <w:p w14:paraId="78E8993A">
                  <w:pPr>
                    <w:adjustRightInd w:val="0"/>
                    <w:snapToGrid w:val="0"/>
                    <w:spacing w:line="240" w:lineRule="auto"/>
                    <w:jc w:val="center"/>
                    <w:rPr>
                      <w:bCs/>
                      <w:color w:val="auto"/>
                      <w:spacing w:val="6"/>
                      <w:sz w:val="18"/>
                      <w:szCs w:val="18"/>
                    </w:rPr>
                  </w:pPr>
                  <w:r>
                    <w:rPr>
                      <w:rFonts w:hint="default" w:ascii="Times New Roman" w:hAnsi="Times New Roman" w:cs="Times New Roman"/>
                      <w:color w:val="auto"/>
                      <w:sz w:val="18"/>
                      <w:szCs w:val="18"/>
                    </w:rPr>
                    <w:t>废包装材料</w:t>
                  </w:r>
                </w:p>
              </w:tc>
              <w:tc>
                <w:tcPr>
                  <w:tcW w:w="1608" w:type="pct"/>
                  <w:tcBorders>
                    <w:tl2br w:val="nil"/>
                    <w:tr2bl w:val="nil"/>
                  </w:tcBorders>
                  <w:noWrap w:val="0"/>
                  <w:vAlign w:val="center"/>
                </w:tcPr>
                <w:p w14:paraId="0D6031A9">
                  <w:pPr>
                    <w:pStyle w:val="97"/>
                    <w:jc w:val="center"/>
                    <w:rPr>
                      <w:bCs/>
                      <w:color w:val="auto"/>
                      <w:sz w:val="18"/>
                      <w:szCs w:val="18"/>
                    </w:rPr>
                  </w:pPr>
                  <w:r>
                    <w:rPr>
                      <w:rFonts w:hint="default" w:ascii="Times New Roman" w:hAnsi="Times New Roman" w:eastAsia="宋体" w:cs="Times New Roman"/>
                      <w:color w:val="auto"/>
                      <w:sz w:val="18"/>
                      <w:szCs w:val="18"/>
                      <w:lang w:val="en-US" w:eastAsia="zh-CN"/>
                    </w:rPr>
                    <w:t>可回收的外售给废品收购站，不可回收的由环卫部门处置</w:t>
                  </w:r>
                  <w:r>
                    <w:rPr>
                      <w:rFonts w:hint="eastAsia" w:ascii="Times New Roman" w:hAnsi="Times New Roman" w:eastAsia="宋体" w:cs="Times New Roman"/>
                      <w:color w:val="auto"/>
                      <w:sz w:val="18"/>
                      <w:szCs w:val="18"/>
                      <w:lang w:val="en-US" w:eastAsia="zh-CN"/>
                    </w:rPr>
                    <w:t>。</w:t>
                  </w:r>
                </w:p>
              </w:tc>
              <w:tc>
                <w:tcPr>
                  <w:tcW w:w="1762" w:type="pct"/>
                  <w:tcBorders>
                    <w:tl2br w:val="nil"/>
                    <w:tr2bl w:val="nil"/>
                  </w:tcBorders>
                  <w:noWrap w:val="0"/>
                  <w:vAlign w:val="center"/>
                </w:tcPr>
                <w:p w14:paraId="71F726B2">
                  <w:pPr>
                    <w:adjustRightInd w:val="0"/>
                    <w:snapToGrid w:val="0"/>
                    <w:spacing w:line="240" w:lineRule="auto"/>
                    <w:jc w:val="center"/>
                    <w:rPr>
                      <w:bCs/>
                      <w:color w:val="auto"/>
                      <w:sz w:val="18"/>
                      <w:szCs w:val="18"/>
                    </w:rPr>
                  </w:pPr>
                  <w:r>
                    <w:rPr>
                      <w:rFonts w:ascii="Times New Roman" w:hAnsi="Times New Roman" w:eastAsia="宋体" w:cs="Times New Roman"/>
                      <w:bCs/>
                      <w:color w:val="auto"/>
                      <w:sz w:val="18"/>
                      <w:szCs w:val="18"/>
                    </w:rPr>
                    <w:t>妥善处置</w:t>
                  </w:r>
                  <w:r>
                    <w:rPr>
                      <w:rFonts w:hint="eastAsia" w:ascii="Times New Roman" w:hAnsi="Times New Roman" w:eastAsia="宋体" w:cs="Times New Roman"/>
                      <w:bCs/>
                      <w:color w:val="auto"/>
                      <w:sz w:val="18"/>
                      <w:szCs w:val="18"/>
                      <w:lang w:eastAsia="zh-CN"/>
                    </w:rPr>
                    <w:t>，</w:t>
                  </w:r>
                  <w:r>
                    <w:rPr>
                      <w:rFonts w:hint="eastAsia" w:ascii="Times New Roman" w:hAnsi="Times New Roman" w:eastAsia="宋体" w:cs="Times New Roman"/>
                      <w:bCs/>
                      <w:color w:val="auto"/>
                      <w:sz w:val="18"/>
                      <w:szCs w:val="18"/>
                      <w:lang w:val="en-US" w:eastAsia="zh-CN"/>
                    </w:rPr>
                    <w:t>处置率100%</w:t>
                  </w:r>
                </w:p>
              </w:tc>
            </w:tr>
            <w:tr w14:paraId="77DED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noWrap w:val="0"/>
                  <w:vAlign w:val="center"/>
                </w:tcPr>
                <w:p w14:paraId="31335C0F">
                  <w:pPr>
                    <w:adjustRightInd w:val="0"/>
                    <w:snapToGrid w:val="0"/>
                    <w:spacing w:line="240" w:lineRule="auto"/>
                    <w:jc w:val="center"/>
                    <w:rPr>
                      <w:bCs/>
                      <w:color w:val="auto"/>
                      <w:sz w:val="18"/>
                      <w:szCs w:val="18"/>
                    </w:rPr>
                  </w:pPr>
                </w:p>
              </w:tc>
              <w:tc>
                <w:tcPr>
                  <w:tcW w:w="1271" w:type="pct"/>
                  <w:gridSpan w:val="2"/>
                  <w:tcBorders>
                    <w:tl2br w:val="nil"/>
                    <w:tr2bl w:val="nil"/>
                  </w:tcBorders>
                  <w:noWrap w:val="0"/>
                  <w:vAlign w:val="center"/>
                </w:tcPr>
                <w:p w14:paraId="46FCA01D">
                  <w:pPr>
                    <w:adjustRightInd w:val="0"/>
                    <w:snapToGrid w:val="0"/>
                    <w:spacing w:line="240" w:lineRule="auto"/>
                    <w:jc w:val="center"/>
                    <w:rPr>
                      <w:rFonts w:hint="eastAsia"/>
                      <w:bCs/>
                      <w:color w:val="auto"/>
                      <w:spacing w:val="6"/>
                      <w:sz w:val="18"/>
                      <w:szCs w:val="18"/>
                    </w:rPr>
                  </w:pPr>
                  <w:r>
                    <w:rPr>
                      <w:rFonts w:hint="default" w:ascii="Times New Roman" w:hAnsi="Times New Roman" w:cs="Times New Roman"/>
                      <w:color w:val="auto"/>
                      <w:sz w:val="18"/>
                      <w:szCs w:val="18"/>
                    </w:rPr>
                    <w:t>生活垃圾</w:t>
                  </w:r>
                </w:p>
              </w:tc>
              <w:tc>
                <w:tcPr>
                  <w:tcW w:w="1608" w:type="pct"/>
                  <w:tcBorders>
                    <w:tl2br w:val="nil"/>
                    <w:tr2bl w:val="nil"/>
                  </w:tcBorders>
                  <w:noWrap w:val="0"/>
                  <w:vAlign w:val="center"/>
                </w:tcPr>
                <w:p w14:paraId="738592EF">
                  <w:pPr>
                    <w:pStyle w:val="97"/>
                    <w:jc w:val="center"/>
                    <w:rPr>
                      <w:bCs/>
                      <w:color w:val="auto"/>
                      <w:sz w:val="18"/>
                      <w:szCs w:val="18"/>
                    </w:rPr>
                  </w:pPr>
                  <w:r>
                    <w:rPr>
                      <w:rFonts w:hint="default" w:ascii="Times New Roman" w:hAnsi="Times New Roman" w:eastAsia="宋体" w:cs="Times New Roman"/>
                      <w:color w:val="auto"/>
                      <w:sz w:val="18"/>
                      <w:szCs w:val="18"/>
                    </w:rPr>
                    <w:t>设置可移动式垃圾桶，分类收集后统一运至环卫部门指定地点处理。</w:t>
                  </w:r>
                </w:p>
              </w:tc>
              <w:tc>
                <w:tcPr>
                  <w:tcW w:w="1762" w:type="pct"/>
                  <w:tcBorders>
                    <w:tl2br w:val="nil"/>
                    <w:tr2bl w:val="nil"/>
                  </w:tcBorders>
                  <w:noWrap w:val="0"/>
                  <w:vAlign w:val="center"/>
                </w:tcPr>
                <w:p w14:paraId="79957210">
                  <w:pPr>
                    <w:adjustRightInd w:val="0"/>
                    <w:snapToGrid w:val="0"/>
                    <w:spacing w:line="240" w:lineRule="auto"/>
                    <w:jc w:val="center"/>
                    <w:rPr>
                      <w:bCs/>
                      <w:color w:val="auto"/>
                      <w:sz w:val="18"/>
                      <w:szCs w:val="18"/>
                    </w:rPr>
                  </w:pPr>
                  <w:r>
                    <w:rPr>
                      <w:rFonts w:ascii="Times New Roman" w:hAnsi="Times New Roman" w:eastAsia="宋体" w:cs="Times New Roman"/>
                      <w:bCs/>
                      <w:color w:val="auto"/>
                      <w:sz w:val="18"/>
                      <w:szCs w:val="18"/>
                    </w:rPr>
                    <w:t>妥善处置</w:t>
                  </w:r>
                  <w:r>
                    <w:rPr>
                      <w:rFonts w:hint="eastAsia" w:ascii="Times New Roman" w:hAnsi="Times New Roman" w:eastAsia="宋体" w:cs="Times New Roman"/>
                      <w:bCs/>
                      <w:color w:val="auto"/>
                      <w:sz w:val="18"/>
                      <w:szCs w:val="18"/>
                      <w:lang w:eastAsia="zh-CN"/>
                    </w:rPr>
                    <w:t>，</w:t>
                  </w:r>
                  <w:r>
                    <w:rPr>
                      <w:rFonts w:hint="eastAsia" w:ascii="Times New Roman" w:hAnsi="Times New Roman" w:eastAsia="宋体" w:cs="Times New Roman"/>
                      <w:bCs/>
                      <w:color w:val="auto"/>
                      <w:sz w:val="18"/>
                      <w:szCs w:val="18"/>
                      <w:lang w:val="en-US" w:eastAsia="zh-CN"/>
                    </w:rPr>
                    <w:t>处置率100%</w:t>
                  </w:r>
                </w:p>
              </w:tc>
            </w:tr>
            <w:tr w14:paraId="176B6C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noWrap w:val="0"/>
                  <w:vAlign w:val="center"/>
                </w:tcPr>
                <w:p w14:paraId="37C8F55C">
                  <w:pPr>
                    <w:adjustRightInd w:val="0"/>
                    <w:snapToGrid w:val="0"/>
                    <w:spacing w:line="240" w:lineRule="auto"/>
                    <w:jc w:val="center"/>
                    <w:rPr>
                      <w:bCs/>
                      <w:color w:val="auto"/>
                      <w:sz w:val="18"/>
                      <w:szCs w:val="18"/>
                    </w:rPr>
                  </w:pPr>
                </w:p>
              </w:tc>
              <w:tc>
                <w:tcPr>
                  <w:tcW w:w="1271" w:type="pct"/>
                  <w:gridSpan w:val="2"/>
                  <w:tcBorders>
                    <w:tl2br w:val="nil"/>
                    <w:tr2bl w:val="nil"/>
                  </w:tcBorders>
                  <w:shd w:val="clear" w:color="auto" w:fill="auto"/>
                  <w:noWrap w:val="0"/>
                  <w:vAlign w:val="center"/>
                </w:tcPr>
                <w:p w14:paraId="58AB3D1F">
                  <w:pPr>
                    <w:adjustRightInd w:val="0"/>
                    <w:snapToGrid w:val="0"/>
                    <w:spacing w:line="240" w:lineRule="auto"/>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rPr>
                    <w:t>化粪池污泥</w:t>
                  </w:r>
                </w:p>
              </w:tc>
              <w:tc>
                <w:tcPr>
                  <w:tcW w:w="1608" w:type="pct"/>
                  <w:tcBorders>
                    <w:tl2br w:val="nil"/>
                    <w:tr2bl w:val="nil"/>
                  </w:tcBorders>
                  <w:shd w:val="clear" w:color="auto" w:fill="auto"/>
                  <w:noWrap w:val="0"/>
                  <w:vAlign w:val="center"/>
                </w:tcPr>
                <w:p w14:paraId="1CA3334B">
                  <w:pPr>
                    <w:pStyle w:val="97"/>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rPr>
                    <w:t>定期清掏后委托周边村民清掏后作为农肥使用。</w:t>
                  </w:r>
                </w:p>
              </w:tc>
              <w:tc>
                <w:tcPr>
                  <w:tcW w:w="1762" w:type="pct"/>
                  <w:tcBorders>
                    <w:tl2br w:val="nil"/>
                    <w:tr2bl w:val="nil"/>
                  </w:tcBorders>
                  <w:shd w:val="clear" w:color="auto" w:fill="auto"/>
                  <w:noWrap w:val="0"/>
                  <w:vAlign w:val="center"/>
                </w:tcPr>
                <w:p w14:paraId="1F351CD1">
                  <w:pPr>
                    <w:adjustRightInd w:val="0"/>
                    <w:snapToGrid w:val="0"/>
                    <w:spacing w:line="240" w:lineRule="auto"/>
                    <w:jc w:val="center"/>
                    <w:rPr>
                      <w:rFonts w:hint="default" w:ascii="Times New Roman" w:hAnsi="Times New Roman" w:eastAsia="宋体" w:cs="Times New Roman"/>
                      <w:bCs/>
                      <w:color w:val="auto"/>
                      <w:kern w:val="2"/>
                      <w:sz w:val="18"/>
                      <w:szCs w:val="18"/>
                      <w:lang w:val="en-US" w:eastAsia="zh-CN" w:bidi="ar-SA"/>
                    </w:rPr>
                  </w:pPr>
                  <w:r>
                    <w:rPr>
                      <w:rFonts w:ascii="Times New Roman" w:hAnsi="Times New Roman" w:eastAsia="宋体" w:cs="Times New Roman"/>
                      <w:bCs/>
                      <w:color w:val="auto"/>
                      <w:sz w:val="18"/>
                      <w:szCs w:val="18"/>
                    </w:rPr>
                    <w:t>妥善处置</w:t>
                  </w:r>
                  <w:r>
                    <w:rPr>
                      <w:rFonts w:hint="eastAsia" w:ascii="Times New Roman" w:hAnsi="Times New Roman" w:eastAsia="宋体" w:cs="Times New Roman"/>
                      <w:bCs/>
                      <w:color w:val="auto"/>
                      <w:sz w:val="18"/>
                      <w:szCs w:val="18"/>
                      <w:lang w:eastAsia="zh-CN"/>
                    </w:rPr>
                    <w:t>，</w:t>
                  </w:r>
                  <w:r>
                    <w:rPr>
                      <w:rFonts w:hint="eastAsia" w:ascii="Times New Roman" w:hAnsi="Times New Roman" w:eastAsia="宋体" w:cs="Times New Roman"/>
                      <w:bCs/>
                      <w:color w:val="auto"/>
                      <w:sz w:val="18"/>
                      <w:szCs w:val="18"/>
                      <w:lang w:val="en-US" w:eastAsia="zh-CN"/>
                    </w:rPr>
                    <w:t>处置率100%</w:t>
                  </w:r>
                </w:p>
              </w:tc>
            </w:tr>
            <w:tr w14:paraId="3090DC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noWrap w:val="0"/>
                  <w:vAlign w:val="center"/>
                </w:tcPr>
                <w:p w14:paraId="692EBB38">
                  <w:pPr>
                    <w:adjustRightInd w:val="0"/>
                    <w:snapToGrid w:val="0"/>
                    <w:spacing w:line="240" w:lineRule="auto"/>
                    <w:jc w:val="center"/>
                    <w:rPr>
                      <w:bCs/>
                      <w:color w:val="auto"/>
                      <w:sz w:val="18"/>
                      <w:szCs w:val="18"/>
                    </w:rPr>
                  </w:pPr>
                </w:p>
              </w:tc>
              <w:tc>
                <w:tcPr>
                  <w:tcW w:w="2069" w:type="dxa"/>
                  <w:gridSpan w:val="2"/>
                  <w:tcBorders>
                    <w:tl2br w:val="nil"/>
                    <w:tr2bl w:val="nil"/>
                  </w:tcBorders>
                  <w:noWrap w:val="0"/>
                  <w:vAlign w:val="center"/>
                </w:tcPr>
                <w:p w14:paraId="073A560C">
                  <w:pPr>
                    <w:pStyle w:val="4"/>
                    <w:adjustRightInd/>
                    <w:spacing w:line="276" w:lineRule="auto"/>
                    <w:ind w:firstLine="0" w:firstLineChars="0"/>
                    <w:jc w:val="center"/>
                    <w:rPr>
                      <w:rFonts w:ascii="Times New Roman" w:hAnsi="Times New Roman" w:eastAsia="宋体" w:cs="Times New Roman"/>
                      <w:bCs/>
                      <w:color w:val="auto"/>
                      <w:sz w:val="18"/>
                      <w:szCs w:val="18"/>
                    </w:rPr>
                  </w:pPr>
                  <w:r>
                    <w:rPr>
                      <w:rFonts w:hint="default" w:ascii="Times New Roman" w:hAnsi="Times New Roman" w:cs="Times New Roman"/>
                      <w:color w:val="auto"/>
                      <w:sz w:val="18"/>
                      <w:szCs w:val="18"/>
                    </w:rPr>
                    <w:t>变质、失效及过期的爆破器材</w:t>
                  </w:r>
                </w:p>
              </w:tc>
              <w:tc>
                <w:tcPr>
                  <w:tcW w:w="2617" w:type="dxa"/>
                  <w:tcBorders>
                    <w:tl2br w:val="nil"/>
                    <w:tr2bl w:val="nil"/>
                  </w:tcBorders>
                  <w:noWrap w:val="0"/>
                  <w:vAlign w:val="center"/>
                </w:tcPr>
                <w:p w14:paraId="591BB377">
                  <w:pPr>
                    <w:pStyle w:val="97"/>
                    <w:jc w:val="center"/>
                    <w:rPr>
                      <w:rFonts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经收集后上报公安机关，并在公安机关监督下由专业销毁单位处置，严禁自行处理。</w:t>
                  </w:r>
                </w:p>
              </w:tc>
              <w:tc>
                <w:tcPr>
                  <w:tcW w:w="1762" w:type="pct"/>
                  <w:tcBorders>
                    <w:tl2br w:val="nil"/>
                    <w:tr2bl w:val="nil"/>
                  </w:tcBorders>
                  <w:noWrap w:val="0"/>
                  <w:vAlign w:val="center"/>
                </w:tcPr>
                <w:p w14:paraId="5EF1A0A9">
                  <w:pPr>
                    <w:adjustRightInd w:val="0"/>
                    <w:snapToGrid w:val="0"/>
                    <w:spacing w:line="240" w:lineRule="auto"/>
                    <w:jc w:val="center"/>
                    <w:rPr>
                      <w:rFonts w:hint="default" w:ascii="Times New Roman" w:hAnsi="Times New Roman" w:eastAsia="宋体" w:cs="Times New Roman"/>
                      <w:bCs/>
                      <w:color w:val="auto"/>
                      <w:sz w:val="18"/>
                      <w:szCs w:val="18"/>
                      <w:lang w:val="en-US" w:eastAsia="zh-CN"/>
                    </w:rPr>
                  </w:pPr>
                  <w:r>
                    <w:rPr>
                      <w:rFonts w:ascii="Times New Roman" w:hAnsi="Times New Roman" w:eastAsia="宋体" w:cs="Times New Roman"/>
                      <w:bCs/>
                      <w:color w:val="auto"/>
                      <w:sz w:val="18"/>
                      <w:szCs w:val="18"/>
                    </w:rPr>
                    <w:t>妥善处置</w:t>
                  </w:r>
                  <w:r>
                    <w:rPr>
                      <w:rFonts w:hint="eastAsia" w:ascii="Times New Roman" w:hAnsi="Times New Roman" w:eastAsia="宋体" w:cs="Times New Roman"/>
                      <w:bCs/>
                      <w:color w:val="auto"/>
                      <w:sz w:val="18"/>
                      <w:szCs w:val="18"/>
                      <w:lang w:eastAsia="zh-CN"/>
                    </w:rPr>
                    <w:t>，</w:t>
                  </w:r>
                  <w:r>
                    <w:rPr>
                      <w:rFonts w:hint="eastAsia" w:ascii="Times New Roman" w:hAnsi="Times New Roman" w:eastAsia="宋体" w:cs="Times New Roman"/>
                      <w:bCs/>
                      <w:color w:val="auto"/>
                      <w:sz w:val="18"/>
                      <w:szCs w:val="18"/>
                      <w:lang w:val="en-US" w:eastAsia="zh-CN"/>
                    </w:rPr>
                    <w:t>处置率100%</w:t>
                  </w:r>
                </w:p>
              </w:tc>
            </w:tr>
            <w:tr w14:paraId="6DFC29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pct"/>
                  <w:gridSpan w:val="2"/>
                  <w:tcBorders>
                    <w:tl2br w:val="nil"/>
                    <w:tr2bl w:val="nil"/>
                  </w:tcBorders>
                  <w:noWrap w:val="0"/>
                  <w:vAlign w:val="center"/>
                </w:tcPr>
                <w:p w14:paraId="5335A8EF">
                  <w:pPr>
                    <w:adjustRightInd w:val="0"/>
                    <w:snapToGrid w:val="0"/>
                    <w:spacing w:line="240" w:lineRule="auto"/>
                    <w:jc w:val="center"/>
                    <w:rPr>
                      <w:bCs/>
                      <w:color w:val="auto"/>
                      <w:sz w:val="18"/>
                      <w:szCs w:val="18"/>
                    </w:rPr>
                  </w:pPr>
                  <w:r>
                    <w:rPr>
                      <w:rFonts w:hint="eastAsia"/>
                      <w:bCs/>
                      <w:color w:val="auto"/>
                      <w:sz w:val="18"/>
                      <w:szCs w:val="18"/>
                    </w:rPr>
                    <w:t>地下水、土壤污染防治</w:t>
                  </w:r>
                </w:p>
              </w:tc>
              <w:tc>
                <w:tcPr>
                  <w:tcW w:w="4157" w:type="pct"/>
                  <w:gridSpan w:val="3"/>
                  <w:tcBorders>
                    <w:tl2br w:val="nil"/>
                    <w:tr2bl w:val="nil"/>
                  </w:tcBorders>
                  <w:noWrap w:val="0"/>
                  <w:vAlign w:val="center"/>
                </w:tcPr>
                <w:p w14:paraId="1AA8ABC0">
                  <w:pPr>
                    <w:adjustRightInd w:val="0"/>
                    <w:snapToGrid w:val="0"/>
                    <w:spacing w:line="240" w:lineRule="auto"/>
                    <w:jc w:val="center"/>
                    <w:rPr>
                      <w:rFonts w:ascii="Times New Roman" w:hAnsi="Times New Roman" w:eastAsia="宋体" w:cs="Times New Roman"/>
                      <w:bCs/>
                      <w:color w:val="auto"/>
                      <w:sz w:val="18"/>
                      <w:szCs w:val="18"/>
                    </w:rPr>
                  </w:pPr>
                  <w:r>
                    <w:rPr>
                      <w:color w:val="auto"/>
                      <w:sz w:val="18"/>
                      <w:szCs w:val="18"/>
                      <w:highlight w:val="none"/>
                      <w:u w:val="none"/>
                    </w:rPr>
                    <w:t>分区防渗</w:t>
                  </w:r>
                  <w:r>
                    <w:rPr>
                      <w:rFonts w:hint="eastAsia"/>
                      <w:color w:val="auto"/>
                      <w:sz w:val="18"/>
                      <w:szCs w:val="18"/>
                      <w:highlight w:val="none"/>
                      <w:u w:val="none"/>
                    </w:rPr>
                    <w:t>，将炸药库房地面、雷管库房地面、雨水收集沟、</w:t>
                  </w:r>
                  <w:r>
                    <w:rPr>
                      <w:rFonts w:hint="eastAsia"/>
                      <w:color w:val="auto"/>
                      <w:sz w:val="18"/>
                      <w:szCs w:val="18"/>
                      <w:highlight w:val="none"/>
                      <w:u w:val="none"/>
                      <w:lang w:val="en-US" w:eastAsia="zh-CN"/>
                    </w:rPr>
                    <w:t>消防</w:t>
                  </w:r>
                  <w:r>
                    <w:rPr>
                      <w:rFonts w:hint="eastAsia"/>
                      <w:color w:val="auto"/>
                      <w:sz w:val="18"/>
                      <w:szCs w:val="18"/>
                      <w:highlight w:val="none"/>
                      <w:u w:val="none"/>
                    </w:rPr>
                    <w:t>事故应急池、消防器材室地面作为一般防渗区，防渗技术要求为等效黏土防渗层Mb≥1.5m，K≤1</w:t>
                  </w:r>
                  <w:r>
                    <w:rPr>
                      <w:rFonts w:hint="default" w:ascii="Arial" w:hAnsi="Arial" w:cs="Arial"/>
                      <w:color w:val="auto"/>
                      <w:sz w:val="18"/>
                      <w:szCs w:val="18"/>
                      <w:highlight w:val="none"/>
                      <w:u w:val="none"/>
                    </w:rPr>
                    <w:t>×</w:t>
                  </w:r>
                  <w:r>
                    <w:rPr>
                      <w:rFonts w:hint="eastAsia"/>
                      <w:color w:val="auto"/>
                      <w:sz w:val="18"/>
                      <w:szCs w:val="18"/>
                      <w:highlight w:val="none"/>
                      <w:u w:val="none"/>
                    </w:rPr>
                    <w:t>10</w:t>
                  </w:r>
                  <w:r>
                    <w:rPr>
                      <w:rFonts w:hint="eastAsia"/>
                      <w:color w:val="auto"/>
                      <w:sz w:val="18"/>
                      <w:szCs w:val="18"/>
                      <w:highlight w:val="none"/>
                      <w:u w:val="none"/>
                      <w:vertAlign w:val="superscript"/>
                    </w:rPr>
                    <w:t>-7</w:t>
                  </w:r>
                  <w:r>
                    <w:rPr>
                      <w:rFonts w:hint="eastAsia"/>
                      <w:color w:val="auto"/>
                      <w:sz w:val="18"/>
                      <w:szCs w:val="18"/>
                      <w:highlight w:val="none"/>
                      <w:u w:val="none"/>
                    </w:rPr>
                    <w:t>cm/s，其他为简单防渗区，防渗技术要求为地面硬化。</w:t>
                  </w:r>
                </w:p>
              </w:tc>
            </w:tr>
            <w:tr w14:paraId="7467D4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l2br w:val="nil"/>
                    <w:tr2bl w:val="nil"/>
                  </w:tcBorders>
                  <w:noWrap w:val="0"/>
                  <w:vAlign w:val="center"/>
                </w:tcPr>
                <w:p w14:paraId="45F1B5D5">
                  <w:pPr>
                    <w:adjustRightInd w:val="0"/>
                    <w:snapToGrid w:val="0"/>
                    <w:spacing w:line="240" w:lineRule="auto"/>
                    <w:jc w:val="center"/>
                    <w:rPr>
                      <w:bCs/>
                      <w:color w:val="auto"/>
                      <w:sz w:val="18"/>
                      <w:szCs w:val="18"/>
                    </w:rPr>
                  </w:pPr>
                  <w:r>
                    <w:rPr>
                      <w:bCs/>
                      <w:color w:val="auto"/>
                      <w:sz w:val="18"/>
                      <w:szCs w:val="18"/>
                    </w:rPr>
                    <w:t>环境风险</w:t>
                  </w:r>
                </w:p>
              </w:tc>
              <w:tc>
                <w:tcPr>
                  <w:tcW w:w="484" w:type="pct"/>
                  <w:tcBorders>
                    <w:tl2br w:val="nil"/>
                    <w:tr2bl w:val="nil"/>
                  </w:tcBorders>
                  <w:noWrap w:val="0"/>
                  <w:vAlign w:val="center"/>
                </w:tcPr>
                <w:p w14:paraId="4D71CEA5">
                  <w:pPr>
                    <w:adjustRightInd w:val="0"/>
                    <w:snapToGrid w:val="0"/>
                    <w:spacing w:line="240" w:lineRule="auto"/>
                    <w:jc w:val="center"/>
                    <w:rPr>
                      <w:bCs/>
                      <w:color w:val="auto"/>
                      <w:sz w:val="18"/>
                      <w:szCs w:val="18"/>
                    </w:rPr>
                  </w:pPr>
                  <w:r>
                    <w:rPr>
                      <w:bCs/>
                      <w:color w:val="auto"/>
                      <w:sz w:val="18"/>
                      <w:szCs w:val="18"/>
                    </w:rPr>
                    <w:t>厂区</w:t>
                  </w:r>
                </w:p>
              </w:tc>
              <w:tc>
                <w:tcPr>
                  <w:tcW w:w="2395" w:type="pct"/>
                  <w:gridSpan w:val="2"/>
                  <w:tcBorders>
                    <w:tl2br w:val="nil"/>
                    <w:tr2bl w:val="nil"/>
                  </w:tcBorders>
                  <w:noWrap w:val="0"/>
                  <w:vAlign w:val="center"/>
                </w:tcPr>
                <w:p w14:paraId="06D5E63E">
                  <w:pPr>
                    <w:adjustRightInd w:val="0"/>
                    <w:snapToGrid w:val="0"/>
                    <w:spacing w:line="240" w:lineRule="auto"/>
                    <w:jc w:val="left"/>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1）</w:t>
                  </w:r>
                  <w:r>
                    <w:rPr>
                      <w:rFonts w:hint="eastAsia" w:ascii="Times New Roman" w:hAnsi="Times New Roman" w:eastAsia="宋体" w:cs="Times New Roman"/>
                      <w:color w:val="auto"/>
                      <w:sz w:val="18"/>
                      <w:szCs w:val="18"/>
                    </w:rPr>
                    <w:t>运输过程的风险防范措施</w:t>
                  </w:r>
                  <w:r>
                    <w:rPr>
                      <w:rFonts w:hint="eastAsia" w:ascii="Times New Roman" w:hAnsi="Times New Roman" w:eastAsia="宋体" w:cs="Times New Roman"/>
                      <w:color w:val="auto"/>
                      <w:sz w:val="18"/>
                      <w:szCs w:val="18"/>
                      <w:lang w:eastAsia="zh-CN"/>
                    </w:rPr>
                    <w:t>：严格按照规范凭证运输，采用专用车辆按指定路线运输，随车配置</w:t>
                  </w:r>
                  <w:r>
                    <w:rPr>
                      <w:rFonts w:hint="eastAsia"/>
                      <w:b w:val="0"/>
                      <w:bCs w:val="0"/>
                      <w:color w:val="auto"/>
                      <w:sz w:val="18"/>
                      <w:szCs w:val="18"/>
                      <w:highlight w:val="none"/>
                      <w:u w:val="none"/>
                      <w:lang w:eastAsia="zh-CN"/>
                    </w:rPr>
                    <w:t>防盗、防火、防热、防雨、防潮和防静电等安全功能，并</w:t>
                  </w:r>
                  <w:r>
                    <w:rPr>
                      <w:rFonts w:hint="eastAsia"/>
                      <w:color w:val="auto"/>
                      <w:sz w:val="18"/>
                      <w:szCs w:val="18"/>
                      <w:u w:val="none"/>
                      <w:lang w:val="en-US" w:eastAsia="zh-CN"/>
                    </w:rPr>
                    <w:t>配有车载消防器材和</w:t>
                  </w:r>
                  <w:r>
                    <w:rPr>
                      <w:rFonts w:hint="eastAsia"/>
                      <w:color w:val="auto"/>
                      <w:sz w:val="18"/>
                      <w:szCs w:val="18"/>
                      <w:lang w:val="en-US" w:eastAsia="zh-CN"/>
                    </w:rPr>
                    <w:t>警示灯</w:t>
                  </w:r>
                  <w:r>
                    <w:rPr>
                      <w:rFonts w:hint="eastAsia" w:ascii="Times New Roman" w:hAnsi="Times New Roman" w:eastAsia="宋体" w:cs="Times New Roman"/>
                      <w:color w:val="auto"/>
                      <w:sz w:val="18"/>
                      <w:szCs w:val="18"/>
                      <w:lang w:eastAsia="zh-CN"/>
                    </w:rPr>
                    <w:t>。</w:t>
                  </w:r>
                </w:p>
                <w:p w14:paraId="05398670">
                  <w:pPr>
                    <w:adjustRightInd w:val="0"/>
                    <w:snapToGrid w:val="0"/>
                    <w:spacing w:line="240" w:lineRule="auto"/>
                    <w:jc w:val="left"/>
                    <w:rPr>
                      <w:rFonts w:hint="eastAsia"/>
                      <w:b w:val="0"/>
                      <w:bCs w:val="0"/>
                      <w:color w:val="auto"/>
                      <w:sz w:val="18"/>
                      <w:szCs w:val="18"/>
                      <w:highlight w:val="none"/>
                      <w:u w:val="none"/>
                      <w:lang w:eastAsia="zh-CN"/>
                    </w:rPr>
                  </w:pPr>
                  <w:r>
                    <w:rPr>
                      <w:rFonts w:hint="eastAsia" w:ascii="Times New Roman" w:hAnsi="Times New Roman" w:eastAsia="宋体" w:cs="Times New Roman"/>
                      <w:color w:val="auto"/>
                      <w:sz w:val="18"/>
                      <w:szCs w:val="18"/>
                      <w:lang w:val="en-US" w:eastAsia="zh-CN"/>
                    </w:rPr>
                    <w:t>2）</w:t>
                  </w:r>
                  <w:r>
                    <w:rPr>
                      <w:rFonts w:hint="eastAsia" w:ascii="Times New Roman" w:hAnsi="Times New Roman" w:eastAsia="宋体" w:cs="Times New Roman"/>
                      <w:color w:val="auto"/>
                      <w:sz w:val="18"/>
                      <w:szCs w:val="18"/>
                    </w:rPr>
                    <w:t>储存过程的风险防范措施</w:t>
                  </w:r>
                  <w:r>
                    <w:rPr>
                      <w:rFonts w:hint="eastAsia" w:ascii="Times New Roman" w:hAnsi="Times New Roman" w:eastAsia="宋体" w:cs="Times New Roman"/>
                      <w:color w:val="auto"/>
                      <w:sz w:val="18"/>
                      <w:szCs w:val="18"/>
                      <w:lang w:eastAsia="zh-CN"/>
                    </w:rPr>
                    <w:t>：建立台账；专人负责；</w:t>
                  </w:r>
                  <w:r>
                    <w:rPr>
                      <w:rFonts w:hint="eastAsia"/>
                      <w:b w:val="0"/>
                      <w:bCs w:val="0"/>
                      <w:color w:val="auto"/>
                      <w:sz w:val="18"/>
                      <w:szCs w:val="18"/>
                      <w:highlight w:val="none"/>
                      <w:u w:val="none"/>
                    </w:rPr>
                    <w:t>设置</w:t>
                  </w:r>
                  <w:r>
                    <w:rPr>
                      <w:rFonts w:hint="eastAsia"/>
                      <w:b w:val="0"/>
                      <w:bCs w:val="0"/>
                      <w:color w:val="auto"/>
                      <w:sz w:val="18"/>
                      <w:szCs w:val="18"/>
                      <w:highlight w:val="none"/>
                      <w:u w:val="none"/>
                      <w:lang w:eastAsia="zh-CN"/>
                    </w:rPr>
                    <w:t>标志。</w:t>
                  </w:r>
                </w:p>
                <w:p w14:paraId="412850A3">
                  <w:pPr>
                    <w:adjustRightInd w:val="0"/>
                    <w:snapToGrid w:val="0"/>
                    <w:spacing w:line="240" w:lineRule="auto"/>
                    <w:jc w:val="left"/>
                    <w:rPr>
                      <w:rFonts w:hint="eastAsia"/>
                      <w:b w:val="0"/>
                      <w:bCs w:val="0"/>
                      <w:color w:val="auto"/>
                      <w:sz w:val="18"/>
                      <w:szCs w:val="18"/>
                      <w:highlight w:val="none"/>
                      <w:u w:val="none"/>
                      <w:lang w:eastAsia="zh-CN"/>
                    </w:rPr>
                  </w:pPr>
                  <w:r>
                    <w:rPr>
                      <w:rFonts w:hint="eastAsia"/>
                      <w:b w:val="0"/>
                      <w:bCs w:val="0"/>
                      <w:color w:val="auto"/>
                      <w:sz w:val="18"/>
                      <w:szCs w:val="18"/>
                      <w:highlight w:val="none"/>
                      <w:u w:val="none"/>
                      <w:lang w:val="en-US" w:eastAsia="zh-CN"/>
                    </w:rPr>
                    <w:t>3）</w:t>
                  </w:r>
                  <w:r>
                    <w:rPr>
                      <w:rFonts w:hint="eastAsia"/>
                      <w:b w:val="0"/>
                      <w:bCs w:val="0"/>
                      <w:color w:val="auto"/>
                      <w:sz w:val="18"/>
                      <w:szCs w:val="18"/>
                      <w:highlight w:val="none"/>
                      <w:u w:val="none"/>
                    </w:rPr>
                    <w:t>管理过程中的事故风险防范措施</w:t>
                  </w:r>
                  <w:r>
                    <w:rPr>
                      <w:rFonts w:hint="eastAsia"/>
                      <w:b w:val="0"/>
                      <w:bCs w:val="0"/>
                      <w:color w:val="auto"/>
                      <w:sz w:val="18"/>
                      <w:szCs w:val="18"/>
                      <w:highlight w:val="none"/>
                      <w:u w:val="none"/>
                      <w:lang w:eastAsia="zh-CN"/>
                    </w:rPr>
                    <w:t>：加强人员教育和培训，</w:t>
                  </w:r>
                  <w:r>
                    <w:rPr>
                      <w:rFonts w:hint="eastAsia"/>
                      <w:b w:val="0"/>
                      <w:bCs w:val="0"/>
                      <w:color w:val="auto"/>
                      <w:sz w:val="18"/>
                      <w:szCs w:val="18"/>
                      <w:highlight w:val="none"/>
                      <w:u w:val="none"/>
                    </w:rPr>
                    <w:t>建立健全安全运营责任制</w:t>
                  </w:r>
                  <w:r>
                    <w:rPr>
                      <w:rFonts w:hint="eastAsia"/>
                      <w:b w:val="0"/>
                      <w:bCs w:val="0"/>
                      <w:color w:val="auto"/>
                      <w:sz w:val="18"/>
                      <w:szCs w:val="18"/>
                      <w:highlight w:val="none"/>
                      <w:u w:val="none"/>
                      <w:lang w:eastAsia="zh-CN"/>
                    </w:rPr>
                    <w:t>。</w:t>
                  </w:r>
                </w:p>
                <w:p w14:paraId="37C90B57">
                  <w:pPr>
                    <w:adjustRightInd w:val="0"/>
                    <w:snapToGrid w:val="0"/>
                    <w:spacing w:line="240" w:lineRule="auto"/>
                    <w:jc w:val="left"/>
                    <w:rPr>
                      <w:rFonts w:hint="eastAsia"/>
                      <w:b w:val="0"/>
                      <w:bCs w:val="0"/>
                      <w:color w:val="auto"/>
                      <w:sz w:val="18"/>
                      <w:szCs w:val="18"/>
                      <w:highlight w:val="none"/>
                      <w:u w:val="none"/>
                      <w:lang w:eastAsia="zh-CN"/>
                    </w:rPr>
                  </w:pPr>
                  <w:r>
                    <w:rPr>
                      <w:rFonts w:hint="eastAsia"/>
                      <w:b w:val="0"/>
                      <w:bCs w:val="0"/>
                      <w:color w:val="auto"/>
                      <w:sz w:val="18"/>
                      <w:szCs w:val="18"/>
                      <w:highlight w:val="none"/>
                      <w:u w:val="none"/>
                      <w:lang w:val="en-US" w:eastAsia="zh-CN"/>
                    </w:rPr>
                    <w:t>4）</w:t>
                  </w:r>
                  <w:r>
                    <w:rPr>
                      <w:rFonts w:hint="eastAsia"/>
                      <w:b w:val="0"/>
                      <w:bCs w:val="0"/>
                      <w:color w:val="auto"/>
                      <w:sz w:val="18"/>
                      <w:szCs w:val="18"/>
                      <w:highlight w:val="none"/>
                      <w:u w:val="none"/>
                    </w:rPr>
                    <w:t>环境事故风险防范措施</w:t>
                  </w:r>
                  <w:r>
                    <w:rPr>
                      <w:rFonts w:hint="eastAsia"/>
                      <w:b w:val="0"/>
                      <w:bCs w:val="0"/>
                      <w:color w:val="auto"/>
                      <w:sz w:val="18"/>
                      <w:szCs w:val="18"/>
                      <w:highlight w:val="none"/>
                      <w:u w:val="none"/>
                      <w:lang w:eastAsia="zh-CN"/>
                    </w:rPr>
                    <w:t>：设置废水收集沟和事故应急池。</w:t>
                  </w:r>
                </w:p>
                <w:p w14:paraId="74746B8C">
                  <w:pPr>
                    <w:adjustRightInd w:val="0"/>
                    <w:snapToGrid w:val="0"/>
                    <w:spacing w:line="240" w:lineRule="auto"/>
                    <w:jc w:val="left"/>
                    <w:rPr>
                      <w:rFonts w:hint="eastAsia"/>
                      <w:bCs/>
                      <w:color w:val="auto"/>
                      <w:sz w:val="18"/>
                      <w:szCs w:val="18"/>
                    </w:rPr>
                  </w:pPr>
                  <w:r>
                    <w:rPr>
                      <w:rFonts w:hint="eastAsia"/>
                      <w:b w:val="0"/>
                      <w:bCs w:val="0"/>
                      <w:color w:val="auto"/>
                      <w:sz w:val="18"/>
                      <w:szCs w:val="18"/>
                      <w:highlight w:val="none"/>
                      <w:u w:val="none"/>
                      <w:lang w:val="en-US" w:eastAsia="zh-CN"/>
                    </w:rPr>
                    <w:t>5）编制突发环境事件应急预案。</w:t>
                  </w:r>
                </w:p>
              </w:tc>
              <w:tc>
                <w:tcPr>
                  <w:tcW w:w="1762" w:type="pct"/>
                  <w:tcBorders>
                    <w:tl2br w:val="nil"/>
                    <w:tr2bl w:val="nil"/>
                  </w:tcBorders>
                  <w:noWrap w:val="0"/>
                  <w:vAlign w:val="center"/>
                </w:tcPr>
                <w:p w14:paraId="22DC845B">
                  <w:pPr>
                    <w:adjustRightInd w:val="0"/>
                    <w:snapToGrid w:val="0"/>
                    <w:spacing w:line="240" w:lineRule="auto"/>
                    <w:jc w:val="center"/>
                    <w:rPr>
                      <w:rFonts w:hint="eastAsia" w:eastAsia="宋体"/>
                      <w:bCs/>
                      <w:color w:val="auto"/>
                      <w:sz w:val="18"/>
                      <w:szCs w:val="18"/>
                      <w:lang w:eastAsia="zh-CN"/>
                    </w:rPr>
                  </w:pPr>
                  <w:r>
                    <w:rPr>
                      <w:rFonts w:hint="eastAsia"/>
                      <w:bCs/>
                      <w:color w:val="auto"/>
                      <w:sz w:val="18"/>
                      <w:szCs w:val="18"/>
                      <w:lang w:eastAsia="zh-CN"/>
                    </w:rPr>
                    <w:t>环境风险水平可接受</w:t>
                  </w:r>
                </w:p>
              </w:tc>
            </w:tr>
          </w:tbl>
          <w:p w14:paraId="49087D7D">
            <w:pPr>
              <w:autoSpaceDE w:val="0"/>
              <w:adjustRightInd w:val="0"/>
              <w:snapToGrid w:val="0"/>
              <w:spacing w:line="360" w:lineRule="auto"/>
              <w:rPr>
                <w:rFonts w:hint="default" w:ascii="Times New Roman" w:hAnsi="Times New Roman" w:cs="Times New Roman"/>
                <w:color w:val="auto"/>
                <w:sz w:val="24"/>
              </w:rPr>
            </w:pPr>
          </w:p>
          <w:p w14:paraId="0B17692C">
            <w:pPr>
              <w:pStyle w:val="18"/>
              <w:rPr>
                <w:rFonts w:hint="default" w:ascii="Times New Roman" w:hAnsi="Times New Roman" w:cs="Times New Roman"/>
                <w:color w:val="auto"/>
                <w:sz w:val="24"/>
                <w:szCs w:val="24"/>
              </w:rPr>
            </w:pPr>
          </w:p>
          <w:p w14:paraId="7C489698">
            <w:pPr>
              <w:pStyle w:val="18"/>
              <w:rPr>
                <w:rFonts w:hint="default" w:ascii="Times New Roman" w:hAnsi="Times New Roman" w:cs="Times New Roman"/>
                <w:color w:val="auto"/>
              </w:rPr>
            </w:pPr>
          </w:p>
          <w:p w14:paraId="07C64DF7">
            <w:pPr>
              <w:rPr>
                <w:rFonts w:hint="default" w:ascii="Times New Roman" w:hAnsi="Times New Roman" w:cs="Times New Roman"/>
                <w:color w:val="auto"/>
              </w:rPr>
            </w:pPr>
          </w:p>
        </w:tc>
      </w:tr>
    </w:tbl>
    <w:p w14:paraId="3114C637">
      <w:pPr>
        <w:adjustRightInd w:val="0"/>
        <w:snapToGrid w:val="0"/>
        <w:spacing w:line="360" w:lineRule="auto"/>
        <w:rPr>
          <w:rFonts w:hint="default" w:ascii="Times New Roman" w:hAnsi="Times New Roman" w:cs="Times New Roman"/>
          <w:b/>
          <w:color w:val="auto"/>
          <w:kern w:val="0"/>
          <w:sz w:val="28"/>
          <w:szCs w:val="28"/>
        </w:rPr>
        <w:sectPr>
          <w:pgSz w:w="11907" w:h="16840"/>
          <w:pgMar w:top="1440" w:right="1803" w:bottom="1440" w:left="1803" w:header="850" w:footer="851" w:gutter="0"/>
          <w:pgBorders>
            <w:top w:val="none" w:sz="0" w:space="0"/>
            <w:left w:val="none" w:sz="0" w:space="0"/>
            <w:bottom w:val="none" w:sz="0" w:space="0"/>
            <w:right w:val="none" w:sz="0" w:space="0"/>
          </w:pgBorders>
          <w:cols w:space="720" w:num="1"/>
          <w:docGrid w:linePitch="312" w:charSpace="0"/>
        </w:sectPr>
      </w:pPr>
    </w:p>
    <w:p w14:paraId="118F17B8">
      <w:pPr>
        <w:pStyle w:val="32"/>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57" w:name="_Toc68870553"/>
      <w:bookmarkStart w:id="58" w:name="_Toc30765"/>
      <w:bookmarkStart w:id="59" w:name="_Toc70692552"/>
      <w:r>
        <w:rPr>
          <w:rFonts w:hint="default" w:ascii="Times New Roman" w:hAnsi="Times New Roman" w:eastAsia="黑体" w:cs="Times New Roman"/>
          <w:color w:val="auto"/>
          <w:sz w:val="28"/>
          <w:szCs w:val="28"/>
        </w:rPr>
        <w:t>五、</w:t>
      </w:r>
      <w:bookmarkStart w:id="60" w:name="_Hlk54167917"/>
      <w:r>
        <w:rPr>
          <w:rFonts w:hint="default" w:ascii="Times New Roman" w:hAnsi="Times New Roman" w:eastAsia="黑体" w:cs="Times New Roman"/>
          <w:color w:val="auto"/>
          <w:sz w:val="28"/>
          <w:szCs w:val="28"/>
        </w:rPr>
        <w:t>环境保护措施监督检查清单</w:t>
      </w:r>
      <w:bookmarkEnd w:id="57"/>
      <w:bookmarkEnd w:id="58"/>
      <w:bookmarkEnd w:id="59"/>
      <w:bookmarkEnd w:id="60"/>
    </w:p>
    <w:tbl>
      <w:tblPr>
        <w:tblStyle w:val="36"/>
        <w:tblW w:w="88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465"/>
        <w:gridCol w:w="1298"/>
        <w:gridCol w:w="2270"/>
        <w:gridCol w:w="2787"/>
      </w:tblGrid>
      <w:tr w14:paraId="45B4B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tcBorders>
              <w:tl2br w:val="single" w:color="auto" w:sz="4" w:space="0"/>
            </w:tcBorders>
          </w:tcPr>
          <w:p w14:paraId="398DA824">
            <w:pPr>
              <w:adjustRightInd w:val="0"/>
              <w:snapToGrid w:val="0"/>
              <w:spacing w:line="320" w:lineRule="exact"/>
              <w:ind w:firstLine="180" w:firstLineChars="1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w:t>
            </w:r>
          </w:p>
          <w:p w14:paraId="0A782CB2">
            <w:pPr>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要素</w:t>
            </w:r>
          </w:p>
        </w:tc>
        <w:tc>
          <w:tcPr>
            <w:tcW w:w="1465" w:type="dxa"/>
            <w:vAlign w:val="center"/>
          </w:tcPr>
          <w:p w14:paraId="3F57644F">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排放口（编号、名称）/污染源</w:t>
            </w:r>
          </w:p>
        </w:tc>
        <w:tc>
          <w:tcPr>
            <w:tcW w:w="1298" w:type="dxa"/>
            <w:vAlign w:val="center"/>
          </w:tcPr>
          <w:p w14:paraId="16AFF4A8">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污染物项目</w:t>
            </w:r>
          </w:p>
        </w:tc>
        <w:tc>
          <w:tcPr>
            <w:tcW w:w="2270" w:type="dxa"/>
            <w:vAlign w:val="center"/>
          </w:tcPr>
          <w:p w14:paraId="77498F38">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环境保护措施</w:t>
            </w:r>
          </w:p>
        </w:tc>
        <w:tc>
          <w:tcPr>
            <w:tcW w:w="2787" w:type="dxa"/>
            <w:vAlign w:val="center"/>
          </w:tcPr>
          <w:p w14:paraId="5C084E67">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613FE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restart"/>
            <w:vAlign w:val="center"/>
          </w:tcPr>
          <w:p w14:paraId="40EC0F01">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w:t>
            </w:r>
          </w:p>
        </w:tc>
        <w:tc>
          <w:tcPr>
            <w:tcW w:w="1465" w:type="dxa"/>
            <w:vAlign w:val="center"/>
          </w:tcPr>
          <w:p w14:paraId="3B08827D">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运输扬尘</w:t>
            </w:r>
          </w:p>
        </w:tc>
        <w:tc>
          <w:tcPr>
            <w:tcW w:w="1298" w:type="dxa"/>
            <w:vAlign w:val="center"/>
          </w:tcPr>
          <w:p w14:paraId="5082C92E">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颗粒物</w:t>
            </w:r>
          </w:p>
        </w:tc>
        <w:tc>
          <w:tcPr>
            <w:tcW w:w="2270" w:type="dxa"/>
            <w:vAlign w:val="center"/>
          </w:tcPr>
          <w:p w14:paraId="446CC666">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加强对运输车辆管理</w:t>
            </w:r>
            <w:r>
              <w:rPr>
                <w:rFonts w:hint="eastAsia" w:ascii="Times New Roman" w:hAnsi="Times New Roman" w:eastAsia="宋体" w:cs="Times New Roman"/>
                <w:color w:val="auto"/>
                <w:sz w:val="18"/>
                <w:szCs w:val="18"/>
                <w:lang w:eastAsia="zh-CN"/>
              </w:rPr>
              <w:t>，限制车速和载重</w:t>
            </w:r>
          </w:p>
        </w:tc>
        <w:tc>
          <w:tcPr>
            <w:tcW w:w="2787" w:type="dxa"/>
            <w:vMerge w:val="restart"/>
            <w:vAlign w:val="center"/>
          </w:tcPr>
          <w:p w14:paraId="1C0404FC">
            <w:pPr>
              <w:pStyle w:val="18"/>
              <w:adjustRightInd w:val="0"/>
              <w:snapToGrid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对周围环境影响较小。</w:t>
            </w:r>
          </w:p>
        </w:tc>
      </w:tr>
      <w:tr w14:paraId="66CA0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vAlign w:val="center"/>
          </w:tcPr>
          <w:p w14:paraId="388E9D31">
            <w:pPr>
              <w:adjustRightInd w:val="0"/>
              <w:snapToGrid w:val="0"/>
              <w:spacing w:line="320" w:lineRule="exact"/>
              <w:jc w:val="center"/>
              <w:rPr>
                <w:rFonts w:hint="default" w:ascii="Times New Roman" w:hAnsi="Times New Roman" w:cs="Times New Roman"/>
                <w:color w:val="auto"/>
                <w:sz w:val="18"/>
                <w:szCs w:val="18"/>
              </w:rPr>
            </w:pPr>
          </w:p>
        </w:tc>
        <w:tc>
          <w:tcPr>
            <w:tcW w:w="1465" w:type="dxa"/>
            <w:vAlign w:val="center"/>
          </w:tcPr>
          <w:p w14:paraId="41BA8BB4">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汽车尾气</w:t>
            </w:r>
          </w:p>
        </w:tc>
        <w:tc>
          <w:tcPr>
            <w:tcW w:w="1298" w:type="dxa"/>
            <w:vAlign w:val="center"/>
          </w:tcPr>
          <w:p w14:paraId="6ADFE333">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CO、NOx、THC</w:t>
            </w:r>
          </w:p>
        </w:tc>
        <w:tc>
          <w:tcPr>
            <w:tcW w:w="2270" w:type="dxa"/>
            <w:vAlign w:val="center"/>
          </w:tcPr>
          <w:p w14:paraId="2C177E54">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使用符合标准的运输车辆和燃料</w:t>
            </w:r>
          </w:p>
        </w:tc>
        <w:tc>
          <w:tcPr>
            <w:tcW w:w="2787" w:type="dxa"/>
            <w:vMerge w:val="continue"/>
            <w:vAlign w:val="center"/>
          </w:tcPr>
          <w:p w14:paraId="03F75B2D">
            <w:pPr>
              <w:pStyle w:val="18"/>
              <w:adjustRightInd w:val="0"/>
              <w:snapToGrid w:val="0"/>
              <w:spacing w:line="320" w:lineRule="exact"/>
              <w:rPr>
                <w:rFonts w:hint="default" w:ascii="Times New Roman" w:hAnsi="Times New Roman" w:cs="Times New Roman"/>
                <w:color w:val="auto"/>
                <w:sz w:val="18"/>
                <w:szCs w:val="18"/>
              </w:rPr>
            </w:pPr>
          </w:p>
        </w:tc>
      </w:tr>
      <w:tr w14:paraId="6B8C2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Align w:val="center"/>
          </w:tcPr>
          <w:p w14:paraId="6B9E1D0F">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地表水环境</w:t>
            </w:r>
          </w:p>
        </w:tc>
        <w:tc>
          <w:tcPr>
            <w:tcW w:w="1465" w:type="dxa"/>
            <w:shd w:val="clear" w:color="auto" w:fill="auto"/>
            <w:vAlign w:val="center"/>
          </w:tcPr>
          <w:p w14:paraId="2BCDA7D6">
            <w:pPr>
              <w:pStyle w:val="18"/>
              <w:adjustRightInd w:val="0"/>
              <w:snapToGrid w:val="0"/>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生活污水</w:t>
            </w:r>
          </w:p>
        </w:tc>
        <w:tc>
          <w:tcPr>
            <w:tcW w:w="1298" w:type="dxa"/>
            <w:shd w:val="clear" w:color="auto" w:fill="auto"/>
            <w:vAlign w:val="center"/>
          </w:tcPr>
          <w:p w14:paraId="0BAC7910">
            <w:pPr>
              <w:pStyle w:val="18"/>
              <w:adjustRightInd w:val="0"/>
              <w:snapToGrid w:val="0"/>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SS、COD、NH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-N、TP</w:t>
            </w:r>
          </w:p>
        </w:tc>
        <w:tc>
          <w:tcPr>
            <w:tcW w:w="2270" w:type="dxa"/>
            <w:shd w:val="clear" w:color="auto" w:fill="auto"/>
            <w:vAlign w:val="center"/>
          </w:tcPr>
          <w:p w14:paraId="72AD16C1">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经化粪池</w:t>
            </w:r>
            <w:r>
              <w:rPr>
                <w:rFonts w:hint="eastAsia" w:ascii="Times New Roman" w:hAnsi="Times New Roman" w:eastAsia="宋体" w:cs="Times New Roman"/>
                <w:color w:val="auto"/>
                <w:sz w:val="18"/>
                <w:szCs w:val="18"/>
                <w:lang w:val="en-US" w:eastAsia="zh-CN"/>
              </w:rPr>
              <w:t>（5.0m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收集处理后，</w:t>
            </w:r>
            <w:r>
              <w:rPr>
                <w:rFonts w:hint="eastAsia" w:ascii="Times New Roman" w:hAnsi="Times New Roman" w:eastAsia="宋体" w:cs="Times New Roman"/>
                <w:color w:val="auto"/>
                <w:sz w:val="18"/>
                <w:szCs w:val="18"/>
                <w:lang w:val="en-US" w:eastAsia="zh-CN"/>
              </w:rPr>
              <w:t>运至玉溪大红山矿业有限公司现有的生活污水处理站处理。</w:t>
            </w:r>
          </w:p>
        </w:tc>
        <w:tc>
          <w:tcPr>
            <w:tcW w:w="2787" w:type="dxa"/>
            <w:shd w:val="clear" w:color="auto" w:fill="auto"/>
            <w:vAlign w:val="center"/>
          </w:tcPr>
          <w:p w14:paraId="754ECFF0">
            <w:pPr>
              <w:pStyle w:val="97"/>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妥善处置，不直接进入周围地表水体。</w:t>
            </w:r>
          </w:p>
        </w:tc>
      </w:tr>
      <w:tr w14:paraId="3C05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restart"/>
            <w:vAlign w:val="center"/>
          </w:tcPr>
          <w:p w14:paraId="24F907E3">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w:t>
            </w:r>
          </w:p>
        </w:tc>
        <w:tc>
          <w:tcPr>
            <w:tcW w:w="1465" w:type="dxa"/>
            <w:vAlign w:val="center"/>
          </w:tcPr>
          <w:p w14:paraId="00B044AB">
            <w:pPr>
              <w:pStyle w:val="18"/>
              <w:adjustRightInd w:val="0"/>
              <w:snapToGrid w:val="0"/>
              <w:spacing w:line="32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水泵</w:t>
            </w:r>
          </w:p>
        </w:tc>
        <w:tc>
          <w:tcPr>
            <w:tcW w:w="1298" w:type="dxa"/>
            <w:vAlign w:val="center"/>
          </w:tcPr>
          <w:p w14:paraId="10C78C96">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Leq(dB（A））</w:t>
            </w:r>
          </w:p>
        </w:tc>
        <w:tc>
          <w:tcPr>
            <w:tcW w:w="2270" w:type="dxa"/>
            <w:vAlign w:val="center"/>
          </w:tcPr>
          <w:p w14:paraId="52691278">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厂房隔声。</w:t>
            </w:r>
          </w:p>
        </w:tc>
        <w:tc>
          <w:tcPr>
            <w:tcW w:w="2787" w:type="dxa"/>
            <w:vMerge w:val="restart"/>
            <w:vAlign w:val="center"/>
          </w:tcPr>
          <w:p w14:paraId="23F6541A">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w:t>
            </w:r>
            <w:r>
              <w:rPr>
                <w:rFonts w:hint="eastAsia" w:ascii="Times New Roman" w:hAnsi="Times New Roman" w:eastAsia="宋体" w:cs="Times New Roman"/>
                <w:color w:val="auto"/>
                <w:sz w:val="18"/>
                <w:szCs w:val="18"/>
                <w:lang w:val="en-US" w:eastAsia="zh-CN"/>
              </w:rPr>
              <w:t>噪声</w:t>
            </w:r>
            <w:r>
              <w:rPr>
                <w:rFonts w:hint="default" w:ascii="Times New Roman" w:hAnsi="Times New Roman" w:eastAsia="宋体" w:cs="Times New Roman"/>
                <w:color w:val="auto"/>
                <w:sz w:val="18"/>
                <w:szCs w:val="18"/>
                <w:lang w:val="en-US" w:eastAsia="zh-CN"/>
              </w:rPr>
              <w:t>满足《工业企业厂界环境噪声排放标准》（GB12348-2008）</w:t>
            </w:r>
            <w:r>
              <w:rPr>
                <w:rFonts w:hint="eastAsia"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类标准限值</w:t>
            </w:r>
          </w:p>
        </w:tc>
      </w:tr>
      <w:tr w14:paraId="55E66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vAlign w:val="center"/>
          </w:tcPr>
          <w:p w14:paraId="1C1152E9">
            <w:pPr>
              <w:pStyle w:val="18"/>
              <w:adjustRightInd w:val="0"/>
              <w:snapToGrid w:val="0"/>
              <w:spacing w:line="320" w:lineRule="exact"/>
              <w:jc w:val="center"/>
              <w:rPr>
                <w:rFonts w:hint="default" w:ascii="Times New Roman" w:hAnsi="Times New Roman" w:cs="Times New Roman"/>
                <w:color w:val="auto"/>
                <w:sz w:val="18"/>
                <w:szCs w:val="18"/>
              </w:rPr>
            </w:pPr>
          </w:p>
        </w:tc>
        <w:tc>
          <w:tcPr>
            <w:tcW w:w="1465" w:type="dxa"/>
            <w:vAlign w:val="center"/>
          </w:tcPr>
          <w:p w14:paraId="363C1008">
            <w:pPr>
              <w:pStyle w:val="18"/>
              <w:adjustRightInd w:val="0"/>
              <w:snapToGrid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运输车辆</w:t>
            </w:r>
          </w:p>
        </w:tc>
        <w:tc>
          <w:tcPr>
            <w:tcW w:w="1298" w:type="dxa"/>
            <w:vAlign w:val="center"/>
          </w:tcPr>
          <w:p w14:paraId="57333646">
            <w:pPr>
              <w:pStyle w:val="18"/>
              <w:adjustRightInd w:val="0"/>
              <w:snapToGrid w:val="0"/>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交通噪声</w:t>
            </w:r>
          </w:p>
        </w:tc>
        <w:tc>
          <w:tcPr>
            <w:tcW w:w="2270" w:type="dxa"/>
            <w:vAlign w:val="center"/>
          </w:tcPr>
          <w:p w14:paraId="17E4D76C">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限制车速、禁止鸣笛</w:t>
            </w:r>
          </w:p>
        </w:tc>
        <w:tc>
          <w:tcPr>
            <w:tcW w:w="2787" w:type="dxa"/>
            <w:vMerge w:val="continue"/>
            <w:vAlign w:val="center"/>
          </w:tcPr>
          <w:p w14:paraId="581A3D2B">
            <w:pPr>
              <w:pStyle w:val="18"/>
              <w:adjustRightInd w:val="0"/>
              <w:snapToGrid w:val="0"/>
              <w:spacing w:line="320" w:lineRule="exact"/>
              <w:jc w:val="center"/>
              <w:rPr>
                <w:rFonts w:hint="default" w:ascii="Times New Roman" w:hAnsi="Times New Roman" w:cs="Times New Roman"/>
                <w:color w:val="auto"/>
                <w:sz w:val="18"/>
                <w:szCs w:val="18"/>
              </w:rPr>
            </w:pPr>
          </w:p>
        </w:tc>
      </w:tr>
      <w:tr w14:paraId="7F2E9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restart"/>
            <w:vAlign w:val="center"/>
          </w:tcPr>
          <w:p w14:paraId="2E72160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固体废物</w:t>
            </w:r>
          </w:p>
        </w:tc>
        <w:tc>
          <w:tcPr>
            <w:tcW w:w="1465" w:type="dxa"/>
            <w:vAlign w:val="center"/>
          </w:tcPr>
          <w:p w14:paraId="69C40892">
            <w:pPr>
              <w:pStyle w:val="4"/>
              <w:adjustRightInd/>
              <w:spacing w:line="276"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废包装材料</w:t>
            </w:r>
          </w:p>
        </w:tc>
        <w:tc>
          <w:tcPr>
            <w:tcW w:w="3568" w:type="dxa"/>
            <w:gridSpan w:val="2"/>
            <w:vAlign w:val="center"/>
          </w:tcPr>
          <w:p w14:paraId="2089B6D0">
            <w:pPr>
              <w:pStyle w:val="97"/>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可回收的外售给废品收购站，不可回收的由环卫部门处置。</w:t>
            </w:r>
          </w:p>
        </w:tc>
        <w:tc>
          <w:tcPr>
            <w:tcW w:w="2787" w:type="dxa"/>
            <w:vMerge w:val="restart"/>
            <w:vAlign w:val="center"/>
          </w:tcPr>
          <w:p w14:paraId="5E370102">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处置率100%</w:t>
            </w:r>
          </w:p>
        </w:tc>
      </w:tr>
      <w:tr w14:paraId="1D3DB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vAlign w:val="center"/>
          </w:tcPr>
          <w:p w14:paraId="430980E4">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5EA270E2">
            <w:pPr>
              <w:pStyle w:val="4"/>
              <w:adjustRightInd/>
              <w:spacing w:line="276"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生活垃圾</w:t>
            </w:r>
          </w:p>
        </w:tc>
        <w:tc>
          <w:tcPr>
            <w:tcW w:w="3568" w:type="dxa"/>
            <w:gridSpan w:val="2"/>
            <w:vAlign w:val="center"/>
          </w:tcPr>
          <w:p w14:paraId="18D187F0">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设置可移动式垃圾桶，分类收集后统一运至</w:t>
            </w:r>
            <w:r>
              <w:rPr>
                <w:rFonts w:hint="eastAsia" w:ascii="Times New Roman" w:hAnsi="Times New Roman" w:eastAsia="宋体" w:cs="Times New Roman"/>
                <w:color w:val="auto"/>
                <w:sz w:val="18"/>
                <w:szCs w:val="18"/>
                <w:lang w:val="en-US" w:eastAsia="zh-CN"/>
              </w:rPr>
              <w:t>环卫</w:t>
            </w:r>
            <w:r>
              <w:rPr>
                <w:rFonts w:hint="default" w:ascii="Times New Roman" w:hAnsi="Times New Roman" w:eastAsia="宋体" w:cs="Times New Roman"/>
                <w:color w:val="auto"/>
                <w:sz w:val="18"/>
                <w:szCs w:val="18"/>
                <w:lang w:val="en-US" w:eastAsia="zh-CN"/>
              </w:rPr>
              <w:t>部门指定地点处理</w:t>
            </w:r>
            <w:r>
              <w:rPr>
                <w:rFonts w:hint="eastAsia" w:ascii="Times New Roman" w:hAnsi="Times New Roman" w:eastAsia="宋体" w:cs="Times New Roman"/>
                <w:color w:val="auto"/>
                <w:sz w:val="18"/>
                <w:szCs w:val="18"/>
                <w:lang w:val="en-US" w:eastAsia="zh-CN"/>
              </w:rPr>
              <w:t>。</w:t>
            </w:r>
          </w:p>
        </w:tc>
        <w:tc>
          <w:tcPr>
            <w:tcW w:w="2787" w:type="dxa"/>
            <w:vMerge w:val="continue"/>
            <w:vAlign w:val="center"/>
          </w:tcPr>
          <w:p w14:paraId="3958C300">
            <w:pPr>
              <w:pStyle w:val="18"/>
              <w:adjustRightInd w:val="0"/>
              <w:snapToGrid w:val="0"/>
              <w:spacing w:line="320" w:lineRule="exact"/>
              <w:jc w:val="center"/>
              <w:rPr>
                <w:rFonts w:hint="default" w:ascii="Times New Roman" w:hAnsi="Times New Roman" w:cs="Times New Roman"/>
                <w:color w:val="auto"/>
                <w:sz w:val="18"/>
                <w:szCs w:val="18"/>
              </w:rPr>
            </w:pPr>
          </w:p>
        </w:tc>
      </w:tr>
      <w:tr w14:paraId="46D68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vAlign w:val="center"/>
          </w:tcPr>
          <w:p w14:paraId="636551E3">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41035C03">
            <w:pPr>
              <w:pStyle w:val="4"/>
              <w:adjustRightInd/>
              <w:spacing w:line="276"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rPr>
              <w:t>化粪池污泥</w:t>
            </w:r>
          </w:p>
        </w:tc>
        <w:tc>
          <w:tcPr>
            <w:tcW w:w="3568" w:type="dxa"/>
            <w:gridSpan w:val="2"/>
            <w:vAlign w:val="center"/>
          </w:tcPr>
          <w:p w14:paraId="38EDC42B">
            <w:pPr>
              <w:pStyle w:val="9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定期清掏后委托周边村民清掏后作为农肥使用。</w:t>
            </w:r>
          </w:p>
        </w:tc>
        <w:tc>
          <w:tcPr>
            <w:tcW w:w="2787" w:type="dxa"/>
            <w:vMerge w:val="continue"/>
            <w:vAlign w:val="center"/>
          </w:tcPr>
          <w:p w14:paraId="148B80BD">
            <w:pPr>
              <w:pStyle w:val="18"/>
              <w:adjustRightInd w:val="0"/>
              <w:snapToGrid w:val="0"/>
              <w:spacing w:line="320" w:lineRule="exact"/>
              <w:jc w:val="center"/>
              <w:rPr>
                <w:rFonts w:hint="default" w:ascii="Times New Roman" w:hAnsi="Times New Roman" w:cs="Times New Roman"/>
                <w:color w:val="auto"/>
                <w:sz w:val="18"/>
                <w:szCs w:val="18"/>
              </w:rPr>
            </w:pPr>
          </w:p>
        </w:tc>
      </w:tr>
      <w:tr w14:paraId="0BB48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Merge w:val="continue"/>
            <w:vAlign w:val="center"/>
          </w:tcPr>
          <w:p w14:paraId="41EB4E96">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62AFDB71">
            <w:pPr>
              <w:pStyle w:val="4"/>
              <w:adjustRightInd/>
              <w:spacing w:line="276"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变质、失效及过期的爆破器材</w:t>
            </w:r>
          </w:p>
        </w:tc>
        <w:tc>
          <w:tcPr>
            <w:tcW w:w="3568" w:type="dxa"/>
            <w:gridSpan w:val="2"/>
            <w:vAlign w:val="center"/>
          </w:tcPr>
          <w:p w14:paraId="0C747D7D">
            <w:pPr>
              <w:pStyle w:val="97"/>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经收集后上报公安机关，并在公安机关监督下由专业销毁单位处置，严禁自行处理。</w:t>
            </w:r>
          </w:p>
        </w:tc>
        <w:tc>
          <w:tcPr>
            <w:tcW w:w="2787" w:type="dxa"/>
            <w:vMerge w:val="continue"/>
            <w:vAlign w:val="center"/>
          </w:tcPr>
          <w:p w14:paraId="751EDB58">
            <w:pPr>
              <w:pStyle w:val="18"/>
              <w:adjustRightInd w:val="0"/>
              <w:snapToGrid w:val="0"/>
              <w:spacing w:line="320" w:lineRule="exact"/>
              <w:jc w:val="center"/>
              <w:rPr>
                <w:rFonts w:hint="default" w:ascii="Times New Roman" w:hAnsi="Times New Roman" w:cs="Times New Roman"/>
                <w:color w:val="auto"/>
                <w:sz w:val="18"/>
                <w:szCs w:val="18"/>
              </w:rPr>
            </w:pPr>
          </w:p>
        </w:tc>
      </w:tr>
      <w:tr w14:paraId="6C319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Align w:val="center"/>
          </w:tcPr>
          <w:p w14:paraId="32C187C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pacing w:val="-8"/>
                <w:sz w:val="18"/>
                <w:szCs w:val="18"/>
              </w:rPr>
              <w:t>土壤及地下水污染防治措施</w:t>
            </w:r>
          </w:p>
        </w:tc>
        <w:tc>
          <w:tcPr>
            <w:tcW w:w="7820" w:type="dxa"/>
            <w:gridSpan w:val="4"/>
            <w:vAlign w:val="center"/>
          </w:tcPr>
          <w:p w14:paraId="6AF7764B">
            <w:pPr>
              <w:pStyle w:val="18"/>
              <w:adjustRightInd w:val="0"/>
              <w:snapToGrid w:val="0"/>
              <w:spacing w:line="320" w:lineRule="exact"/>
              <w:ind w:firstLine="360" w:firstLineChars="200"/>
              <w:rPr>
                <w:rFonts w:hint="default" w:ascii="Times New Roman" w:hAnsi="Times New Roman" w:cs="Times New Roman"/>
                <w:color w:val="auto"/>
              </w:rPr>
            </w:pPr>
            <w:r>
              <w:rPr>
                <w:rFonts w:hint="default" w:ascii="Times New Roman" w:hAnsi="Times New Roman" w:cs="Times New Roman"/>
                <w:color w:val="auto"/>
                <w:sz w:val="18"/>
                <w:szCs w:val="18"/>
                <w:highlight w:val="none"/>
                <w:u w:val="none"/>
              </w:rPr>
              <w:t>分区防渗，将炸药库房地面、雷管库房地面、雨水收集沟、事故应急池、消防器材室地面作为一般防渗区，防渗技术要求为等效黏土防渗层Mb≥1.5m，K≤1×10</w:t>
            </w:r>
            <w:r>
              <w:rPr>
                <w:rFonts w:hint="default" w:ascii="Times New Roman" w:hAnsi="Times New Roman" w:cs="Times New Roman"/>
                <w:color w:val="auto"/>
                <w:sz w:val="18"/>
                <w:szCs w:val="18"/>
                <w:highlight w:val="none"/>
                <w:u w:val="none"/>
                <w:vertAlign w:val="superscript"/>
              </w:rPr>
              <w:t>-7</w:t>
            </w:r>
            <w:r>
              <w:rPr>
                <w:rFonts w:hint="default" w:ascii="Times New Roman" w:hAnsi="Times New Roman" w:cs="Times New Roman"/>
                <w:color w:val="auto"/>
                <w:sz w:val="18"/>
                <w:szCs w:val="18"/>
                <w:highlight w:val="none"/>
                <w:u w:val="none"/>
              </w:rPr>
              <w:t>cm/s，其他为简单防渗区，防渗技术要求为地面硬化。</w:t>
            </w:r>
          </w:p>
        </w:tc>
      </w:tr>
      <w:tr w14:paraId="28F41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Align w:val="center"/>
          </w:tcPr>
          <w:p w14:paraId="45A12279">
            <w:pPr>
              <w:adjustRightInd w:val="0"/>
              <w:snapToGrid w:val="0"/>
              <w:spacing w:line="320" w:lineRule="exact"/>
              <w:jc w:val="center"/>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环境风险防范措施</w:t>
            </w:r>
          </w:p>
        </w:tc>
        <w:tc>
          <w:tcPr>
            <w:tcW w:w="7820" w:type="dxa"/>
            <w:gridSpan w:val="4"/>
            <w:vAlign w:val="center"/>
          </w:tcPr>
          <w:p w14:paraId="638F1D93">
            <w:pPr>
              <w:pStyle w:val="18"/>
              <w:adjustRightInd w:val="0"/>
              <w:snapToGrid w:val="0"/>
              <w:spacing w:line="320" w:lineRule="exact"/>
              <w:ind w:firstLine="361" w:firstLineChars="200"/>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1、</w:t>
            </w:r>
            <w:r>
              <w:rPr>
                <w:rFonts w:hint="default" w:ascii="Times New Roman" w:hAnsi="Times New Roman" w:cs="Times New Roman"/>
                <w:b/>
                <w:bCs/>
                <w:color w:val="auto"/>
                <w:sz w:val="18"/>
                <w:szCs w:val="18"/>
              </w:rPr>
              <w:t>环境风险管理</w:t>
            </w:r>
          </w:p>
          <w:p w14:paraId="046E6D05">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项目建成运行后，建设单位应及时</w:t>
            </w:r>
            <w:r>
              <w:rPr>
                <w:rFonts w:hint="eastAsia" w:ascii="Times New Roman" w:hAnsi="Times New Roman" w:cs="Times New Roman"/>
                <w:color w:val="auto"/>
                <w:sz w:val="18"/>
                <w:szCs w:val="18"/>
                <w:lang w:val="en-US" w:eastAsia="zh-CN"/>
              </w:rPr>
              <w:t>编制</w:t>
            </w:r>
            <w:r>
              <w:rPr>
                <w:rFonts w:hint="default" w:ascii="Times New Roman" w:hAnsi="Times New Roman" w:cs="Times New Roman"/>
                <w:color w:val="auto"/>
                <w:sz w:val="18"/>
                <w:szCs w:val="18"/>
              </w:rPr>
              <w:t>《突发事故环境风险应急预案》报送生态环境主管部门进行备案，并配备相应的风险应急物资。</w:t>
            </w:r>
          </w:p>
          <w:p w14:paraId="3F650B82">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②加强职工安全环保教育，防止和减少因人为因素造成的事故，同时也要加强防火安全教育。</w:t>
            </w:r>
          </w:p>
          <w:p w14:paraId="22775651">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③</w:t>
            </w:r>
            <w:r>
              <w:rPr>
                <w:rFonts w:hint="default" w:ascii="Times New Roman" w:hAnsi="Times New Roman" w:cs="Times New Roman"/>
                <w:color w:val="auto"/>
                <w:sz w:val="18"/>
                <w:szCs w:val="18"/>
              </w:rPr>
              <w:t>应配备足够的消防设施，落实安全管理责任。</w:t>
            </w:r>
          </w:p>
          <w:p w14:paraId="788583F0">
            <w:pPr>
              <w:pStyle w:val="18"/>
              <w:adjustRightInd w:val="0"/>
              <w:snapToGrid w:val="0"/>
              <w:spacing w:line="320" w:lineRule="exact"/>
              <w:ind w:firstLine="361" w:firstLineChars="200"/>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2、</w:t>
            </w:r>
            <w:r>
              <w:rPr>
                <w:rFonts w:hint="default" w:ascii="Times New Roman" w:hAnsi="Times New Roman" w:cs="Times New Roman"/>
                <w:b/>
                <w:bCs/>
                <w:color w:val="auto"/>
                <w:sz w:val="18"/>
                <w:szCs w:val="18"/>
              </w:rPr>
              <w:t>环境风险防范措施</w:t>
            </w:r>
          </w:p>
          <w:p w14:paraId="329B21AD">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（1）运输过程的风险防范措施</w:t>
            </w:r>
          </w:p>
          <w:p w14:paraId="4E39A32C">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工业炸药、雷管运输过程中可能发生翻车、撞车、坠落、碰撞及摩擦等险情，可能导致的后果是引起危险品的燃烧或者爆炸。</w:t>
            </w:r>
          </w:p>
          <w:p w14:paraId="422670EC">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①严格执行《道路危险货物运输管理规定》及其他相关法律法规和安全操作规程。</w:t>
            </w:r>
          </w:p>
          <w:p w14:paraId="1FF804DE">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②本项目炸药和雷管均采用公路运输方式，运输工作委托有资质运输单位负责，采用专用运输车辆进行运输，并应经常维护以保持车况良好。</w:t>
            </w:r>
          </w:p>
          <w:p w14:paraId="00BB6992">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③项目运输线路由公安部门审批通过后方可采用，运输过程中避开敏感保护目标。</w:t>
            </w:r>
          </w:p>
          <w:p w14:paraId="326568A9">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④购买爆破器材的单位，应凭有效的爆破器材供销合同和申请表，向公安机关申领“爆炸物品运输证”。凭证在有效期间内，按指定路线运输。</w:t>
            </w:r>
          </w:p>
          <w:p w14:paraId="35EA442A">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委托运输单位的爆破器材运输车辆应符合国家有关运输安全的技术要求；具有防盗、防火、防热、防雨、防潮和防静电等安全功能，并配有车载消防器材。车用帆布覆盖，并设醒目的警示灯，夜晚运输时打开警示灯。在公路上运输爆破器材时，车辆必须限速行驶，前后车辆应当保持避免引起殉爆的距离。在中途停歇时，要远离建筑设施和人烟稠密的地方，并有专人看管，严禁在爆破器材附近吸烟和用火。</w:t>
            </w:r>
          </w:p>
          <w:p w14:paraId="4BA4170C">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⑥运输单位要选择气候较好的时间运输危险品，以防遇险；运输时间应尽量避开交通高峰期；如中途遇暴风雨或雷电时，要将车辆停在远离建筑物的空旷地方。</w:t>
            </w:r>
          </w:p>
          <w:p w14:paraId="4F54D704">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在爆破器材运输过程中，一旦发生意外，在采取应急处理的同时，迅速报告公安机关和环保等有关部门，疏散群众，防止事态进一步扩大，并积极协助前来救助的公安交通和消防人员抢救伤者和物资，使损失降低到最小范围。</w:t>
            </w:r>
          </w:p>
          <w:p w14:paraId="53B7EA0F">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（2）储存过程的风险防范措施</w:t>
            </w:r>
          </w:p>
          <w:p w14:paraId="56F09EE8">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①建立出入库检查、登记制度，收存和发放民用爆炸物品必须进行登记，做到账目清楚，账物相符；</w:t>
            </w:r>
          </w:p>
          <w:p w14:paraId="17391792">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②储存的报批物品数量不得超过储存设计容量，对性质相抵触的民用爆炸物品必须分库储存，严禁在库房内存放其他物品；</w:t>
            </w:r>
          </w:p>
          <w:p w14:paraId="01C33D75">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③专用仓库应当指定专人管理、看护，严禁无关人员进入仓库区内，严禁在仓库区内吸烟和用火，严禁把其他容易引起燃烧、爆炸的物品带入仓库区内，严禁在库房内住宿和进行其他活动；</w:t>
            </w:r>
          </w:p>
          <w:p w14:paraId="23B053B7">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④民用爆炸物品丢失、被盗、被抢，应当立即报告当地公安机关；</w:t>
            </w:r>
          </w:p>
          <w:p w14:paraId="0FF9E6B6">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⑤民用爆炸物品在储存时，要坚持：“永续盘点”，做到“五查”，“一及时”。即收货前要查库存，发货后查库存，忙时坚持查库存，月底全面查库存，发现问题及时处理。</w:t>
            </w:r>
          </w:p>
          <w:p w14:paraId="4D53CFBB">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⑥库房设置禁烟禁火等安全警示标志及安全标志和应急疏散标志。应牢固、醒目耐久并标示编号、允许存放产品名称、安全存量、危险等级等项目。</w:t>
            </w:r>
          </w:p>
          <w:p w14:paraId="512DCFFA">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提高事故应急处理的能力，设置保险措施，定期进行安全环保宣传教育以及紧急事故模拟演习，提高事故应变能力。一旦发生事故，应利用场内梯形排水沟收集消防水，并将该废水接入到事故应急池，经检测水质满足污水处理厂进水水质标准后，运至污水处理厂处理，不满足时运至有资质单位处理。</w:t>
            </w:r>
          </w:p>
          <w:p w14:paraId="5C4985A3">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（3）管理过程中的事故风险防范措施</w:t>
            </w:r>
          </w:p>
          <w:p w14:paraId="51180BAB">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依法对使用的危险品进行登记、归档管理，在库区设置明显的危险品标志，建立健全安全运营责任制，把安全运营责任落实到岗位和人头。定期组织安全检查，及时消除事故隐患，强化对危险源的监控。</w:t>
            </w:r>
          </w:p>
          <w:p w14:paraId="3F9B8511">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加强对从业人员安全宣传、教育和培训，严格实行从业人员资格和持证上岗制度，促使其提高安全防范意识，掌握预防和处置危险事故的技能，杜绝违规操作。</w:t>
            </w:r>
          </w:p>
          <w:p w14:paraId="1F0C88C9">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根据项目工程特点，建立相应的兼职应急救援队，购置处置危险事故的相关设备、器材，经常组织应急救助人员熟悉本岗位，使其掌握相关知识和事故处置技能。</w:t>
            </w:r>
          </w:p>
          <w:p w14:paraId="3EC09AB2">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（4）环境事故风险防范措施</w:t>
            </w:r>
          </w:p>
          <w:p w14:paraId="2AD2A15E">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库区发生火灾、爆炸等事故时，将会产生消防废水。消防废水中含有毒、有害物质（主要成份为硝酸氨），未经处理直接排入水体，会对受纳水体产生较大污染且影响生态安全。为了确保项目风险发生时产生的二次水污染，项目建设、运营时采取以下措施：</w:t>
            </w:r>
          </w:p>
          <w:p w14:paraId="4D4057BB">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①设置事故应急池，一旦发生事故时雨排口关闭，同时事故污水被截流输送至事故应急池中，事故应急池有效容积不应小</w:t>
            </w:r>
            <w:r>
              <w:rPr>
                <w:rFonts w:hint="eastAsia" w:ascii="Times New Roman" w:hAnsi="Times New Roman" w:cs="Times New Roman"/>
                <w:color w:val="auto"/>
                <w:sz w:val="18"/>
                <w:szCs w:val="18"/>
                <w:lang w:val="en-US" w:eastAsia="zh-CN"/>
              </w:rPr>
              <w:t>65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，确保项目最严重事故状态下的消防废水全部收集。同时为了维持事故应急池的有效容积，要求及时处理事故应急池中的消防废水。</w:t>
            </w:r>
          </w:p>
          <w:p w14:paraId="2B3D567A">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②雨污分流，雨水收集后经雨水排水沟直接外排，不进入事故应急池。事故应急池做防腐、防渗处理，防止污水渗漏污染地下水。</w:t>
            </w:r>
          </w:p>
          <w:p w14:paraId="05D3C9DF">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③事故应急池禁止设排放阀，经检测水质如满足污水处理厂进水水质标准后，运至玉溪大红山矿业有限公司污水处理站处理，不满足时运至有资质单位处理。</w:t>
            </w:r>
          </w:p>
        </w:tc>
      </w:tr>
      <w:tr w14:paraId="6DE85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dxa"/>
            <w:vAlign w:val="center"/>
          </w:tcPr>
          <w:p w14:paraId="37199A11">
            <w:pPr>
              <w:adjustRightInd w:val="0"/>
              <w:snapToGrid w:val="0"/>
              <w:spacing w:line="32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其他环境管理要求</w:t>
            </w:r>
          </w:p>
        </w:tc>
        <w:tc>
          <w:tcPr>
            <w:tcW w:w="7820" w:type="dxa"/>
            <w:gridSpan w:val="4"/>
            <w:vAlign w:val="center"/>
          </w:tcPr>
          <w:p w14:paraId="4A055292">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根据《建设项目竣工环境保护验收暂行办法》，本工程所有环保设施均应与主体工程“三同时”，工程完工后建设单位应当如实查验、监测、记载建设项目环境保护设施的建设和调试情况，可自行编制或委托有能力的技术机构编制竣工环境保护验收监测报告，并组织自主竣工环境保护验收，验收期限一般不超过3个月；需要对环境保护设施进行调试或者整改的，验收期限可以适当延期，但最长不超过12个月，验收合格后方可正式投入生产。</w:t>
            </w:r>
          </w:p>
          <w:p w14:paraId="1908B690">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w:t>
            </w:r>
            <w:bookmarkStart w:id="61" w:name="_Hlk220340932"/>
            <w:r>
              <w:rPr>
                <w:rFonts w:hint="default" w:ascii="Times New Roman" w:hAnsi="Times New Roman" w:cs="Times New Roman"/>
                <w:color w:val="auto"/>
                <w:sz w:val="18"/>
                <w:szCs w:val="18"/>
              </w:rPr>
              <w:t>环境影响评价制度与排污许可制衔接要求</w:t>
            </w:r>
          </w:p>
          <w:p w14:paraId="591AB745">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项目发生实际排污行为之前，排污单位应当按照国家环境保护相关法律法规以及排污许可证申请与核发技术规范要求申请排污许可证，不得无证排污或不按证排污。环境影响报告书（表）2015年1月l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14:paraId="493D8E2B">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根据《固定污染源排污许可分类管理名录》，本项目属于“四十四、装卸搬运和仓储业59</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102危险品仓储594中其他危险品仓储（含油品码头后方配套油库，不含储备油库）”，属于登记管理项目</w:t>
            </w:r>
            <w:r>
              <w:rPr>
                <w:rFonts w:hint="eastAsia" w:ascii="Times New Roman" w:hAnsi="Times New Roman" w:cs="Times New Roman"/>
                <w:color w:val="auto"/>
                <w:sz w:val="18"/>
                <w:szCs w:val="18"/>
                <w:lang w:eastAsia="zh-CN"/>
              </w:rPr>
              <w:t>，本环评要求项目在取得环评批复后，应当在启动生产设施或者发生实际排污之前通过全国排污许可证管理信息平台填报排污登记表</w:t>
            </w:r>
            <w:r>
              <w:rPr>
                <w:rFonts w:hint="default" w:ascii="Times New Roman" w:hAnsi="Times New Roman" w:cs="Times New Roman"/>
                <w:color w:val="auto"/>
                <w:sz w:val="18"/>
                <w:szCs w:val="18"/>
              </w:rPr>
              <w:t>。</w:t>
            </w:r>
          </w:p>
          <w:bookmarkEnd w:id="61"/>
          <w:p w14:paraId="5983ED5F">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）加强对职工的环境保护意识培训，制定严格的环保规章制度，并认真贯彻落实；</w:t>
            </w:r>
          </w:p>
          <w:p w14:paraId="43CEC1AA">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）全厂要制定环境保护及安全管理制度，制定各岗位的安全操作规程，对员工定期培训。</w:t>
            </w:r>
          </w:p>
          <w:p w14:paraId="03D0C4F9">
            <w:pPr>
              <w:rPr>
                <w:rFonts w:hint="default" w:ascii="Times New Roman" w:hAnsi="Times New Roman" w:cs="Times New Roman"/>
                <w:color w:val="auto"/>
              </w:rPr>
            </w:pPr>
          </w:p>
          <w:p w14:paraId="40A75E99">
            <w:pPr>
              <w:pStyle w:val="44"/>
              <w:rPr>
                <w:rFonts w:hint="default" w:ascii="Times New Roman" w:hAnsi="Times New Roman" w:cs="Times New Roman"/>
                <w:color w:val="auto"/>
              </w:rPr>
            </w:pPr>
          </w:p>
          <w:p w14:paraId="20E04960">
            <w:pPr>
              <w:rPr>
                <w:rFonts w:hint="default"/>
                <w:color w:val="auto"/>
              </w:rPr>
            </w:pPr>
          </w:p>
        </w:tc>
      </w:tr>
    </w:tbl>
    <w:p w14:paraId="0651B07F">
      <w:pPr>
        <w:pStyle w:val="32"/>
        <w:spacing w:before="0" w:beforeAutospacing="0" w:after="0" w:afterAutospacing="0" w:line="360" w:lineRule="auto"/>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62" w:name="_Toc68870554"/>
      <w:bookmarkStart w:id="63" w:name="_Toc602"/>
      <w:bookmarkStart w:id="64" w:name="_Toc70692553"/>
      <w:r>
        <w:rPr>
          <w:rFonts w:hint="default" w:ascii="Times New Roman" w:hAnsi="Times New Roman" w:eastAsia="黑体" w:cs="Times New Roman"/>
          <w:color w:val="auto"/>
          <w:sz w:val="28"/>
          <w:szCs w:val="28"/>
        </w:rPr>
        <w:t>六、结论</w:t>
      </w:r>
      <w:bookmarkEnd w:id="62"/>
      <w:bookmarkEnd w:id="63"/>
      <w:bookmarkEnd w:id="64"/>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533C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3" w:hRule="atLeast"/>
          <w:jc w:val="center"/>
        </w:trPr>
        <w:tc>
          <w:tcPr>
            <w:tcW w:w="8865" w:type="dxa"/>
          </w:tcPr>
          <w:p w14:paraId="781E1D2F">
            <w:pPr>
              <w:autoSpaceDE w:val="0"/>
              <w:autoSpaceDN w:val="0"/>
              <w:spacing w:before="120" w:beforeLines="50"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rPr>
              <w:t>玉溪大红山矿业民用爆炸物品储存库建设项目选址于</w:t>
            </w:r>
            <w:r>
              <w:rPr>
                <w:rFonts w:hint="eastAsia" w:ascii="Times New Roman" w:hAnsi="Times New Roman" w:eastAsia="宋体" w:cs="Times New Roman"/>
                <w:color w:val="auto"/>
                <w:kern w:val="0"/>
                <w:sz w:val="24"/>
                <w:highlight w:val="none"/>
                <w:lang w:eastAsia="zh-CN"/>
              </w:rPr>
              <w:t>云南省玉溪市新平县戛洒镇米尺莫村委会哈母白租村民小组</w:t>
            </w:r>
            <w:r>
              <w:rPr>
                <w:rFonts w:hint="eastAsia" w:ascii="Times New Roman" w:hAnsi="Times New Roman" w:eastAsia="宋体" w:cs="Times New Roman"/>
                <w:color w:val="auto"/>
                <w:kern w:val="0"/>
                <w:sz w:val="24"/>
                <w:highlight w:val="none"/>
              </w:rPr>
              <w:t>，厂区中心地理坐标</w:t>
            </w:r>
            <w:r>
              <w:rPr>
                <w:rFonts w:hint="default" w:ascii="Times New Roman" w:hAnsi="Times New Roman" w:eastAsia="宋体" w:cs="Times New Roman"/>
                <w:color w:val="auto"/>
                <w:kern w:val="0"/>
                <w:sz w:val="24"/>
                <w:highlight w:val="none"/>
              </w:rPr>
              <w:t>东经1</w:t>
            </w:r>
            <w:r>
              <w:rPr>
                <w:rFonts w:hint="eastAsia" w:ascii="Times New Roman" w:hAnsi="Times New Roman" w:eastAsia="宋体" w:cs="Times New Roman"/>
                <w:color w:val="auto"/>
                <w:kern w:val="0"/>
                <w:sz w:val="24"/>
                <w:highlight w:val="none"/>
                <w:lang w:val="en-US" w:eastAsia="zh-CN"/>
              </w:rPr>
              <w:t>02</w:t>
            </w:r>
            <w:r>
              <w:rPr>
                <w:rFonts w:hint="default" w:ascii="Times New Roman" w:hAnsi="Times New Roman" w:eastAsia="宋体" w:cs="Times New Roman"/>
                <w:color w:val="auto"/>
                <w:kern w:val="0"/>
                <w:sz w:val="24"/>
                <w:highlight w:val="none"/>
              </w:rPr>
              <w:t>度</w:t>
            </w:r>
            <w:r>
              <w:rPr>
                <w:rFonts w:hint="eastAsia" w:ascii="Times New Roman" w:hAnsi="Times New Roman" w:eastAsia="宋体" w:cs="Times New Roman"/>
                <w:color w:val="auto"/>
                <w:kern w:val="0"/>
                <w:sz w:val="24"/>
                <w:highlight w:val="none"/>
                <w:lang w:val="en-US" w:eastAsia="zh-CN"/>
              </w:rPr>
              <w:t>39</w:t>
            </w:r>
            <w:r>
              <w:rPr>
                <w:rFonts w:hint="default" w:ascii="Times New Roman" w:hAnsi="Times New Roman" w:eastAsia="宋体" w:cs="Times New Roman"/>
                <w:color w:val="auto"/>
                <w:kern w:val="0"/>
                <w:sz w:val="24"/>
                <w:highlight w:val="none"/>
              </w:rPr>
              <w:t>分</w:t>
            </w:r>
            <w:r>
              <w:rPr>
                <w:rFonts w:hint="eastAsia" w:ascii="Times New Roman" w:hAnsi="Times New Roman" w:eastAsia="宋体" w:cs="Times New Roman"/>
                <w:color w:val="auto"/>
                <w:kern w:val="0"/>
                <w:sz w:val="24"/>
                <w:highlight w:val="none"/>
                <w:lang w:val="en-US" w:eastAsia="zh-CN"/>
              </w:rPr>
              <w:t>12.424</w:t>
            </w:r>
            <w:r>
              <w:rPr>
                <w:rFonts w:hint="default" w:ascii="Times New Roman" w:hAnsi="Times New Roman" w:eastAsia="宋体" w:cs="Times New Roman"/>
                <w:color w:val="auto"/>
                <w:kern w:val="0"/>
                <w:sz w:val="24"/>
                <w:highlight w:val="none"/>
              </w:rPr>
              <w:t>秒，</w:t>
            </w:r>
            <w:r>
              <w:rPr>
                <w:rFonts w:hint="eastAsia" w:ascii="Times New Roman" w:hAnsi="Times New Roman" w:eastAsia="宋体" w:cs="Times New Roman"/>
                <w:color w:val="auto"/>
                <w:kern w:val="0"/>
                <w:sz w:val="24"/>
                <w:highlight w:val="none"/>
              </w:rPr>
              <w:t>北纬</w:t>
            </w:r>
            <w:r>
              <w:rPr>
                <w:rFonts w:hint="eastAsia" w:ascii="Times New Roman" w:hAnsi="Times New Roman" w:eastAsia="宋体" w:cs="Times New Roman"/>
                <w:color w:val="auto"/>
                <w:kern w:val="0"/>
                <w:sz w:val="24"/>
                <w:highlight w:val="none"/>
                <w:lang w:val="en-US" w:eastAsia="zh-CN"/>
              </w:rPr>
              <w:t>24</w:t>
            </w:r>
            <w:r>
              <w:rPr>
                <w:rFonts w:hint="default" w:ascii="Times New Roman" w:hAnsi="Times New Roman" w:eastAsia="宋体" w:cs="Times New Roman"/>
                <w:color w:val="auto"/>
                <w:kern w:val="0"/>
                <w:sz w:val="24"/>
                <w:highlight w:val="none"/>
              </w:rPr>
              <w:t>度</w:t>
            </w:r>
            <w:r>
              <w:rPr>
                <w:rFonts w:hint="eastAsia" w:ascii="Times New Roman" w:hAnsi="Times New Roman" w:eastAsia="宋体"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rPr>
              <w:t>分</w:t>
            </w:r>
            <w:r>
              <w:rPr>
                <w:rFonts w:hint="eastAsia" w:ascii="Times New Roman" w:hAnsi="Times New Roman" w:eastAsia="宋体" w:cs="Times New Roman"/>
                <w:color w:val="auto"/>
                <w:kern w:val="0"/>
                <w:sz w:val="24"/>
                <w:highlight w:val="none"/>
                <w:lang w:val="en-US" w:eastAsia="zh-CN"/>
              </w:rPr>
              <w:t>10.431</w:t>
            </w:r>
            <w:r>
              <w:rPr>
                <w:rFonts w:hint="default" w:ascii="Times New Roman" w:hAnsi="Times New Roman" w:eastAsia="宋体" w:cs="Times New Roman"/>
                <w:color w:val="auto"/>
                <w:kern w:val="0"/>
                <w:sz w:val="24"/>
                <w:highlight w:val="none"/>
              </w:rPr>
              <w:t>秒</w:t>
            </w:r>
            <w:r>
              <w:rPr>
                <w:rFonts w:hint="eastAsia" w:ascii="Times New Roman" w:hAnsi="Times New Roman" w:eastAsia="宋体" w:cs="Times New Roman"/>
                <w:color w:val="auto"/>
                <w:kern w:val="0"/>
                <w:sz w:val="24"/>
                <w:highlight w:val="none"/>
              </w:rPr>
              <w:t>，本项目占地面积</w:t>
            </w:r>
            <w:r>
              <w:rPr>
                <w:rFonts w:hint="eastAsia" w:cs="Times New Roman"/>
                <w:color w:val="auto"/>
                <w:kern w:val="0"/>
                <w:sz w:val="24"/>
                <w:highlight w:val="none"/>
                <w:lang w:val="en-US" w:eastAsia="zh-CN"/>
              </w:rPr>
              <w:t>11820.20</w:t>
            </w:r>
            <w:r>
              <w:rPr>
                <w:rFonts w:hint="eastAsia" w:ascii="Times New Roman" w:hAnsi="Times New Roman" w:eastAsia="宋体" w:cs="Times New Roman"/>
                <w:color w:val="auto"/>
                <w:kern w:val="0"/>
                <w:sz w:val="24"/>
                <w:highlight w:val="none"/>
              </w:rPr>
              <w:t>m</w:t>
            </w:r>
            <w:r>
              <w:rPr>
                <w:rFonts w:hint="eastAsia" w:ascii="Times New Roman" w:hAnsi="Times New Roman" w:eastAsia="宋体" w:cs="Times New Roman"/>
                <w:color w:val="auto"/>
                <w:kern w:val="0"/>
                <w:sz w:val="24"/>
                <w:highlight w:val="none"/>
                <w:vertAlign w:val="superscript"/>
              </w:rPr>
              <w:t>2</w:t>
            </w: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eastAsia="zh-CN"/>
              </w:rPr>
              <w:t>拟建设</w:t>
            </w:r>
            <w:r>
              <w:rPr>
                <w:rFonts w:hint="eastAsia" w:ascii="Times New Roman" w:hAnsi="Times New Roman" w:eastAsia="宋体" w:cs="Times New Roman"/>
                <w:color w:val="auto"/>
                <w:kern w:val="0"/>
                <w:sz w:val="24"/>
                <w:highlight w:val="none"/>
                <w:lang w:val="en-US" w:eastAsia="zh-CN"/>
              </w:rPr>
              <w:t>一座民用爆炸物品储存库，该项目规划用地17亩。包括三个储量5吨的炸药库（其中一个炸药与导爆索隔离储存），一个储量2</w:t>
            </w:r>
            <w:r>
              <w:rPr>
                <w:rFonts w:hint="eastAsia" w:cs="Times New Roman"/>
                <w:color w:val="auto"/>
                <w:kern w:val="0"/>
                <w:sz w:val="24"/>
                <w:highlight w:val="none"/>
                <w:lang w:val="en-US" w:eastAsia="zh-CN"/>
              </w:rPr>
              <w:t>万</w:t>
            </w:r>
            <w:r>
              <w:rPr>
                <w:rFonts w:hint="eastAsia" w:ascii="Times New Roman" w:hAnsi="Times New Roman" w:eastAsia="宋体" w:cs="Times New Roman"/>
                <w:color w:val="auto"/>
                <w:kern w:val="0"/>
                <w:sz w:val="24"/>
                <w:highlight w:val="none"/>
                <w:lang w:val="en-US" w:eastAsia="zh-CN"/>
              </w:rPr>
              <w:t>发的雷管库，以及该储存库配套的设施设备如值班室、安防设施、防雷设施、消防设施等</w:t>
            </w:r>
            <w:r>
              <w:rPr>
                <w:rFonts w:hint="eastAsia" w:ascii="Times New Roman" w:hAnsi="Times New Roman" w:eastAsia="宋体" w:cs="Times New Roman"/>
                <w:color w:val="auto"/>
                <w:kern w:val="0"/>
                <w:sz w:val="24"/>
                <w:highlight w:val="none"/>
              </w:rPr>
              <w:t>。项目总投资</w:t>
            </w:r>
            <w:r>
              <w:rPr>
                <w:rFonts w:hint="eastAsia" w:ascii="Times New Roman" w:hAnsi="Times New Roman" w:eastAsia="宋体" w:cs="Times New Roman"/>
                <w:color w:val="auto"/>
                <w:kern w:val="0"/>
                <w:sz w:val="24"/>
                <w:highlight w:val="none"/>
                <w:lang w:val="en-US" w:eastAsia="zh-CN"/>
              </w:rPr>
              <w:t>530</w:t>
            </w:r>
            <w:r>
              <w:rPr>
                <w:rFonts w:hint="eastAsia" w:ascii="Times New Roman" w:hAnsi="Times New Roman" w:eastAsia="宋体" w:cs="Times New Roman"/>
                <w:color w:val="auto"/>
                <w:kern w:val="0"/>
                <w:sz w:val="24"/>
                <w:highlight w:val="none"/>
              </w:rPr>
              <w:t>万元，</w:t>
            </w:r>
            <w:r>
              <w:rPr>
                <w:rFonts w:hint="eastAsia" w:ascii="Times New Roman" w:hAnsi="Times New Roman" w:eastAsia="宋体" w:cs="Times New Roman"/>
                <w:color w:val="auto"/>
                <w:kern w:val="0"/>
                <w:sz w:val="24"/>
                <w:highlight w:val="none"/>
                <w:lang w:eastAsia="zh-CN"/>
              </w:rPr>
              <w:t>环保投资</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5万元，占比</w:t>
            </w:r>
            <w:r>
              <w:rPr>
                <w:rFonts w:hint="eastAsia" w:cs="Times New Roman"/>
                <w:color w:val="auto"/>
                <w:kern w:val="0"/>
                <w:sz w:val="24"/>
                <w:highlight w:val="none"/>
                <w:lang w:val="en-US" w:eastAsia="zh-CN"/>
              </w:rPr>
              <w:t>4.72</w:t>
            </w:r>
            <w:r>
              <w:rPr>
                <w:rFonts w:hint="eastAsia" w:ascii="Times New Roman" w:hAnsi="Times New Roman" w:eastAsia="宋体" w:cs="Times New Roman"/>
                <w:color w:val="auto"/>
                <w:kern w:val="0"/>
                <w:sz w:val="24"/>
                <w:highlight w:val="none"/>
                <w:lang w:val="en-US" w:eastAsia="zh-CN"/>
              </w:rPr>
              <w:t>%。</w:t>
            </w:r>
          </w:p>
          <w:p w14:paraId="07FB5F35">
            <w:pPr>
              <w:autoSpaceDE w:val="0"/>
              <w:autoSpaceDN w:val="0"/>
              <w:spacing w:before="120" w:beforeLines="50"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本项目为工业炸药、工业雷管储存项目，</w:t>
            </w:r>
            <w:r>
              <w:rPr>
                <w:rFonts w:hint="eastAsia" w:ascii="Times New Roman" w:hAnsi="Times New Roman" w:eastAsia="宋体" w:cs="Times New Roman"/>
                <w:color w:val="auto"/>
                <w:kern w:val="0"/>
                <w:sz w:val="24"/>
                <w:lang w:val="en-US" w:eastAsia="zh-CN" w:bidi="ar"/>
              </w:rPr>
              <w:t>101炸药库内炸药最大存储量为5t，102炸药库内炸药最大存储量为5t，103炸药库内炸药最大存储量为5t，工业雷管库最大炸药储量为2万发（折算为0.02t硝酸铵）</w:t>
            </w:r>
            <w:r>
              <w:rPr>
                <w:rFonts w:hint="eastAsia" w:ascii="Times New Roman" w:hAnsi="Times New Roman" w:eastAsia="宋体" w:cs="Times New Roman"/>
                <w:color w:val="auto"/>
                <w:kern w:val="0"/>
                <w:sz w:val="24"/>
                <w:lang w:val="en-US" w:eastAsia="zh-CN"/>
              </w:rPr>
              <w:t>。存在的</w:t>
            </w:r>
            <w:r>
              <w:rPr>
                <w:rFonts w:hint="eastAsia" w:ascii="Times New Roman" w:hAnsi="Times New Roman" w:eastAsia="宋体" w:cs="Times New Roman"/>
                <w:color w:val="auto"/>
                <w:kern w:val="0"/>
                <w:sz w:val="24"/>
              </w:rPr>
              <w:t>主要环境风险事故情形为</w:t>
            </w:r>
            <w:r>
              <w:rPr>
                <w:rFonts w:hint="eastAsia" w:ascii="Times New Roman" w:hAnsi="Times New Roman" w:eastAsia="宋体" w:cs="Times New Roman"/>
                <w:color w:val="auto"/>
                <w:kern w:val="0"/>
                <w:sz w:val="24"/>
                <w:lang w:eastAsia="zh-CN"/>
              </w:rPr>
              <w:t>火灾、</w:t>
            </w:r>
            <w:r>
              <w:rPr>
                <w:rFonts w:hint="eastAsia" w:ascii="Times New Roman" w:hAnsi="Times New Roman" w:eastAsia="宋体" w:cs="Times New Roman"/>
                <w:color w:val="auto"/>
                <w:kern w:val="0"/>
                <w:sz w:val="24"/>
              </w:rPr>
              <w:t>爆炸等引发的次生污染物排放。为防范事故和减少危害</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本项目</w:t>
            </w:r>
            <w:r>
              <w:rPr>
                <w:rFonts w:hint="eastAsia" w:ascii="Times New Roman" w:hAnsi="Times New Roman" w:eastAsia="宋体" w:cs="Times New Roman"/>
                <w:color w:val="auto"/>
                <w:kern w:val="0"/>
                <w:sz w:val="24"/>
                <w:lang w:eastAsia="zh-CN"/>
              </w:rPr>
              <w:t>须</w:t>
            </w:r>
            <w:r>
              <w:rPr>
                <w:rFonts w:hint="eastAsia" w:ascii="Times New Roman" w:hAnsi="Times New Roman" w:eastAsia="宋体" w:cs="Times New Roman"/>
                <w:color w:val="auto"/>
                <w:kern w:val="0"/>
                <w:sz w:val="24"/>
              </w:rPr>
              <w:t>风险防范措施和应急措施及预案，在各环境风险防范措施落实到位的情况下，可大大降低本项目的环境风险，最大程度减少可能对环境造成的危害。</w:t>
            </w:r>
          </w:p>
          <w:p w14:paraId="111F8761">
            <w:pPr>
              <w:autoSpaceDE w:val="0"/>
              <w:autoSpaceDN w:val="0"/>
              <w:spacing w:before="120" w:beforeLines="50" w:line="360" w:lineRule="auto"/>
              <w:ind w:firstLine="480" w:firstLineChars="200"/>
              <w:rPr>
                <w:rFonts w:hint="default"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eastAsia="zh-CN"/>
              </w:rPr>
              <w:t>综上，</w:t>
            </w:r>
            <w:r>
              <w:rPr>
                <w:rFonts w:hint="default" w:ascii="Times New Roman" w:hAnsi="Times New Roman" w:eastAsia="宋体" w:cs="Times New Roman"/>
                <w:color w:val="auto"/>
                <w:kern w:val="0"/>
                <w:sz w:val="24"/>
              </w:rPr>
              <w:t>本项目在生产过程中会产生废气、废水、噪声、固体废物等，</w:t>
            </w:r>
            <w:r>
              <w:rPr>
                <w:rFonts w:hint="eastAsia" w:ascii="Times New Roman" w:hAnsi="Times New Roman" w:eastAsia="宋体" w:cs="Times New Roman"/>
                <w:color w:val="auto"/>
                <w:kern w:val="0"/>
                <w:sz w:val="24"/>
                <w:lang w:eastAsia="zh-CN"/>
              </w:rPr>
              <w:t>存在</w:t>
            </w:r>
            <w:r>
              <w:rPr>
                <w:rFonts w:hint="eastAsia" w:ascii="Times New Roman" w:hAnsi="Times New Roman" w:eastAsia="宋体" w:cs="Times New Roman"/>
                <w:color w:val="auto"/>
                <w:kern w:val="0"/>
                <w:sz w:val="24"/>
              </w:rPr>
              <w:t>次生污染物排放</w:t>
            </w:r>
            <w:r>
              <w:rPr>
                <w:rFonts w:hint="eastAsia" w:ascii="Times New Roman" w:hAnsi="Times New Roman" w:eastAsia="宋体" w:cs="Times New Roman"/>
                <w:color w:val="auto"/>
                <w:kern w:val="0"/>
                <w:sz w:val="24"/>
                <w:lang w:eastAsia="zh-CN"/>
              </w:rPr>
              <w:t>风险，</w:t>
            </w:r>
            <w:r>
              <w:rPr>
                <w:rFonts w:hint="default" w:ascii="Times New Roman" w:hAnsi="Times New Roman" w:eastAsia="宋体" w:cs="Times New Roman"/>
                <w:color w:val="auto"/>
                <w:kern w:val="0"/>
                <w:sz w:val="24"/>
              </w:rPr>
              <w:t>在全面落实本报告表提出的各项环境保护措施</w:t>
            </w:r>
            <w:r>
              <w:rPr>
                <w:rFonts w:hint="eastAsia" w:ascii="Times New Roman" w:hAnsi="Times New Roman" w:eastAsia="宋体" w:cs="Times New Roman"/>
                <w:color w:val="auto"/>
                <w:kern w:val="0"/>
                <w:sz w:val="24"/>
                <w:lang w:eastAsia="zh-CN"/>
              </w:rPr>
              <w:t>和风险防范措施</w:t>
            </w:r>
            <w:r>
              <w:rPr>
                <w:rFonts w:hint="default" w:ascii="Times New Roman" w:hAnsi="Times New Roman" w:eastAsia="宋体" w:cs="Times New Roman"/>
                <w:color w:val="auto"/>
                <w:kern w:val="0"/>
                <w:sz w:val="24"/>
              </w:rPr>
              <w:t>的基础上，切实做到“三同时”，并在营运期内持之以恒加强环境管理的前提下，从环境保护角度，本项目环境影响可行</w:t>
            </w:r>
            <w:r>
              <w:rPr>
                <w:rFonts w:hint="eastAsia" w:ascii="Times New Roman" w:hAnsi="Times New Roman" w:eastAsia="宋体" w:cs="Times New Roman"/>
                <w:color w:val="auto"/>
                <w:kern w:val="0"/>
                <w:sz w:val="24"/>
                <w:lang w:eastAsia="zh-CN"/>
              </w:rPr>
              <w:t>，环境风险影响水平可接受</w:t>
            </w:r>
            <w:r>
              <w:rPr>
                <w:rFonts w:hint="default" w:ascii="Times New Roman" w:hAnsi="Times New Roman" w:eastAsia="宋体" w:cs="Times New Roman"/>
                <w:color w:val="auto"/>
                <w:kern w:val="0"/>
                <w:sz w:val="24"/>
              </w:rPr>
              <w:t>。</w:t>
            </w:r>
          </w:p>
          <w:p w14:paraId="05DDB3E7">
            <w:pPr>
              <w:spacing w:line="360" w:lineRule="auto"/>
              <w:rPr>
                <w:rFonts w:hint="default" w:ascii="Times New Roman" w:hAnsi="Times New Roman" w:cs="Times New Roman"/>
                <w:color w:val="auto"/>
              </w:rPr>
            </w:pPr>
          </w:p>
          <w:p w14:paraId="254B46DD">
            <w:pPr>
              <w:rPr>
                <w:rFonts w:hint="default" w:ascii="Times New Roman" w:hAnsi="Times New Roman" w:cs="Times New Roman"/>
                <w:color w:val="auto"/>
              </w:rPr>
            </w:pPr>
          </w:p>
          <w:p w14:paraId="53EA4AA0">
            <w:pPr>
              <w:pStyle w:val="18"/>
              <w:rPr>
                <w:rFonts w:hint="default" w:ascii="Times New Roman" w:hAnsi="Times New Roman" w:cs="Times New Roman"/>
                <w:color w:val="auto"/>
              </w:rPr>
            </w:pPr>
          </w:p>
          <w:p w14:paraId="5E3DBAC2">
            <w:pPr>
              <w:rPr>
                <w:rFonts w:hint="default" w:ascii="Times New Roman" w:hAnsi="Times New Roman" w:cs="Times New Roman"/>
                <w:color w:val="auto"/>
              </w:rPr>
            </w:pPr>
          </w:p>
          <w:p w14:paraId="01328E21">
            <w:pPr>
              <w:pStyle w:val="18"/>
              <w:rPr>
                <w:rFonts w:hint="default" w:ascii="Times New Roman" w:hAnsi="Times New Roman" w:cs="Times New Roman"/>
                <w:color w:val="auto"/>
              </w:rPr>
            </w:pPr>
          </w:p>
          <w:p w14:paraId="0B833FD0">
            <w:pPr>
              <w:pStyle w:val="18"/>
              <w:rPr>
                <w:rFonts w:hint="default" w:ascii="Times New Roman" w:hAnsi="Times New Roman" w:cs="Times New Roman"/>
                <w:color w:val="auto"/>
              </w:rPr>
            </w:pPr>
          </w:p>
        </w:tc>
      </w:tr>
    </w:tbl>
    <w:p w14:paraId="7C9F89C5">
      <w:pPr>
        <w:spacing w:line="360" w:lineRule="auto"/>
        <w:outlineLvl w:val="0"/>
        <w:rPr>
          <w:rFonts w:hint="default" w:ascii="Times New Roman" w:hAnsi="Times New Roman" w:eastAsia="黑体" w:cs="Times New Roman"/>
          <w:color w:val="auto"/>
          <w:sz w:val="32"/>
          <w:szCs w:val="32"/>
        </w:rPr>
        <w:sectPr>
          <w:pgSz w:w="11906" w:h="16838"/>
          <w:pgMar w:top="1440" w:right="1803" w:bottom="1440" w:left="1803" w:header="850" w:footer="851" w:gutter="0"/>
          <w:pgBorders>
            <w:top w:val="none" w:sz="0" w:space="0"/>
            <w:left w:val="none" w:sz="0" w:space="0"/>
            <w:bottom w:val="none" w:sz="0" w:space="0"/>
            <w:right w:val="none" w:sz="0" w:space="0"/>
          </w:pgBorders>
          <w:cols w:space="720" w:num="1"/>
          <w:docGrid w:linePitch="312" w:charSpace="0"/>
        </w:sectPr>
      </w:pPr>
      <w:bookmarkStart w:id="65" w:name="_Toc9245"/>
      <w:bookmarkStart w:id="66" w:name="_Toc56591638"/>
      <w:bookmarkStart w:id="67" w:name="_Toc49849368"/>
    </w:p>
    <w:p w14:paraId="6E4AC4DE">
      <w:pPr>
        <w:pStyle w:val="32"/>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68" w:name="_Toc28832"/>
      <w:bookmarkStart w:id="69" w:name="_Toc31654"/>
      <w:r>
        <w:rPr>
          <w:rFonts w:hint="default" w:ascii="Times New Roman" w:hAnsi="Times New Roman" w:eastAsia="黑体" w:cs="Times New Roman"/>
          <w:color w:val="auto"/>
          <w:sz w:val="28"/>
          <w:szCs w:val="28"/>
        </w:rPr>
        <w:t>附表</w:t>
      </w:r>
      <w:bookmarkEnd w:id="68"/>
      <w:bookmarkEnd w:id="69"/>
    </w:p>
    <w:p w14:paraId="456F758E">
      <w:pPr>
        <w:pStyle w:val="32"/>
        <w:adjustRightInd w:val="0"/>
        <w:spacing w:before="0" w:beforeAutospacing="0" w:after="0" w:afterAutospacing="0"/>
        <w:jc w:val="center"/>
        <w:rPr>
          <w:rFonts w:hint="default" w:ascii="Times New Roman" w:hAnsi="Times New Roman" w:eastAsia="方正小标宋_GBK" w:cs="Times New Roman"/>
          <w:snapToGrid w:val="0"/>
          <w:color w:val="auto"/>
          <w:sz w:val="38"/>
          <w:szCs w:val="38"/>
        </w:rPr>
      </w:pPr>
      <w:bookmarkStart w:id="70" w:name="_Toc32570"/>
      <w:r>
        <w:rPr>
          <w:rFonts w:hint="default" w:ascii="Times New Roman" w:hAnsi="Times New Roman" w:eastAsia="方正小标宋_GBK" w:cs="Times New Roman"/>
          <w:snapToGrid w:val="0"/>
          <w:color w:val="auto"/>
          <w:sz w:val="38"/>
          <w:szCs w:val="38"/>
        </w:rPr>
        <w:t>建设项目污染物排放量汇总表</w:t>
      </w:r>
      <w:bookmarkEnd w:id="70"/>
    </w:p>
    <w:tbl>
      <w:tblPr>
        <w:tblStyle w:val="36"/>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75"/>
        <w:gridCol w:w="1543"/>
        <w:gridCol w:w="1276"/>
        <w:gridCol w:w="1701"/>
        <w:gridCol w:w="1559"/>
        <w:gridCol w:w="1761"/>
        <w:gridCol w:w="1454"/>
        <w:gridCol w:w="1331"/>
      </w:tblGrid>
      <w:tr w14:paraId="4B8FD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14:paraId="5FFD9AA1">
            <w:pPr>
              <w:pStyle w:val="76"/>
              <w:spacing w:beforeLines="0" w:afterLines="0" w:line="240" w:lineRule="auto"/>
              <w:ind w:left="420" w:hanging="420"/>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1F220EB9">
            <w:pPr>
              <w:pStyle w:val="76"/>
              <w:spacing w:beforeLines="0" w:afterLines="0" w:line="240" w:lineRule="auto"/>
              <w:ind w:left="420" w:hanging="420"/>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5" w:type="dxa"/>
            <w:tcMar>
              <w:left w:w="28" w:type="dxa"/>
              <w:right w:w="28" w:type="dxa"/>
            </w:tcMar>
            <w:vAlign w:val="center"/>
          </w:tcPr>
          <w:p w14:paraId="789B88D3">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污染物名称</w:t>
            </w:r>
          </w:p>
        </w:tc>
        <w:tc>
          <w:tcPr>
            <w:tcW w:w="1543" w:type="dxa"/>
            <w:tcMar>
              <w:left w:w="28" w:type="dxa"/>
              <w:right w:w="28" w:type="dxa"/>
            </w:tcMar>
            <w:vAlign w:val="center"/>
          </w:tcPr>
          <w:p w14:paraId="01DCFAA5">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现有工程</w:t>
            </w:r>
          </w:p>
          <w:p w14:paraId="15884650">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1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①</w:t>
            </w:r>
            <w:r>
              <w:rPr>
                <w:rFonts w:hint="default" w:ascii="Times New Roman" w:hAnsi="Times New Roman" w:cs="Times New Roman"/>
                <w:b/>
                <w:bCs/>
                <w:color w:val="auto"/>
                <w:sz w:val="18"/>
                <w:szCs w:val="18"/>
              </w:rPr>
              <w:fldChar w:fldCharType="end"/>
            </w:r>
          </w:p>
        </w:tc>
        <w:tc>
          <w:tcPr>
            <w:tcW w:w="1276" w:type="dxa"/>
            <w:tcMar>
              <w:left w:w="28" w:type="dxa"/>
              <w:right w:w="28" w:type="dxa"/>
            </w:tcMar>
            <w:vAlign w:val="center"/>
          </w:tcPr>
          <w:p w14:paraId="27FE31A6">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现有工程</w:t>
            </w:r>
          </w:p>
          <w:p w14:paraId="5DC37BD4">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许可排放量</w:t>
            </w:r>
          </w:p>
          <w:p w14:paraId="2F725BA5">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2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②</w:t>
            </w:r>
            <w:r>
              <w:rPr>
                <w:rFonts w:hint="default" w:ascii="Times New Roman" w:hAnsi="Times New Roman" w:cs="Times New Roman"/>
                <w:b/>
                <w:bCs/>
                <w:color w:val="auto"/>
                <w:sz w:val="18"/>
                <w:szCs w:val="18"/>
              </w:rPr>
              <w:fldChar w:fldCharType="end"/>
            </w:r>
          </w:p>
        </w:tc>
        <w:tc>
          <w:tcPr>
            <w:tcW w:w="1701" w:type="dxa"/>
            <w:tcMar>
              <w:left w:w="28" w:type="dxa"/>
              <w:right w:w="28" w:type="dxa"/>
            </w:tcMar>
            <w:vAlign w:val="center"/>
          </w:tcPr>
          <w:p w14:paraId="5132846F">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拟建工程</w:t>
            </w:r>
          </w:p>
          <w:p w14:paraId="1A0F78B5">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3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③</w:t>
            </w:r>
            <w:r>
              <w:rPr>
                <w:rFonts w:hint="default" w:ascii="Times New Roman" w:hAnsi="Times New Roman" w:cs="Times New Roman"/>
                <w:b/>
                <w:bCs/>
                <w:color w:val="auto"/>
                <w:sz w:val="18"/>
                <w:szCs w:val="18"/>
              </w:rPr>
              <w:fldChar w:fldCharType="end"/>
            </w:r>
          </w:p>
        </w:tc>
        <w:tc>
          <w:tcPr>
            <w:tcW w:w="1559" w:type="dxa"/>
            <w:tcMar>
              <w:left w:w="28" w:type="dxa"/>
              <w:right w:w="28" w:type="dxa"/>
            </w:tcMar>
            <w:vAlign w:val="center"/>
          </w:tcPr>
          <w:p w14:paraId="5E967E2F">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w:t>
            </w:r>
          </w:p>
          <w:p w14:paraId="4E73C763">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4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④</w:t>
            </w:r>
            <w:r>
              <w:rPr>
                <w:rFonts w:hint="default" w:ascii="Times New Roman" w:hAnsi="Times New Roman" w:cs="Times New Roman"/>
                <w:b/>
                <w:bCs/>
                <w:color w:val="auto"/>
                <w:sz w:val="18"/>
                <w:szCs w:val="18"/>
              </w:rPr>
              <w:fldChar w:fldCharType="end"/>
            </w:r>
          </w:p>
        </w:tc>
        <w:tc>
          <w:tcPr>
            <w:tcW w:w="1761" w:type="dxa"/>
            <w:tcMar>
              <w:left w:w="28" w:type="dxa"/>
              <w:right w:w="28" w:type="dxa"/>
            </w:tcMar>
            <w:vAlign w:val="center"/>
          </w:tcPr>
          <w:p w14:paraId="4AB4F389">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以新带老削减量</w:t>
            </w:r>
          </w:p>
          <w:p w14:paraId="1AEFAF0E">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（新建项目不填）</w:t>
            </w:r>
          </w:p>
          <w:p w14:paraId="781B6F38">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5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⑤</w:t>
            </w:r>
            <w:r>
              <w:rPr>
                <w:rFonts w:hint="default" w:ascii="Times New Roman" w:hAnsi="Times New Roman" w:cs="Times New Roman"/>
                <w:b/>
                <w:bCs/>
                <w:color w:val="auto"/>
                <w:sz w:val="18"/>
                <w:szCs w:val="18"/>
              </w:rPr>
              <w:fldChar w:fldCharType="end"/>
            </w:r>
          </w:p>
        </w:tc>
        <w:tc>
          <w:tcPr>
            <w:tcW w:w="1454" w:type="dxa"/>
            <w:tcMar>
              <w:left w:w="28" w:type="dxa"/>
              <w:right w:w="28" w:type="dxa"/>
            </w:tcMar>
            <w:vAlign w:val="center"/>
          </w:tcPr>
          <w:p w14:paraId="4F86ADF4">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本项目建成后</w:t>
            </w:r>
          </w:p>
          <w:p w14:paraId="7CCC5828">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全厂排放量（固体废物产生量）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6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⑥</w:t>
            </w:r>
            <w:r>
              <w:rPr>
                <w:rFonts w:hint="default" w:ascii="Times New Roman" w:hAnsi="Times New Roman" w:cs="Times New Roman"/>
                <w:b/>
                <w:bCs/>
                <w:color w:val="auto"/>
                <w:sz w:val="18"/>
                <w:szCs w:val="18"/>
              </w:rPr>
              <w:fldChar w:fldCharType="end"/>
            </w:r>
          </w:p>
        </w:tc>
        <w:tc>
          <w:tcPr>
            <w:tcW w:w="1331" w:type="dxa"/>
            <w:tcMar>
              <w:left w:w="28" w:type="dxa"/>
              <w:right w:w="28" w:type="dxa"/>
            </w:tcMar>
            <w:vAlign w:val="center"/>
          </w:tcPr>
          <w:p w14:paraId="465EF3A9">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变化量</w:t>
            </w:r>
          </w:p>
          <w:p w14:paraId="43B6816C">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7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⑦</w:t>
            </w:r>
            <w:r>
              <w:rPr>
                <w:rFonts w:hint="default" w:ascii="Times New Roman" w:hAnsi="Times New Roman" w:cs="Times New Roman"/>
                <w:b/>
                <w:bCs/>
                <w:color w:val="auto"/>
                <w:sz w:val="18"/>
                <w:szCs w:val="18"/>
              </w:rPr>
              <w:fldChar w:fldCharType="end"/>
            </w:r>
          </w:p>
        </w:tc>
      </w:tr>
      <w:tr w14:paraId="7E423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6912E8B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575" w:type="dxa"/>
            <w:vAlign w:val="center"/>
          </w:tcPr>
          <w:p w14:paraId="1577847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颗粒物（t/a）</w:t>
            </w:r>
          </w:p>
        </w:tc>
        <w:tc>
          <w:tcPr>
            <w:tcW w:w="1543" w:type="dxa"/>
            <w:vAlign w:val="center"/>
          </w:tcPr>
          <w:p w14:paraId="252168A1">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276" w:type="dxa"/>
            <w:vAlign w:val="center"/>
          </w:tcPr>
          <w:p w14:paraId="0DB7A017">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701" w:type="dxa"/>
            <w:vAlign w:val="center"/>
          </w:tcPr>
          <w:p w14:paraId="58853D4A">
            <w:pPr>
              <w:widowControl/>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59" w:type="dxa"/>
            <w:vAlign w:val="center"/>
          </w:tcPr>
          <w:p w14:paraId="0A8D1CC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62967A9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1E949A5">
            <w:pPr>
              <w:widowControl/>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31" w:type="dxa"/>
            <w:vAlign w:val="center"/>
          </w:tcPr>
          <w:p w14:paraId="2DBB1C8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6518A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DFF5870">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57F0A1B8">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(t/a)</w:t>
            </w:r>
          </w:p>
        </w:tc>
        <w:tc>
          <w:tcPr>
            <w:tcW w:w="1543" w:type="dxa"/>
            <w:vAlign w:val="center"/>
          </w:tcPr>
          <w:p w14:paraId="4578F24D">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276" w:type="dxa"/>
            <w:vAlign w:val="center"/>
          </w:tcPr>
          <w:p w14:paraId="4BF44160">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701" w:type="dxa"/>
            <w:vAlign w:val="center"/>
          </w:tcPr>
          <w:p w14:paraId="747CCBB3">
            <w:pPr>
              <w:widowControl/>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59" w:type="dxa"/>
            <w:vAlign w:val="center"/>
          </w:tcPr>
          <w:p w14:paraId="729F8B55">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6DB13F1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3CDBE34">
            <w:pPr>
              <w:widowControl/>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31" w:type="dxa"/>
            <w:vAlign w:val="center"/>
          </w:tcPr>
          <w:p w14:paraId="4706A5E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62008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7D072FB1">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17BD9C4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NOx(t/a)</w:t>
            </w:r>
          </w:p>
        </w:tc>
        <w:tc>
          <w:tcPr>
            <w:tcW w:w="1543" w:type="dxa"/>
            <w:vAlign w:val="center"/>
          </w:tcPr>
          <w:p w14:paraId="602116C0">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276" w:type="dxa"/>
            <w:vAlign w:val="center"/>
          </w:tcPr>
          <w:p w14:paraId="70729E1C">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701" w:type="dxa"/>
            <w:vAlign w:val="center"/>
          </w:tcPr>
          <w:p w14:paraId="78289A9E">
            <w:pPr>
              <w:widowControl/>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59" w:type="dxa"/>
            <w:vAlign w:val="center"/>
          </w:tcPr>
          <w:p w14:paraId="48C0A8B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221658E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E5DE552">
            <w:pPr>
              <w:widowControl/>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31" w:type="dxa"/>
            <w:vAlign w:val="center"/>
          </w:tcPr>
          <w:p w14:paraId="03334C3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73550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8ED8888">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5B9BAB0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无组织颗粒物（t/a）</w:t>
            </w:r>
          </w:p>
        </w:tc>
        <w:tc>
          <w:tcPr>
            <w:tcW w:w="1543" w:type="dxa"/>
            <w:vAlign w:val="center"/>
          </w:tcPr>
          <w:p w14:paraId="7DFD6C1B">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276" w:type="dxa"/>
            <w:vAlign w:val="center"/>
          </w:tcPr>
          <w:p w14:paraId="7E2940F7">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701" w:type="dxa"/>
            <w:vAlign w:val="center"/>
          </w:tcPr>
          <w:p w14:paraId="0FAE38FF">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59" w:type="dxa"/>
            <w:vAlign w:val="center"/>
          </w:tcPr>
          <w:p w14:paraId="29CD4C7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43FAD25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0864F38F">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31" w:type="dxa"/>
            <w:vAlign w:val="center"/>
          </w:tcPr>
          <w:p w14:paraId="23E06A2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0E621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20C586F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575" w:type="dxa"/>
            <w:vAlign w:val="center"/>
          </w:tcPr>
          <w:p w14:paraId="54D6A26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生活污水（t/a）</w:t>
            </w:r>
          </w:p>
        </w:tc>
        <w:tc>
          <w:tcPr>
            <w:tcW w:w="1543" w:type="dxa"/>
            <w:vAlign w:val="center"/>
          </w:tcPr>
          <w:p w14:paraId="4920C42C">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276" w:type="dxa"/>
            <w:vAlign w:val="center"/>
          </w:tcPr>
          <w:p w14:paraId="0912B0C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2D140E7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757AEA9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07860E5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3CE068F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331" w:type="dxa"/>
            <w:vAlign w:val="center"/>
          </w:tcPr>
          <w:p w14:paraId="0828556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564A0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3AD23E4">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0446D35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生产废水（t/a）</w:t>
            </w:r>
          </w:p>
        </w:tc>
        <w:tc>
          <w:tcPr>
            <w:tcW w:w="1543" w:type="dxa"/>
            <w:vAlign w:val="center"/>
          </w:tcPr>
          <w:p w14:paraId="2C26B7ED">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276" w:type="dxa"/>
            <w:vAlign w:val="center"/>
          </w:tcPr>
          <w:p w14:paraId="646ADA95">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72507E0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14FF2AE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1C1DDCD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0AD5CA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331" w:type="dxa"/>
            <w:vAlign w:val="center"/>
          </w:tcPr>
          <w:p w14:paraId="55C7350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65981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19FBCC5">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一般工业</w:t>
            </w:r>
          </w:p>
          <w:p w14:paraId="1819B5D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固体废物</w:t>
            </w:r>
          </w:p>
        </w:tc>
        <w:tc>
          <w:tcPr>
            <w:tcW w:w="1575" w:type="dxa"/>
            <w:vAlign w:val="center"/>
          </w:tcPr>
          <w:p w14:paraId="2D6114A1">
            <w:pPr>
              <w:pStyle w:val="4"/>
              <w:adjustRightInd/>
              <w:spacing w:line="276"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废包装材料（t/a）</w:t>
            </w:r>
          </w:p>
        </w:tc>
        <w:tc>
          <w:tcPr>
            <w:tcW w:w="1543" w:type="dxa"/>
            <w:vAlign w:val="center"/>
          </w:tcPr>
          <w:p w14:paraId="00612814">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276" w:type="dxa"/>
            <w:vAlign w:val="center"/>
          </w:tcPr>
          <w:p w14:paraId="2A4B349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222DA74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4C781568">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0.23</w:t>
            </w:r>
          </w:p>
        </w:tc>
        <w:tc>
          <w:tcPr>
            <w:tcW w:w="1761" w:type="dxa"/>
            <w:vAlign w:val="center"/>
          </w:tcPr>
          <w:p w14:paraId="35DA07D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54" w:type="dxa"/>
            <w:vAlign w:val="center"/>
          </w:tcPr>
          <w:p w14:paraId="086C2492">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0.23</w:t>
            </w:r>
          </w:p>
        </w:tc>
        <w:tc>
          <w:tcPr>
            <w:tcW w:w="1331" w:type="dxa"/>
            <w:vAlign w:val="center"/>
          </w:tcPr>
          <w:p w14:paraId="37C39782">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0.23</w:t>
            </w:r>
          </w:p>
        </w:tc>
      </w:tr>
      <w:tr w14:paraId="15AD8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106B225">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08AF73CD">
            <w:pPr>
              <w:pStyle w:val="4"/>
              <w:adjustRightInd/>
              <w:spacing w:line="276"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生活垃圾（t/a）</w:t>
            </w:r>
          </w:p>
        </w:tc>
        <w:tc>
          <w:tcPr>
            <w:tcW w:w="1543" w:type="dxa"/>
            <w:vAlign w:val="center"/>
          </w:tcPr>
          <w:p w14:paraId="4CADDCA0">
            <w:pPr>
              <w:spacing w:before="24" w:beforeLines="10" w:after="24" w:afterLines="10"/>
              <w:jc w:val="center"/>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276" w:type="dxa"/>
            <w:vAlign w:val="center"/>
          </w:tcPr>
          <w:p w14:paraId="01E17ED1">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701" w:type="dxa"/>
            <w:vAlign w:val="center"/>
          </w:tcPr>
          <w:p w14:paraId="2994352E">
            <w:pPr>
              <w:spacing w:before="24" w:beforeLines="10" w:after="24" w:afterLines="1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59" w:type="dxa"/>
            <w:vAlign w:val="center"/>
          </w:tcPr>
          <w:p w14:paraId="35FDC206">
            <w:pPr>
              <w:spacing w:before="24" w:beforeLines="10" w:after="24" w:afterLines="1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4.38</w:t>
            </w:r>
          </w:p>
        </w:tc>
        <w:tc>
          <w:tcPr>
            <w:tcW w:w="1761" w:type="dxa"/>
            <w:vAlign w:val="center"/>
          </w:tcPr>
          <w:p w14:paraId="5441410A">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454" w:type="dxa"/>
            <w:vAlign w:val="center"/>
          </w:tcPr>
          <w:p w14:paraId="7B30D26D">
            <w:pPr>
              <w:spacing w:before="24" w:beforeLines="10" w:after="24" w:afterLines="1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4.38</w:t>
            </w:r>
          </w:p>
        </w:tc>
        <w:tc>
          <w:tcPr>
            <w:tcW w:w="1331" w:type="dxa"/>
            <w:vAlign w:val="center"/>
          </w:tcPr>
          <w:p w14:paraId="7C577B12">
            <w:pPr>
              <w:spacing w:before="24" w:beforeLines="10" w:after="24" w:afterLines="1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+4.38</w:t>
            </w:r>
          </w:p>
        </w:tc>
      </w:tr>
      <w:tr w14:paraId="450BD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12EA01D">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70C78826">
            <w:pPr>
              <w:pStyle w:val="4"/>
              <w:adjustRightInd/>
              <w:spacing w:line="276"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化粪池污泥（t/a）</w:t>
            </w:r>
          </w:p>
        </w:tc>
        <w:tc>
          <w:tcPr>
            <w:tcW w:w="1543" w:type="dxa"/>
            <w:vAlign w:val="center"/>
          </w:tcPr>
          <w:p w14:paraId="31BF05B4">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276" w:type="dxa"/>
            <w:vAlign w:val="center"/>
          </w:tcPr>
          <w:p w14:paraId="084A937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30075A1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251766B1">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0.053</w:t>
            </w:r>
          </w:p>
        </w:tc>
        <w:tc>
          <w:tcPr>
            <w:tcW w:w="1761" w:type="dxa"/>
            <w:vAlign w:val="center"/>
          </w:tcPr>
          <w:p w14:paraId="0DCB5B5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54" w:type="dxa"/>
            <w:vAlign w:val="center"/>
          </w:tcPr>
          <w:p w14:paraId="4D7BAD36">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0.053</w:t>
            </w:r>
          </w:p>
        </w:tc>
        <w:tc>
          <w:tcPr>
            <w:tcW w:w="1331" w:type="dxa"/>
            <w:vAlign w:val="center"/>
          </w:tcPr>
          <w:p w14:paraId="1CB0C896">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0.053</w:t>
            </w:r>
          </w:p>
        </w:tc>
      </w:tr>
      <w:tr w14:paraId="4D6A1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3868C78">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w:t>
            </w:r>
          </w:p>
        </w:tc>
        <w:tc>
          <w:tcPr>
            <w:tcW w:w="1575" w:type="dxa"/>
            <w:vAlign w:val="center"/>
          </w:tcPr>
          <w:p w14:paraId="0BC7C2D2">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变质、失效及过期的爆破器材</w:t>
            </w:r>
          </w:p>
        </w:tc>
        <w:tc>
          <w:tcPr>
            <w:tcW w:w="1543" w:type="dxa"/>
            <w:vAlign w:val="center"/>
          </w:tcPr>
          <w:p w14:paraId="0989A312">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276" w:type="dxa"/>
            <w:vAlign w:val="center"/>
          </w:tcPr>
          <w:p w14:paraId="0041A68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719E83B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692F5121">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w:t>
            </w:r>
          </w:p>
        </w:tc>
        <w:tc>
          <w:tcPr>
            <w:tcW w:w="1761" w:type="dxa"/>
            <w:vAlign w:val="center"/>
          </w:tcPr>
          <w:p w14:paraId="574844D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54" w:type="dxa"/>
            <w:vAlign w:val="center"/>
          </w:tcPr>
          <w:p w14:paraId="0A84DA00">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w:t>
            </w:r>
          </w:p>
        </w:tc>
        <w:tc>
          <w:tcPr>
            <w:tcW w:w="1331" w:type="dxa"/>
            <w:vAlign w:val="center"/>
          </w:tcPr>
          <w:p w14:paraId="25ABDDD6">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+0.05</w:t>
            </w:r>
          </w:p>
        </w:tc>
      </w:tr>
      <w:tr w14:paraId="6AD4D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ABB3D04">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27D4445F">
            <w:pPr>
              <w:spacing w:before="24" w:beforeLines="10" w:after="24" w:afterLine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w:t>
            </w:r>
          </w:p>
        </w:tc>
        <w:tc>
          <w:tcPr>
            <w:tcW w:w="1543" w:type="dxa"/>
            <w:vAlign w:val="center"/>
          </w:tcPr>
          <w:p w14:paraId="57B3A0F4">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276" w:type="dxa"/>
            <w:vAlign w:val="center"/>
          </w:tcPr>
          <w:p w14:paraId="59B2F569">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701" w:type="dxa"/>
            <w:vAlign w:val="center"/>
          </w:tcPr>
          <w:p w14:paraId="3211ECF0">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559" w:type="dxa"/>
            <w:vAlign w:val="center"/>
          </w:tcPr>
          <w:p w14:paraId="7023F169">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1761" w:type="dxa"/>
            <w:vAlign w:val="center"/>
          </w:tcPr>
          <w:p w14:paraId="383A03C3">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454" w:type="dxa"/>
            <w:vAlign w:val="center"/>
          </w:tcPr>
          <w:p w14:paraId="723C2B3F">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1331" w:type="dxa"/>
            <w:vAlign w:val="center"/>
          </w:tcPr>
          <w:p w14:paraId="33BA524D">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r>
    </w:tbl>
    <w:p w14:paraId="391E4136">
      <w:pPr>
        <w:pStyle w:val="76"/>
        <w:spacing w:beforeLines="0" w:afterLines="0" w:line="360" w:lineRule="auto"/>
        <w:jc w:val="left"/>
        <w:rPr>
          <w:rFonts w:hint="default" w:ascii="Times New Roman" w:hAnsi="Times New Roman" w:eastAsia="黑体"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bookmarkEnd w:id="65"/>
      <w:bookmarkEnd w:id="66"/>
      <w:bookmarkEnd w:id="67"/>
    </w:p>
    <w:sectPr>
      <w:head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方正仿宋_GBK">
    <w:panose1 w:val="03000509000000000000"/>
    <w:charset w:val="86"/>
    <w:family w:val="auto"/>
    <w:pitch w:val="default"/>
    <w:sig w:usb0="00000001" w:usb1="080E0000" w:usb2="00000000" w:usb3="00000000" w:csb0="00040000" w:csb1="00000000"/>
  </w:font>
  <w:font w:name="TimesNewRomanPSMT">
    <w:altName w:val="等线"/>
    <w:panose1 w:val="00000000000000000000"/>
    <w:charset w:val="86"/>
    <w:family w:val="auto"/>
    <w:pitch w:val="default"/>
    <w:sig w:usb0="00000000" w:usb1="00000000" w:usb2="00000010" w:usb3="00000000" w:csb0="0006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93A87">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EDAF">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205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46BDD773">
                          <w:pPr>
                            <w:pStyle w:val="22"/>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wps:txbx>
                    <wps:bodyPr wrap="none" lIns="0" tIns="0" rIns="0" bIns="0">
                      <a:spAutoFit/>
                    </wps:bodyPr>
                  </wps:wsp>
                </a:graphicData>
              </a:graphic>
            </wp:anchor>
          </w:drawing>
        </mc:Choice>
        <mc:Fallback>
          <w:pict>
            <v:shape id="文本框 2055"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V+SdAAAAADAQAADwAAAAAAAAABACAAAAAiAAAAZHJzL2Rvd25yZXYu&#10;eG1sUEsBAhQAFAAAAAgAh07iQHqw//fKAQAAjwMAAA4AAAAAAAAAAQAgAAAAHwEAAGRycy9lMm9E&#10;b2MueG1sUEsFBgAAAAAGAAYAWQEAAFsFAAAAAA==&#10;">
              <v:fill on="f" focussize="0,0"/>
              <v:stroke on="f"/>
              <v:imagedata o:title=""/>
              <o:lock v:ext="edit" aspectratio="f"/>
              <v:textbox inset="0mm,0mm,0mm,0mm" style="mso-fit-shape-to-text:t;">
                <w:txbxContent>
                  <w:p w14:paraId="46BDD773">
                    <w:pPr>
                      <w:pStyle w:val="22"/>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318C">
    <w:pPr>
      <w:spacing w:line="360" w:lineRule="auto"/>
      <w:jc w:val="left"/>
      <w:rPr>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152B">
    <w:pPr>
      <w:spacing w:line="360" w:lineRule="auto"/>
      <w:jc w:val="left"/>
      <w:rPr>
        <w:sz w:val="18"/>
        <w:szCs w:val="18"/>
        <w:u w:val="single"/>
      </w:rPr>
    </w:pPr>
    <w:r>
      <w:rPr>
        <w:rFonts w:hint="eastAsia"/>
        <w:sz w:val="18"/>
        <w:szCs w:val="18"/>
        <w:u w:val="single"/>
      </w:rPr>
      <w:t>玉溪大红山矿业民用爆炸物品储存库建设项目                                     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A8EF">
    <w:pPr>
      <w:spacing w:line="360" w:lineRule="auto"/>
      <w:jc w:val="left"/>
      <w:rPr>
        <w:sz w:val="18"/>
        <w:szCs w:val="18"/>
        <w:u w:val="single"/>
      </w:rPr>
    </w:pPr>
    <w:r>
      <w:rPr>
        <w:rFonts w:hint="eastAsia"/>
        <w:sz w:val="18"/>
        <w:szCs w:val="18"/>
        <w:u w:val="single"/>
      </w:rPr>
      <w:t xml:space="preserve">玉溪大红山矿业民用爆炸物品储存库建设项目 </w:t>
    </w:r>
    <w:r>
      <w:rPr>
        <w:rFonts w:hint="eastAsia"/>
        <w:sz w:val="18"/>
        <w:szCs w:val="18"/>
        <w:u w:val="single"/>
        <w:lang w:val="en-US" w:eastAsia="zh-CN"/>
      </w:rPr>
      <w:t xml:space="preserve">  </w:t>
    </w:r>
    <w:r>
      <w:rPr>
        <w:rFonts w:hint="eastAsia"/>
        <w:sz w:val="18"/>
        <w:szCs w:val="18"/>
        <w:u w:val="single"/>
      </w:rPr>
      <w:t xml:space="preserve">                                                                                           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85431"/>
    <w:multiLevelType w:val="singleLevel"/>
    <w:tmpl w:val="8A885431"/>
    <w:lvl w:ilvl="0" w:tentative="0">
      <w:start w:val="1"/>
      <w:numFmt w:val="decimal"/>
      <w:suff w:val="nothing"/>
      <w:lvlText w:val="%1、"/>
      <w:lvlJc w:val="left"/>
    </w:lvl>
  </w:abstractNum>
  <w:abstractNum w:abstractNumId="1">
    <w:nsid w:val="8C613519"/>
    <w:multiLevelType w:val="singleLevel"/>
    <w:tmpl w:val="8C613519"/>
    <w:lvl w:ilvl="0" w:tentative="0">
      <w:start w:val="2"/>
      <w:numFmt w:val="decimal"/>
      <w:suff w:val="nothing"/>
      <w:lvlText w:val="%1、"/>
      <w:lvlJc w:val="left"/>
    </w:lvl>
  </w:abstractNum>
  <w:abstractNum w:abstractNumId="2">
    <w:nsid w:val="212B3585"/>
    <w:multiLevelType w:val="singleLevel"/>
    <w:tmpl w:val="212B3585"/>
    <w:lvl w:ilvl="0" w:tentative="0">
      <w:start w:val="3"/>
      <w:numFmt w:val="decimal"/>
      <w:suff w:val="nothing"/>
      <w:lvlText w:val="%1、"/>
      <w:lvlJc w:val="left"/>
    </w:lvl>
  </w:abstractNum>
  <w:abstractNum w:abstractNumId="3">
    <w:nsid w:val="25BD7FCD"/>
    <w:multiLevelType w:val="singleLevel"/>
    <w:tmpl w:val="25BD7FCD"/>
    <w:lvl w:ilvl="0" w:tentative="0">
      <w:start w:val="1"/>
      <w:numFmt w:val="decimal"/>
      <w:suff w:val="nothing"/>
      <w:lvlText w:val="%1、"/>
      <w:lvlJc w:val="left"/>
    </w:lvl>
  </w:abstractNum>
  <w:abstractNum w:abstractNumId="4">
    <w:nsid w:val="39CB2B6F"/>
    <w:multiLevelType w:val="singleLevel"/>
    <w:tmpl w:val="39CB2B6F"/>
    <w:lvl w:ilvl="0" w:tentative="0">
      <w:start w:val="11"/>
      <w:numFmt w:val="decimal"/>
      <w:suff w:val="nothing"/>
      <w:lvlText w:val="%1、"/>
      <w:lvlJc w:val="left"/>
    </w:lvl>
  </w:abstractNum>
  <w:abstractNum w:abstractNumId="5">
    <w:nsid w:val="5A7F7EF6"/>
    <w:multiLevelType w:val="singleLevel"/>
    <w:tmpl w:val="5A7F7EF6"/>
    <w:lvl w:ilvl="0" w:tentative="0">
      <w:start w:val="5"/>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kM2RjZWEzMzIwOTY1MDViYmE4NzA2ZjNiODhkYjQifQ=="/>
  </w:docVars>
  <w:rsids>
    <w:rsidRoot w:val="00A14947"/>
    <w:rsid w:val="00000DCE"/>
    <w:rsid w:val="00000FCB"/>
    <w:rsid w:val="00002649"/>
    <w:rsid w:val="00004F4D"/>
    <w:rsid w:val="00005624"/>
    <w:rsid w:val="00005877"/>
    <w:rsid w:val="000060B3"/>
    <w:rsid w:val="00006563"/>
    <w:rsid w:val="0000656C"/>
    <w:rsid w:val="00006E05"/>
    <w:rsid w:val="000109F1"/>
    <w:rsid w:val="00012FDE"/>
    <w:rsid w:val="0001372F"/>
    <w:rsid w:val="00015B14"/>
    <w:rsid w:val="00015D9E"/>
    <w:rsid w:val="00015EE9"/>
    <w:rsid w:val="000161FC"/>
    <w:rsid w:val="00017435"/>
    <w:rsid w:val="000174E1"/>
    <w:rsid w:val="0002047B"/>
    <w:rsid w:val="00020B78"/>
    <w:rsid w:val="00023035"/>
    <w:rsid w:val="00024A30"/>
    <w:rsid w:val="0002611B"/>
    <w:rsid w:val="00027D54"/>
    <w:rsid w:val="00027F42"/>
    <w:rsid w:val="00030AF8"/>
    <w:rsid w:val="000310CA"/>
    <w:rsid w:val="00032A03"/>
    <w:rsid w:val="0003528F"/>
    <w:rsid w:val="000363F6"/>
    <w:rsid w:val="000379FB"/>
    <w:rsid w:val="00037AFB"/>
    <w:rsid w:val="0004364B"/>
    <w:rsid w:val="000450FC"/>
    <w:rsid w:val="00046D81"/>
    <w:rsid w:val="000473F7"/>
    <w:rsid w:val="000515D4"/>
    <w:rsid w:val="000524CB"/>
    <w:rsid w:val="00054BC4"/>
    <w:rsid w:val="00055E9D"/>
    <w:rsid w:val="0006068B"/>
    <w:rsid w:val="00061B1F"/>
    <w:rsid w:val="0006329E"/>
    <w:rsid w:val="00064061"/>
    <w:rsid w:val="00065530"/>
    <w:rsid w:val="00066DD7"/>
    <w:rsid w:val="000703A7"/>
    <w:rsid w:val="000706F1"/>
    <w:rsid w:val="0007085A"/>
    <w:rsid w:val="000733C4"/>
    <w:rsid w:val="000734E2"/>
    <w:rsid w:val="00074783"/>
    <w:rsid w:val="0007685C"/>
    <w:rsid w:val="0008070B"/>
    <w:rsid w:val="000810AC"/>
    <w:rsid w:val="00081A02"/>
    <w:rsid w:val="00082231"/>
    <w:rsid w:val="00083A8B"/>
    <w:rsid w:val="00084AC5"/>
    <w:rsid w:val="00084F35"/>
    <w:rsid w:val="00085877"/>
    <w:rsid w:val="00085C0A"/>
    <w:rsid w:val="00087A68"/>
    <w:rsid w:val="00092037"/>
    <w:rsid w:val="00092D38"/>
    <w:rsid w:val="0009377B"/>
    <w:rsid w:val="000950DC"/>
    <w:rsid w:val="00095E79"/>
    <w:rsid w:val="00096D1A"/>
    <w:rsid w:val="00096EF5"/>
    <w:rsid w:val="000974DB"/>
    <w:rsid w:val="000A0627"/>
    <w:rsid w:val="000A1635"/>
    <w:rsid w:val="000A20C9"/>
    <w:rsid w:val="000A2419"/>
    <w:rsid w:val="000A687F"/>
    <w:rsid w:val="000A79F8"/>
    <w:rsid w:val="000B058F"/>
    <w:rsid w:val="000B0E78"/>
    <w:rsid w:val="000B2EB9"/>
    <w:rsid w:val="000B39FB"/>
    <w:rsid w:val="000B42A9"/>
    <w:rsid w:val="000B4467"/>
    <w:rsid w:val="000B4DB9"/>
    <w:rsid w:val="000B5D4A"/>
    <w:rsid w:val="000B6842"/>
    <w:rsid w:val="000B6CA0"/>
    <w:rsid w:val="000B77A5"/>
    <w:rsid w:val="000C09AC"/>
    <w:rsid w:val="000C0B1E"/>
    <w:rsid w:val="000C1A9B"/>
    <w:rsid w:val="000C2BCA"/>
    <w:rsid w:val="000C34C0"/>
    <w:rsid w:val="000C53D8"/>
    <w:rsid w:val="000C5A3D"/>
    <w:rsid w:val="000C5D52"/>
    <w:rsid w:val="000C767F"/>
    <w:rsid w:val="000D2F37"/>
    <w:rsid w:val="000D308E"/>
    <w:rsid w:val="000D472B"/>
    <w:rsid w:val="000D4C90"/>
    <w:rsid w:val="000D5A44"/>
    <w:rsid w:val="000D7473"/>
    <w:rsid w:val="000E16E2"/>
    <w:rsid w:val="000E338D"/>
    <w:rsid w:val="000E35C5"/>
    <w:rsid w:val="000E3ADC"/>
    <w:rsid w:val="000E3ED2"/>
    <w:rsid w:val="000E4909"/>
    <w:rsid w:val="000F51E2"/>
    <w:rsid w:val="000F58DE"/>
    <w:rsid w:val="000F76EF"/>
    <w:rsid w:val="00100EC2"/>
    <w:rsid w:val="001012C9"/>
    <w:rsid w:val="001035C8"/>
    <w:rsid w:val="0010796C"/>
    <w:rsid w:val="00110211"/>
    <w:rsid w:val="0011472A"/>
    <w:rsid w:val="00122B93"/>
    <w:rsid w:val="00123544"/>
    <w:rsid w:val="00123A19"/>
    <w:rsid w:val="00123F41"/>
    <w:rsid w:val="0012418E"/>
    <w:rsid w:val="0012735C"/>
    <w:rsid w:val="00127D91"/>
    <w:rsid w:val="00130E72"/>
    <w:rsid w:val="00131F42"/>
    <w:rsid w:val="00132735"/>
    <w:rsid w:val="00133EC9"/>
    <w:rsid w:val="001357F1"/>
    <w:rsid w:val="00140FA8"/>
    <w:rsid w:val="00142FEB"/>
    <w:rsid w:val="00143A2D"/>
    <w:rsid w:val="00145A41"/>
    <w:rsid w:val="00146E1C"/>
    <w:rsid w:val="00146E93"/>
    <w:rsid w:val="00150D90"/>
    <w:rsid w:val="00151675"/>
    <w:rsid w:val="00151E9E"/>
    <w:rsid w:val="00153327"/>
    <w:rsid w:val="0015668F"/>
    <w:rsid w:val="00156695"/>
    <w:rsid w:val="001570CF"/>
    <w:rsid w:val="00157435"/>
    <w:rsid w:val="0016191C"/>
    <w:rsid w:val="001619F1"/>
    <w:rsid w:val="00162554"/>
    <w:rsid w:val="001634F5"/>
    <w:rsid w:val="00164B15"/>
    <w:rsid w:val="001741EF"/>
    <w:rsid w:val="0017504D"/>
    <w:rsid w:val="00175C95"/>
    <w:rsid w:val="0017671A"/>
    <w:rsid w:val="00177422"/>
    <w:rsid w:val="00180C52"/>
    <w:rsid w:val="0018161B"/>
    <w:rsid w:val="00183121"/>
    <w:rsid w:val="001836EA"/>
    <w:rsid w:val="00184590"/>
    <w:rsid w:val="00184683"/>
    <w:rsid w:val="00184A1A"/>
    <w:rsid w:val="0018704E"/>
    <w:rsid w:val="001870D1"/>
    <w:rsid w:val="0018739E"/>
    <w:rsid w:val="0018781E"/>
    <w:rsid w:val="00190359"/>
    <w:rsid w:val="00190CB4"/>
    <w:rsid w:val="0019262D"/>
    <w:rsid w:val="001947CD"/>
    <w:rsid w:val="0019539A"/>
    <w:rsid w:val="0019554C"/>
    <w:rsid w:val="00195D81"/>
    <w:rsid w:val="001963D2"/>
    <w:rsid w:val="00197100"/>
    <w:rsid w:val="001A1B35"/>
    <w:rsid w:val="001A46B5"/>
    <w:rsid w:val="001A48A2"/>
    <w:rsid w:val="001A4D94"/>
    <w:rsid w:val="001A6F61"/>
    <w:rsid w:val="001A77D3"/>
    <w:rsid w:val="001B3E43"/>
    <w:rsid w:val="001B5751"/>
    <w:rsid w:val="001B5941"/>
    <w:rsid w:val="001B5D52"/>
    <w:rsid w:val="001B72B8"/>
    <w:rsid w:val="001C0C02"/>
    <w:rsid w:val="001C31E2"/>
    <w:rsid w:val="001C43B1"/>
    <w:rsid w:val="001C5DF9"/>
    <w:rsid w:val="001C6206"/>
    <w:rsid w:val="001C69B3"/>
    <w:rsid w:val="001D0DC8"/>
    <w:rsid w:val="001D19D5"/>
    <w:rsid w:val="001D3054"/>
    <w:rsid w:val="001D33E3"/>
    <w:rsid w:val="001D49FB"/>
    <w:rsid w:val="001D5595"/>
    <w:rsid w:val="001D7874"/>
    <w:rsid w:val="001D7F22"/>
    <w:rsid w:val="001E1021"/>
    <w:rsid w:val="001E1914"/>
    <w:rsid w:val="001E34DE"/>
    <w:rsid w:val="001E7E47"/>
    <w:rsid w:val="001F0B4F"/>
    <w:rsid w:val="001F0F17"/>
    <w:rsid w:val="001F3347"/>
    <w:rsid w:val="001F36AE"/>
    <w:rsid w:val="001F6592"/>
    <w:rsid w:val="001F65BC"/>
    <w:rsid w:val="001F69E4"/>
    <w:rsid w:val="001F6F5D"/>
    <w:rsid w:val="001F6FC9"/>
    <w:rsid w:val="001F736A"/>
    <w:rsid w:val="001F7A25"/>
    <w:rsid w:val="00200EFA"/>
    <w:rsid w:val="00201290"/>
    <w:rsid w:val="0020284B"/>
    <w:rsid w:val="00202F85"/>
    <w:rsid w:val="00203076"/>
    <w:rsid w:val="00203882"/>
    <w:rsid w:val="00204193"/>
    <w:rsid w:val="00205B55"/>
    <w:rsid w:val="00206A59"/>
    <w:rsid w:val="002072B6"/>
    <w:rsid w:val="0021050D"/>
    <w:rsid w:val="002113AF"/>
    <w:rsid w:val="00211878"/>
    <w:rsid w:val="002125B4"/>
    <w:rsid w:val="00212723"/>
    <w:rsid w:val="00214320"/>
    <w:rsid w:val="0021436B"/>
    <w:rsid w:val="002155B8"/>
    <w:rsid w:val="00215A44"/>
    <w:rsid w:val="00215D05"/>
    <w:rsid w:val="00217E8E"/>
    <w:rsid w:val="0022059D"/>
    <w:rsid w:val="00221774"/>
    <w:rsid w:val="00221C63"/>
    <w:rsid w:val="00224839"/>
    <w:rsid w:val="002249B2"/>
    <w:rsid w:val="00225223"/>
    <w:rsid w:val="00226574"/>
    <w:rsid w:val="002278EC"/>
    <w:rsid w:val="00230C17"/>
    <w:rsid w:val="002316B4"/>
    <w:rsid w:val="0023280E"/>
    <w:rsid w:val="002331D5"/>
    <w:rsid w:val="00235AC0"/>
    <w:rsid w:val="00235B1F"/>
    <w:rsid w:val="00236382"/>
    <w:rsid w:val="002377D1"/>
    <w:rsid w:val="00240E13"/>
    <w:rsid w:val="002417ED"/>
    <w:rsid w:val="00242001"/>
    <w:rsid w:val="00242689"/>
    <w:rsid w:val="00243026"/>
    <w:rsid w:val="002438E8"/>
    <w:rsid w:val="00245CB1"/>
    <w:rsid w:val="00245F1F"/>
    <w:rsid w:val="00246407"/>
    <w:rsid w:val="002506BC"/>
    <w:rsid w:val="00254345"/>
    <w:rsid w:val="00256489"/>
    <w:rsid w:val="00257180"/>
    <w:rsid w:val="00257DBA"/>
    <w:rsid w:val="00261BF6"/>
    <w:rsid w:val="00264557"/>
    <w:rsid w:val="002701C2"/>
    <w:rsid w:val="00270653"/>
    <w:rsid w:val="00270B76"/>
    <w:rsid w:val="00272333"/>
    <w:rsid w:val="002729A8"/>
    <w:rsid w:val="00275092"/>
    <w:rsid w:val="00275A4D"/>
    <w:rsid w:val="00275F4B"/>
    <w:rsid w:val="002765E7"/>
    <w:rsid w:val="002805AB"/>
    <w:rsid w:val="00284204"/>
    <w:rsid w:val="0028462B"/>
    <w:rsid w:val="002873D5"/>
    <w:rsid w:val="00290D29"/>
    <w:rsid w:val="0029138F"/>
    <w:rsid w:val="00291773"/>
    <w:rsid w:val="002935E0"/>
    <w:rsid w:val="00295768"/>
    <w:rsid w:val="00297009"/>
    <w:rsid w:val="002A0DC8"/>
    <w:rsid w:val="002A0F51"/>
    <w:rsid w:val="002A11F9"/>
    <w:rsid w:val="002A168C"/>
    <w:rsid w:val="002A20BD"/>
    <w:rsid w:val="002A28C1"/>
    <w:rsid w:val="002A3DC7"/>
    <w:rsid w:val="002A426D"/>
    <w:rsid w:val="002B49E2"/>
    <w:rsid w:val="002B7B00"/>
    <w:rsid w:val="002B7C44"/>
    <w:rsid w:val="002C2B17"/>
    <w:rsid w:val="002C52EB"/>
    <w:rsid w:val="002C64BF"/>
    <w:rsid w:val="002C6F23"/>
    <w:rsid w:val="002C7008"/>
    <w:rsid w:val="002D0598"/>
    <w:rsid w:val="002D33EC"/>
    <w:rsid w:val="002D3DD0"/>
    <w:rsid w:val="002D3E9F"/>
    <w:rsid w:val="002E0907"/>
    <w:rsid w:val="002E1F3A"/>
    <w:rsid w:val="002E298A"/>
    <w:rsid w:val="002E31DD"/>
    <w:rsid w:val="002E39C8"/>
    <w:rsid w:val="002E4027"/>
    <w:rsid w:val="002E772F"/>
    <w:rsid w:val="002F0CED"/>
    <w:rsid w:val="002F5CE6"/>
    <w:rsid w:val="002F651E"/>
    <w:rsid w:val="00301978"/>
    <w:rsid w:val="0030332C"/>
    <w:rsid w:val="003033E9"/>
    <w:rsid w:val="00303F94"/>
    <w:rsid w:val="00304486"/>
    <w:rsid w:val="00304904"/>
    <w:rsid w:val="003051C2"/>
    <w:rsid w:val="00305BC0"/>
    <w:rsid w:val="003075E5"/>
    <w:rsid w:val="0031105A"/>
    <w:rsid w:val="00311F64"/>
    <w:rsid w:val="00312296"/>
    <w:rsid w:val="003125A5"/>
    <w:rsid w:val="003131F0"/>
    <w:rsid w:val="00314A3D"/>
    <w:rsid w:val="00314B95"/>
    <w:rsid w:val="00314F0E"/>
    <w:rsid w:val="00321CBC"/>
    <w:rsid w:val="00321D8E"/>
    <w:rsid w:val="003226A2"/>
    <w:rsid w:val="0032371F"/>
    <w:rsid w:val="0032555A"/>
    <w:rsid w:val="00325721"/>
    <w:rsid w:val="00325928"/>
    <w:rsid w:val="00331A59"/>
    <w:rsid w:val="00332863"/>
    <w:rsid w:val="0033490B"/>
    <w:rsid w:val="00335857"/>
    <w:rsid w:val="0033684D"/>
    <w:rsid w:val="00337B42"/>
    <w:rsid w:val="00340A68"/>
    <w:rsid w:val="00340B78"/>
    <w:rsid w:val="00341B42"/>
    <w:rsid w:val="0034342D"/>
    <w:rsid w:val="0034348F"/>
    <w:rsid w:val="00343BC9"/>
    <w:rsid w:val="00343FE4"/>
    <w:rsid w:val="00344346"/>
    <w:rsid w:val="003452DD"/>
    <w:rsid w:val="00345AC0"/>
    <w:rsid w:val="00345E46"/>
    <w:rsid w:val="00351152"/>
    <w:rsid w:val="003524F8"/>
    <w:rsid w:val="003556A5"/>
    <w:rsid w:val="00355A27"/>
    <w:rsid w:val="00356653"/>
    <w:rsid w:val="0035743F"/>
    <w:rsid w:val="00357BE2"/>
    <w:rsid w:val="003600E7"/>
    <w:rsid w:val="0036170C"/>
    <w:rsid w:val="00361B6A"/>
    <w:rsid w:val="0036315B"/>
    <w:rsid w:val="00366CA9"/>
    <w:rsid w:val="00366E0F"/>
    <w:rsid w:val="00370840"/>
    <w:rsid w:val="00374AE4"/>
    <w:rsid w:val="003751DD"/>
    <w:rsid w:val="00381A72"/>
    <w:rsid w:val="00381BAC"/>
    <w:rsid w:val="00382766"/>
    <w:rsid w:val="00382F0B"/>
    <w:rsid w:val="00384676"/>
    <w:rsid w:val="00386F76"/>
    <w:rsid w:val="00390857"/>
    <w:rsid w:val="00394EDB"/>
    <w:rsid w:val="00397681"/>
    <w:rsid w:val="003A0CAC"/>
    <w:rsid w:val="003A4BF3"/>
    <w:rsid w:val="003A51DF"/>
    <w:rsid w:val="003A67D9"/>
    <w:rsid w:val="003A7982"/>
    <w:rsid w:val="003B0633"/>
    <w:rsid w:val="003B0A94"/>
    <w:rsid w:val="003B0C43"/>
    <w:rsid w:val="003B2636"/>
    <w:rsid w:val="003B420D"/>
    <w:rsid w:val="003B4B87"/>
    <w:rsid w:val="003B4C0C"/>
    <w:rsid w:val="003B4C3F"/>
    <w:rsid w:val="003C160D"/>
    <w:rsid w:val="003C4D4A"/>
    <w:rsid w:val="003C57D6"/>
    <w:rsid w:val="003C6599"/>
    <w:rsid w:val="003C6C16"/>
    <w:rsid w:val="003D09D0"/>
    <w:rsid w:val="003D2869"/>
    <w:rsid w:val="003D305D"/>
    <w:rsid w:val="003D44AA"/>
    <w:rsid w:val="003D4D8F"/>
    <w:rsid w:val="003D6A88"/>
    <w:rsid w:val="003D794D"/>
    <w:rsid w:val="003E0AC6"/>
    <w:rsid w:val="003E0FF2"/>
    <w:rsid w:val="003E1FA6"/>
    <w:rsid w:val="003E3058"/>
    <w:rsid w:val="003E3D87"/>
    <w:rsid w:val="003E76A9"/>
    <w:rsid w:val="003F0809"/>
    <w:rsid w:val="003F1444"/>
    <w:rsid w:val="003F45D0"/>
    <w:rsid w:val="003F6A8C"/>
    <w:rsid w:val="003F755C"/>
    <w:rsid w:val="003F7C73"/>
    <w:rsid w:val="00402239"/>
    <w:rsid w:val="00406851"/>
    <w:rsid w:val="00406F01"/>
    <w:rsid w:val="0041251D"/>
    <w:rsid w:val="00412A13"/>
    <w:rsid w:val="004141EB"/>
    <w:rsid w:val="0041475F"/>
    <w:rsid w:val="00414D11"/>
    <w:rsid w:val="00414EA7"/>
    <w:rsid w:val="00415066"/>
    <w:rsid w:val="00416D50"/>
    <w:rsid w:val="00416DE9"/>
    <w:rsid w:val="00416E5A"/>
    <w:rsid w:val="00416FD5"/>
    <w:rsid w:val="00417772"/>
    <w:rsid w:val="00420E6A"/>
    <w:rsid w:val="00422B26"/>
    <w:rsid w:val="0042493E"/>
    <w:rsid w:val="00424B15"/>
    <w:rsid w:val="00425A9E"/>
    <w:rsid w:val="00425D06"/>
    <w:rsid w:val="00426D6B"/>
    <w:rsid w:val="00431332"/>
    <w:rsid w:val="0043177B"/>
    <w:rsid w:val="00431E6C"/>
    <w:rsid w:val="0043381C"/>
    <w:rsid w:val="00433CE7"/>
    <w:rsid w:val="00434D29"/>
    <w:rsid w:val="00436B0F"/>
    <w:rsid w:val="004374BF"/>
    <w:rsid w:val="0044035E"/>
    <w:rsid w:val="004409E2"/>
    <w:rsid w:val="004425A1"/>
    <w:rsid w:val="004440DF"/>
    <w:rsid w:val="004504EF"/>
    <w:rsid w:val="00451707"/>
    <w:rsid w:val="00451ABE"/>
    <w:rsid w:val="00451EA6"/>
    <w:rsid w:val="00452738"/>
    <w:rsid w:val="00452A50"/>
    <w:rsid w:val="00453622"/>
    <w:rsid w:val="00453D54"/>
    <w:rsid w:val="0045457B"/>
    <w:rsid w:val="00454777"/>
    <w:rsid w:val="00456091"/>
    <w:rsid w:val="00456AF4"/>
    <w:rsid w:val="00456BCA"/>
    <w:rsid w:val="00457CF3"/>
    <w:rsid w:val="00462742"/>
    <w:rsid w:val="004631A5"/>
    <w:rsid w:val="004639D8"/>
    <w:rsid w:val="00463D40"/>
    <w:rsid w:val="004645E8"/>
    <w:rsid w:val="0046491F"/>
    <w:rsid w:val="00466186"/>
    <w:rsid w:val="00466321"/>
    <w:rsid w:val="00470F19"/>
    <w:rsid w:val="00474648"/>
    <w:rsid w:val="004815E5"/>
    <w:rsid w:val="00481D32"/>
    <w:rsid w:val="00483F84"/>
    <w:rsid w:val="0048403D"/>
    <w:rsid w:val="00484B9B"/>
    <w:rsid w:val="004855F6"/>
    <w:rsid w:val="00485A5D"/>
    <w:rsid w:val="00485AC0"/>
    <w:rsid w:val="00485CFB"/>
    <w:rsid w:val="0048661E"/>
    <w:rsid w:val="004873D3"/>
    <w:rsid w:val="00491089"/>
    <w:rsid w:val="00494670"/>
    <w:rsid w:val="004A34D0"/>
    <w:rsid w:val="004A3823"/>
    <w:rsid w:val="004A3B89"/>
    <w:rsid w:val="004A514F"/>
    <w:rsid w:val="004A5488"/>
    <w:rsid w:val="004A5E66"/>
    <w:rsid w:val="004B141B"/>
    <w:rsid w:val="004B2F6E"/>
    <w:rsid w:val="004B30BB"/>
    <w:rsid w:val="004B38BA"/>
    <w:rsid w:val="004B39DE"/>
    <w:rsid w:val="004B45E6"/>
    <w:rsid w:val="004B49B6"/>
    <w:rsid w:val="004B4F58"/>
    <w:rsid w:val="004B5C7A"/>
    <w:rsid w:val="004B6726"/>
    <w:rsid w:val="004B72B2"/>
    <w:rsid w:val="004C2074"/>
    <w:rsid w:val="004C3288"/>
    <w:rsid w:val="004C3D73"/>
    <w:rsid w:val="004C438A"/>
    <w:rsid w:val="004C61AF"/>
    <w:rsid w:val="004D066C"/>
    <w:rsid w:val="004D07D9"/>
    <w:rsid w:val="004D1B3A"/>
    <w:rsid w:val="004D46F6"/>
    <w:rsid w:val="004D70C1"/>
    <w:rsid w:val="004E0772"/>
    <w:rsid w:val="004E22C8"/>
    <w:rsid w:val="004E3C1F"/>
    <w:rsid w:val="004E6946"/>
    <w:rsid w:val="004E7378"/>
    <w:rsid w:val="004F045A"/>
    <w:rsid w:val="004F145C"/>
    <w:rsid w:val="004F1AD8"/>
    <w:rsid w:val="004F2655"/>
    <w:rsid w:val="004F380E"/>
    <w:rsid w:val="004F4604"/>
    <w:rsid w:val="004F70C3"/>
    <w:rsid w:val="004F719A"/>
    <w:rsid w:val="0050073D"/>
    <w:rsid w:val="0050133E"/>
    <w:rsid w:val="00501DBD"/>
    <w:rsid w:val="00501FF9"/>
    <w:rsid w:val="005020D1"/>
    <w:rsid w:val="00502E44"/>
    <w:rsid w:val="005036C5"/>
    <w:rsid w:val="00503829"/>
    <w:rsid w:val="005039CB"/>
    <w:rsid w:val="0050558F"/>
    <w:rsid w:val="00506286"/>
    <w:rsid w:val="00510813"/>
    <w:rsid w:val="00511990"/>
    <w:rsid w:val="00511A19"/>
    <w:rsid w:val="00511DE0"/>
    <w:rsid w:val="00512865"/>
    <w:rsid w:val="005131B2"/>
    <w:rsid w:val="00514870"/>
    <w:rsid w:val="00514B9B"/>
    <w:rsid w:val="00517F02"/>
    <w:rsid w:val="00521473"/>
    <w:rsid w:val="005220C5"/>
    <w:rsid w:val="00524303"/>
    <w:rsid w:val="00524827"/>
    <w:rsid w:val="00524DD9"/>
    <w:rsid w:val="005258A2"/>
    <w:rsid w:val="00526035"/>
    <w:rsid w:val="00526757"/>
    <w:rsid w:val="005274F3"/>
    <w:rsid w:val="00531080"/>
    <w:rsid w:val="00533099"/>
    <w:rsid w:val="0053370B"/>
    <w:rsid w:val="00536A58"/>
    <w:rsid w:val="0053708D"/>
    <w:rsid w:val="00537BAB"/>
    <w:rsid w:val="005401AE"/>
    <w:rsid w:val="0054034A"/>
    <w:rsid w:val="0054075A"/>
    <w:rsid w:val="005423BF"/>
    <w:rsid w:val="00542E07"/>
    <w:rsid w:val="00543C33"/>
    <w:rsid w:val="00543C55"/>
    <w:rsid w:val="00545424"/>
    <w:rsid w:val="005460BD"/>
    <w:rsid w:val="00546BE5"/>
    <w:rsid w:val="00547999"/>
    <w:rsid w:val="00552BB9"/>
    <w:rsid w:val="00553400"/>
    <w:rsid w:val="00554A7B"/>
    <w:rsid w:val="005556E2"/>
    <w:rsid w:val="0055572C"/>
    <w:rsid w:val="00556913"/>
    <w:rsid w:val="00560224"/>
    <w:rsid w:val="0056058B"/>
    <w:rsid w:val="0056106A"/>
    <w:rsid w:val="005613FB"/>
    <w:rsid w:val="0056211E"/>
    <w:rsid w:val="00564C7D"/>
    <w:rsid w:val="00565527"/>
    <w:rsid w:val="00565922"/>
    <w:rsid w:val="00570E8A"/>
    <w:rsid w:val="00571B8F"/>
    <w:rsid w:val="00571BBB"/>
    <w:rsid w:val="00572085"/>
    <w:rsid w:val="005720AE"/>
    <w:rsid w:val="0057764A"/>
    <w:rsid w:val="00581973"/>
    <w:rsid w:val="00581C2E"/>
    <w:rsid w:val="0058391C"/>
    <w:rsid w:val="005841CD"/>
    <w:rsid w:val="005844AF"/>
    <w:rsid w:val="0059002C"/>
    <w:rsid w:val="00592F4C"/>
    <w:rsid w:val="00593D74"/>
    <w:rsid w:val="00594D77"/>
    <w:rsid w:val="00594F8C"/>
    <w:rsid w:val="00595269"/>
    <w:rsid w:val="00595559"/>
    <w:rsid w:val="005969E4"/>
    <w:rsid w:val="005A06B7"/>
    <w:rsid w:val="005A1759"/>
    <w:rsid w:val="005A23DA"/>
    <w:rsid w:val="005A294D"/>
    <w:rsid w:val="005A2C09"/>
    <w:rsid w:val="005A65C6"/>
    <w:rsid w:val="005A68A7"/>
    <w:rsid w:val="005A6C56"/>
    <w:rsid w:val="005B0B7D"/>
    <w:rsid w:val="005B15E6"/>
    <w:rsid w:val="005B2035"/>
    <w:rsid w:val="005B32FC"/>
    <w:rsid w:val="005B3867"/>
    <w:rsid w:val="005B4ED9"/>
    <w:rsid w:val="005B6E34"/>
    <w:rsid w:val="005C239A"/>
    <w:rsid w:val="005C29DE"/>
    <w:rsid w:val="005C5612"/>
    <w:rsid w:val="005D36AB"/>
    <w:rsid w:val="005E0E3B"/>
    <w:rsid w:val="005E3AB4"/>
    <w:rsid w:val="005E7368"/>
    <w:rsid w:val="005F56B3"/>
    <w:rsid w:val="005F6624"/>
    <w:rsid w:val="005F700E"/>
    <w:rsid w:val="00600A1E"/>
    <w:rsid w:val="00600AAC"/>
    <w:rsid w:val="00600F9C"/>
    <w:rsid w:val="00601501"/>
    <w:rsid w:val="00603140"/>
    <w:rsid w:val="00603BF3"/>
    <w:rsid w:val="0060702F"/>
    <w:rsid w:val="006076CA"/>
    <w:rsid w:val="00610AD0"/>
    <w:rsid w:val="00617AF5"/>
    <w:rsid w:val="00617CC3"/>
    <w:rsid w:val="00622B1F"/>
    <w:rsid w:val="00624E71"/>
    <w:rsid w:val="00625707"/>
    <w:rsid w:val="00627E12"/>
    <w:rsid w:val="006302DF"/>
    <w:rsid w:val="0063181A"/>
    <w:rsid w:val="00633175"/>
    <w:rsid w:val="0063445E"/>
    <w:rsid w:val="006366F3"/>
    <w:rsid w:val="006368E9"/>
    <w:rsid w:val="006377A6"/>
    <w:rsid w:val="00637A3D"/>
    <w:rsid w:val="006411EF"/>
    <w:rsid w:val="00642B96"/>
    <w:rsid w:val="0064405F"/>
    <w:rsid w:val="00647B31"/>
    <w:rsid w:val="00651EED"/>
    <w:rsid w:val="00654E98"/>
    <w:rsid w:val="0065560B"/>
    <w:rsid w:val="00655F6E"/>
    <w:rsid w:val="00664736"/>
    <w:rsid w:val="00664AE0"/>
    <w:rsid w:val="00670B48"/>
    <w:rsid w:val="00673CE8"/>
    <w:rsid w:val="006748B8"/>
    <w:rsid w:val="00675832"/>
    <w:rsid w:val="0067595B"/>
    <w:rsid w:val="006775C3"/>
    <w:rsid w:val="00681C06"/>
    <w:rsid w:val="00681ECE"/>
    <w:rsid w:val="00684EB3"/>
    <w:rsid w:val="00685774"/>
    <w:rsid w:val="006857A9"/>
    <w:rsid w:val="0069099B"/>
    <w:rsid w:val="00690BC5"/>
    <w:rsid w:val="00692810"/>
    <w:rsid w:val="0069290A"/>
    <w:rsid w:val="00692A7C"/>
    <w:rsid w:val="00694414"/>
    <w:rsid w:val="0069442F"/>
    <w:rsid w:val="00694CFF"/>
    <w:rsid w:val="006964E5"/>
    <w:rsid w:val="00696643"/>
    <w:rsid w:val="00696D2A"/>
    <w:rsid w:val="0069738D"/>
    <w:rsid w:val="0069775A"/>
    <w:rsid w:val="00697813"/>
    <w:rsid w:val="00697EDD"/>
    <w:rsid w:val="006A013A"/>
    <w:rsid w:val="006A075E"/>
    <w:rsid w:val="006A2940"/>
    <w:rsid w:val="006A2AFF"/>
    <w:rsid w:val="006A3DFD"/>
    <w:rsid w:val="006A3ED7"/>
    <w:rsid w:val="006A3EE8"/>
    <w:rsid w:val="006A66A4"/>
    <w:rsid w:val="006A72BF"/>
    <w:rsid w:val="006A73FC"/>
    <w:rsid w:val="006A774B"/>
    <w:rsid w:val="006B03F2"/>
    <w:rsid w:val="006B37DC"/>
    <w:rsid w:val="006B4A74"/>
    <w:rsid w:val="006B4D3E"/>
    <w:rsid w:val="006B4F68"/>
    <w:rsid w:val="006B56E6"/>
    <w:rsid w:val="006B6D06"/>
    <w:rsid w:val="006C0592"/>
    <w:rsid w:val="006C10AD"/>
    <w:rsid w:val="006C1943"/>
    <w:rsid w:val="006C272E"/>
    <w:rsid w:val="006C3E86"/>
    <w:rsid w:val="006C3EF9"/>
    <w:rsid w:val="006C4151"/>
    <w:rsid w:val="006C5479"/>
    <w:rsid w:val="006C5B30"/>
    <w:rsid w:val="006C5D9A"/>
    <w:rsid w:val="006D13B5"/>
    <w:rsid w:val="006D1989"/>
    <w:rsid w:val="006D19D3"/>
    <w:rsid w:val="006D3F67"/>
    <w:rsid w:val="006D4271"/>
    <w:rsid w:val="006D4B39"/>
    <w:rsid w:val="006D576B"/>
    <w:rsid w:val="006D6678"/>
    <w:rsid w:val="006E12FF"/>
    <w:rsid w:val="006E19D3"/>
    <w:rsid w:val="006E607E"/>
    <w:rsid w:val="006E72A2"/>
    <w:rsid w:val="006F0F21"/>
    <w:rsid w:val="006F2B2C"/>
    <w:rsid w:val="00701FD4"/>
    <w:rsid w:val="00703E4A"/>
    <w:rsid w:val="00704A87"/>
    <w:rsid w:val="0070565B"/>
    <w:rsid w:val="007065CC"/>
    <w:rsid w:val="00706C5D"/>
    <w:rsid w:val="00710213"/>
    <w:rsid w:val="00710B8B"/>
    <w:rsid w:val="0073013C"/>
    <w:rsid w:val="00732922"/>
    <w:rsid w:val="00732FF2"/>
    <w:rsid w:val="00733A69"/>
    <w:rsid w:val="0073489E"/>
    <w:rsid w:val="0073590A"/>
    <w:rsid w:val="0073712F"/>
    <w:rsid w:val="007443A6"/>
    <w:rsid w:val="00745769"/>
    <w:rsid w:val="007462DD"/>
    <w:rsid w:val="00750239"/>
    <w:rsid w:val="0075102B"/>
    <w:rsid w:val="0075162E"/>
    <w:rsid w:val="00752A05"/>
    <w:rsid w:val="00754034"/>
    <w:rsid w:val="00755532"/>
    <w:rsid w:val="00756556"/>
    <w:rsid w:val="00756BF6"/>
    <w:rsid w:val="007602C9"/>
    <w:rsid w:val="00760911"/>
    <w:rsid w:val="007614B1"/>
    <w:rsid w:val="00761877"/>
    <w:rsid w:val="007618C4"/>
    <w:rsid w:val="00761C47"/>
    <w:rsid w:val="00765FE4"/>
    <w:rsid w:val="00766A8C"/>
    <w:rsid w:val="00766AF5"/>
    <w:rsid w:val="007678E7"/>
    <w:rsid w:val="00767980"/>
    <w:rsid w:val="007701C8"/>
    <w:rsid w:val="00770B19"/>
    <w:rsid w:val="00770E8E"/>
    <w:rsid w:val="007734D4"/>
    <w:rsid w:val="0077463F"/>
    <w:rsid w:val="00780D64"/>
    <w:rsid w:val="00781B37"/>
    <w:rsid w:val="00781EDF"/>
    <w:rsid w:val="007828BB"/>
    <w:rsid w:val="007836EA"/>
    <w:rsid w:val="0078461C"/>
    <w:rsid w:val="00784A28"/>
    <w:rsid w:val="00784CDA"/>
    <w:rsid w:val="007867FA"/>
    <w:rsid w:val="00787558"/>
    <w:rsid w:val="00787FF7"/>
    <w:rsid w:val="00790277"/>
    <w:rsid w:val="007906C4"/>
    <w:rsid w:val="00790BE7"/>
    <w:rsid w:val="00793148"/>
    <w:rsid w:val="007940EA"/>
    <w:rsid w:val="007967E8"/>
    <w:rsid w:val="007A1A94"/>
    <w:rsid w:val="007A2170"/>
    <w:rsid w:val="007A22BF"/>
    <w:rsid w:val="007A3323"/>
    <w:rsid w:val="007A4C5A"/>
    <w:rsid w:val="007A4F88"/>
    <w:rsid w:val="007B031A"/>
    <w:rsid w:val="007B0C17"/>
    <w:rsid w:val="007B232F"/>
    <w:rsid w:val="007B37AE"/>
    <w:rsid w:val="007B6920"/>
    <w:rsid w:val="007B72B8"/>
    <w:rsid w:val="007B7A58"/>
    <w:rsid w:val="007C21B5"/>
    <w:rsid w:val="007C4196"/>
    <w:rsid w:val="007C630A"/>
    <w:rsid w:val="007C6A21"/>
    <w:rsid w:val="007C6E68"/>
    <w:rsid w:val="007D1DC9"/>
    <w:rsid w:val="007D24D6"/>
    <w:rsid w:val="007D309F"/>
    <w:rsid w:val="007D71D0"/>
    <w:rsid w:val="007D77B4"/>
    <w:rsid w:val="007D79C2"/>
    <w:rsid w:val="007D7E5B"/>
    <w:rsid w:val="007E0F21"/>
    <w:rsid w:val="007E445E"/>
    <w:rsid w:val="007E4BD2"/>
    <w:rsid w:val="007E523F"/>
    <w:rsid w:val="007E539E"/>
    <w:rsid w:val="007E6917"/>
    <w:rsid w:val="007F0A1D"/>
    <w:rsid w:val="007F2033"/>
    <w:rsid w:val="007F5B2D"/>
    <w:rsid w:val="007F61FC"/>
    <w:rsid w:val="007F6914"/>
    <w:rsid w:val="007F6E74"/>
    <w:rsid w:val="007F7454"/>
    <w:rsid w:val="008004A5"/>
    <w:rsid w:val="00801393"/>
    <w:rsid w:val="00801D90"/>
    <w:rsid w:val="008026C5"/>
    <w:rsid w:val="00802F88"/>
    <w:rsid w:val="00803572"/>
    <w:rsid w:val="0080436E"/>
    <w:rsid w:val="008055F6"/>
    <w:rsid w:val="00805885"/>
    <w:rsid w:val="00806819"/>
    <w:rsid w:val="008102A8"/>
    <w:rsid w:val="00810919"/>
    <w:rsid w:val="00811F7B"/>
    <w:rsid w:val="0081293E"/>
    <w:rsid w:val="0081330A"/>
    <w:rsid w:val="00814A24"/>
    <w:rsid w:val="00814FC3"/>
    <w:rsid w:val="00815465"/>
    <w:rsid w:val="00817E9A"/>
    <w:rsid w:val="00821E78"/>
    <w:rsid w:val="00822E9F"/>
    <w:rsid w:val="00823AD9"/>
    <w:rsid w:val="00825212"/>
    <w:rsid w:val="00825487"/>
    <w:rsid w:val="0082738B"/>
    <w:rsid w:val="00827C99"/>
    <w:rsid w:val="008306BD"/>
    <w:rsid w:val="00831A80"/>
    <w:rsid w:val="00831C95"/>
    <w:rsid w:val="00833743"/>
    <w:rsid w:val="00833B0B"/>
    <w:rsid w:val="008340A4"/>
    <w:rsid w:val="008360CC"/>
    <w:rsid w:val="00840AD3"/>
    <w:rsid w:val="00841048"/>
    <w:rsid w:val="0084143D"/>
    <w:rsid w:val="00842C3B"/>
    <w:rsid w:val="00843A37"/>
    <w:rsid w:val="0084530D"/>
    <w:rsid w:val="00847D38"/>
    <w:rsid w:val="0085059E"/>
    <w:rsid w:val="00851DE8"/>
    <w:rsid w:val="00853AB1"/>
    <w:rsid w:val="00855182"/>
    <w:rsid w:val="00855E68"/>
    <w:rsid w:val="00862816"/>
    <w:rsid w:val="00862D17"/>
    <w:rsid w:val="0086497E"/>
    <w:rsid w:val="00865085"/>
    <w:rsid w:val="00866411"/>
    <w:rsid w:val="00867ACD"/>
    <w:rsid w:val="00870004"/>
    <w:rsid w:val="0087135F"/>
    <w:rsid w:val="00871C33"/>
    <w:rsid w:val="0087252B"/>
    <w:rsid w:val="00872D94"/>
    <w:rsid w:val="00873593"/>
    <w:rsid w:val="00874E35"/>
    <w:rsid w:val="0087669D"/>
    <w:rsid w:val="00880364"/>
    <w:rsid w:val="0088040E"/>
    <w:rsid w:val="00881906"/>
    <w:rsid w:val="00881AFA"/>
    <w:rsid w:val="008832B8"/>
    <w:rsid w:val="00885425"/>
    <w:rsid w:val="00885A08"/>
    <w:rsid w:val="008903E5"/>
    <w:rsid w:val="00891592"/>
    <w:rsid w:val="008916E5"/>
    <w:rsid w:val="0089173A"/>
    <w:rsid w:val="00891E9E"/>
    <w:rsid w:val="008921A2"/>
    <w:rsid w:val="00893059"/>
    <w:rsid w:val="008941C7"/>
    <w:rsid w:val="008946D6"/>
    <w:rsid w:val="008952B6"/>
    <w:rsid w:val="00897AC3"/>
    <w:rsid w:val="00897E7B"/>
    <w:rsid w:val="008A02CE"/>
    <w:rsid w:val="008A2B04"/>
    <w:rsid w:val="008A2ED0"/>
    <w:rsid w:val="008A2F68"/>
    <w:rsid w:val="008A3BCA"/>
    <w:rsid w:val="008A49B0"/>
    <w:rsid w:val="008A4D38"/>
    <w:rsid w:val="008B229E"/>
    <w:rsid w:val="008B3F90"/>
    <w:rsid w:val="008B4EB9"/>
    <w:rsid w:val="008B4FA6"/>
    <w:rsid w:val="008B5282"/>
    <w:rsid w:val="008B56C8"/>
    <w:rsid w:val="008B6CFD"/>
    <w:rsid w:val="008B7C17"/>
    <w:rsid w:val="008C079C"/>
    <w:rsid w:val="008C1BAC"/>
    <w:rsid w:val="008C2D01"/>
    <w:rsid w:val="008C2EAB"/>
    <w:rsid w:val="008C330B"/>
    <w:rsid w:val="008C40E6"/>
    <w:rsid w:val="008C50C4"/>
    <w:rsid w:val="008C5531"/>
    <w:rsid w:val="008D042F"/>
    <w:rsid w:val="008D0F7A"/>
    <w:rsid w:val="008D14FC"/>
    <w:rsid w:val="008D3F3C"/>
    <w:rsid w:val="008D5F28"/>
    <w:rsid w:val="008D63F2"/>
    <w:rsid w:val="008D68E4"/>
    <w:rsid w:val="008E0506"/>
    <w:rsid w:val="008E0AD7"/>
    <w:rsid w:val="008E0CFF"/>
    <w:rsid w:val="008E5257"/>
    <w:rsid w:val="008E5D6B"/>
    <w:rsid w:val="008E76F0"/>
    <w:rsid w:val="008F067B"/>
    <w:rsid w:val="008F07F7"/>
    <w:rsid w:val="008F15FE"/>
    <w:rsid w:val="008F2D29"/>
    <w:rsid w:val="008F4B28"/>
    <w:rsid w:val="008F4EE0"/>
    <w:rsid w:val="008F5187"/>
    <w:rsid w:val="008F60D8"/>
    <w:rsid w:val="008F661D"/>
    <w:rsid w:val="009002B4"/>
    <w:rsid w:val="00900BAF"/>
    <w:rsid w:val="009024FD"/>
    <w:rsid w:val="00902727"/>
    <w:rsid w:val="0090312B"/>
    <w:rsid w:val="0090352B"/>
    <w:rsid w:val="00906665"/>
    <w:rsid w:val="00906A3F"/>
    <w:rsid w:val="00910E94"/>
    <w:rsid w:val="009135BB"/>
    <w:rsid w:val="0091736D"/>
    <w:rsid w:val="00917987"/>
    <w:rsid w:val="00920678"/>
    <w:rsid w:val="009208B5"/>
    <w:rsid w:val="0092222F"/>
    <w:rsid w:val="00923112"/>
    <w:rsid w:val="00923A79"/>
    <w:rsid w:val="00923ABF"/>
    <w:rsid w:val="0093037A"/>
    <w:rsid w:val="009308A0"/>
    <w:rsid w:val="009319D0"/>
    <w:rsid w:val="009322A7"/>
    <w:rsid w:val="009353C0"/>
    <w:rsid w:val="00940741"/>
    <w:rsid w:val="0094154D"/>
    <w:rsid w:val="0094177D"/>
    <w:rsid w:val="00941F19"/>
    <w:rsid w:val="00941F69"/>
    <w:rsid w:val="00944C51"/>
    <w:rsid w:val="00947399"/>
    <w:rsid w:val="00950512"/>
    <w:rsid w:val="009511A6"/>
    <w:rsid w:val="0095155F"/>
    <w:rsid w:val="00951795"/>
    <w:rsid w:val="00954429"/>
    <w:rsid w:val="00955724"/>
    <w:rsid w:val="009563CE"/>
    <w:rsid w:val="0095693B"/>
    <w:rsid w:val="00957563"/>
    <w:rsid w:val="009603A4"/>
    <w:rsid w:val="009611C4"/>
    <w:rsid w:val="00961F4A"/>
    <w:rsid w:val="00962AB3"/>
    <w:rsid w:val="00965381"/>
    <w:rsid w:val="00966605"/>
    <w:rsid w:val="00966616"/>
    <w:rsid w:val="00966758"/>
    <w:rsid w:val="009670ED"/>
    <w:rsid w:val="00967AB8"/>
    <w:rsid w:val="00967D59"/>
    <w:rsid w:val="00970644"/>
    <w:rsid w:val="00971201"/>
    <w:rsid w:val="0097293D"/>
    <w:rsid w:val="0097297A"/>
    <w:rsid w:val="0097373C"/>
    <w:rsid w:val="00974DCD"/>
    <w:rsid w:val="00975582"/>
    <w:rsid w:val="00976328"/>
    <w:rsid w:val="009765B6"/>
    <w:rsid w:val="0097680D"/>
    <w:rsid w:val="00976D4A"/>
    <w:rsid w:val="00982438"/>
    <w:rsid w:val="0098404C"/>
    <w:rsid w:val="00984867"/>
    <w:rsid w:val="00984FC4"/>
    <w:rsid w:val="00985283"/>
    <w:rsid w:val="00986CBF"/>
    <w:rsid w:val="00992820"/>
    <w:rsid w:val="00992E97"/>
    <w:rsid w:val="009930ED"/>
    <w:rsid w:val="00995992"/>
    <w:rsid w:val="009962AE"/>
    <w:rsid w:val="009A03E5"/>
    <w:rsid w:val="009A04A7"/>
    <w:rsid w:val="009A0F3B"/>
    <w:rsid w:val="009A12A7"/>
    <w:rsid w:val="009A1A7D"/>
    <w:rsid w:val="009A1BB4"/>
    <w:rsid w:val="009A2628"/>
    <w:rsid w:val="009A2707"/>
    <w:rsid w:val="009A2E37"/>
    <w:rsid w:val="009A3025"/>
    <w:rsid w:val="009A3200"/>
    <w:rsid w:val="009B00A0"/>
    <w:rsid w:val="009B0897"/>
    <w:rsid w:val="009B1FE8"/>
    <w:rsid w:val="009B21A9"/>
    <w:rsid w:val="009B2527"/>
    <w:rsid w:val="009B293B"/>
    <w:rsid w:val="009B3FFE"/>
    <w:rsid w:val="009B7BD9"/>
    <w:rsid w:val="009C08BF"/>
    <w:rsid w:val="009C17B6"/>
    <w:rsid w:val="009C34C9"/>
    <w:rsid w:val="009C39A6"/>
    <w:rsid w:val="009C540C"/>
    <w:rsid w:val="009C644B"/>
    <w:rsid w:val="009C7DD5"/>
    <w:rsid w:val="009D2355"/>
    <w:rsid w:val="009D2EF5"/>
    <w:rsid w:val="009D2F6D"/>
    <w:rsid w:val="009D3D1A"/>
    <w:rsid w:val="009D4504"/>
    <w:rsid w:val="009D54D0"/>
    <w:rsid w:val="009D5631"/>
    <w:rsid w:val="009E1E1C"/>
    <w:rsid w:val="009E1E33"/>
    <w:rsid w:val="009E227D"/>
    <w:rsid w:val="009E497E"/>
    <w:rsid w:val="009E5019"/>
    <w:rsid w:val="009E59A7"/>
    <w:rsid w:val="009E6C6C"/>
    <w:rsid w:val="009E79DC"/>
    <w:rsid w:val="009E7DE4"/>
    <w:rsid w:val="009F5E19"/>
    <w:rsid w:val="009F6FA1"/>
    <w:rsid w:val="00A00259"/>
    <w:rsid w:val="00A02515"/>
    <w:rsid w:val="00A029F8"/>
    <w:rsid w:val="00A02D5E"/>
    <w:rsid w:val="00A0323E"/>
    <w:rsid w:val="00A04207"/>
    <w:rsid w:val="00A04F1B"/>
    <w:rsid w:val="00A0501B"/>
    <w:rsid w:val="00A0525C"/>
    <w:rsid w:val="00A07B65"/>
    <w:rsid w:val="00A118D1"/>
    <w:rsid w:val="00A13BFC"/>
    <w:rsid w:val="00A14947"/>
    <w:rsid w:val="00A14C31"/>
    <w:rsid w:val="00A14FDC"/>
    <w:rsid w:val="00A157B6"/>
    <w:rsid w:val="00A16160"/>
    <w:rsid w:val="00A20227"/>
    <w:rsid w:val="00A213EF"/>
    <w:rsid w:val="00A21C0D"/>
    <w:rsid w:val="00A22AB7"/>
    <w:rsid w:val="00A22E1E"/>
    <w:rsid w:val="00A248D6"/>
    <w:rsid w:val="00A24EDF"/>
    <w:rsid w:val="00A307A8"/>
    <w:rsid w:val="00A30CD5"/>
    <w:rsid w:val="00A3229C"/>
    <w:rsid w:val="00A32681"/>
    <w:rsid w:val="00A32A83"/>
    <w:rsid w:val="00A34577"/>
    <w:rsid w:val="00A35D65"/>
    <w:rsid w:val="00A368DB"/>
    <w:rsid w:val="00A36A8D"/>
    <w:rsid w:val="00A373BB"/>
    <w:rsid w:val="00A376D3"/>
    <w:rsid w:val="00A423AA"/>
    <w:rsid w:val="00A43FBF"/>
    <w:rsid w:val="00A45370"/>
    <w:rsid w:val="00A4545D"/>
    <w:rsid w:val="00A45505"/>
    <w:rsid w:val="00A46306"/>
    <w:rsid w:val="00A47494"/>
    <w:rsid w:val="00A500A0"/>
    <w:rsid w:val="00A52869"/>
    <w:rsid w:val="00A53437"/>
    <w:rsid w:val="00A53EC6"/>
    <w:rsid w:val="00A5463B"/>
    <w:rsid w:val="00A54D5E"/>
    <w:rsid w:val="00A55C0F"/>
    <w:rsid w:val="00A57DB5"/>
    <w:rsid w:val="00A607C2"/>
    <w:rsid w:val="00A62032"/>
    <w:rsid w:val="00A6378F"/>
    <w:rsid w:val="00A70033"/>
    <w:rsid w:val="00A727EE"/>
    <w:rsid w:val="00A73C67"/>
    <w:rsid w:val="00A74AB6"/>
    <w:rsid w:val="00A766EA"/>
    <w:rsid w:val="00A80234"/>
    <w:rsid w:val="00A8172B"/>
    <w:rsid w:val="00A8175E"/>
    <w:rsid w:val="00A81E12"/>
    <w:rsid w:val="00A82419"/>
    <w:rsid w:val="00A858CB"/>
    <w:rsid w:val="00A86271"/>
    <w:rsid w:val="00A86613"/>
    <w:rsid w:val="00A8713F"/>
    <w:rsid w:val="00A90BA1"/>
    <w:rsid w:val="00A91C61"/>
    <w:rsid w:val="00A9348E"/>
    <w:rsid w:val="00A96147"/>
    <w:rsid w:val="00A97A9A"/>
    <w:rsid w:val="00AA0671"/>
    <w:rsid w:val="00AA0FDD"/>
    <w:rsid w:val="00AA13C9"/>
    <w:rsid w:val="00AA2531"/>
    <w:rsid w:val="00AA6DF1"/>
    <w:rsid w:val="00AB1590"/>
    <w:rsid w:val="00AB1E09"/>
    <w:rsid w:val="00AB2537"/>
    <w:rsid w:val="00AB290E"/>
    <w:rsid w:val="00AB41E5"/>
    <w:rsid w:val="00AB5330"/>
    <w:rsid w:val="00AB59AD"/>
    <w:rsid w:val="00AB61E2"/>
    <w:rsid w:val="00AB6957"/>
    <w:rsid w:val="00AB7747"/>
    <w:rsid w:val="00AC14CE"/>
    <w:rsid w:val="00AC2A56"/>
    <w:rsid w:val="00AC3315"/>
    <w:rsid w:val="00AD055E"/>
    <w:rsid w:val="00AD1339"/>
    <w:rsid w:val="00AD1A3D"/>
    <w:rsid w:val="00AD3C14"/>
    <w:rsid w:val="00AD47A7"/>
    <w:rsid w:val="00AD4D4E"/>
    <w:rsid w:val="00AD70E9"/>
    <w:rsid w:val="00AE10D9"/>
    <w:rsid w:val="00AE6A5C"/>
    <w:rsid w:val="00AF08B8"/>
    <w:rsid w:val="00AF0CBF"/>
    <w:rsid w:val="00AF1006"/>
    <w:rsid w:val="00AF257F"/>
    <w:rsid w:val="00AF33CF"/>
    <w:rsid w:val="00AF4D50"/>
    <w:rsid w:val="00AF6179"/>
    <w:rsid w:val="00B017CB"/>
    <w:rsid w:val="00B04BD2"/>
    <w:rsid w:val="00B053B0"/>
    <w:rsid w:val="00B05591"/>
    <w:rsid w:val="00B104ED"/>
    <w:rsid w:val="00B1295A"/>
    <w:rsid w:val="00B16DFB"/>
    <w:rsid w:val="00B20A45"/>
    <w:rsid w:val="00B20AB2"/>
    <w:rsid w:val="00B21589"/>
    <w:rsid w:val="00B22385"/>
    <w:rsid w:val="00B22C5C"/>
    <w:rsid w:val="00B24F30"/>
    <w:rsid w:val="00B250B6"/>
    <w:rsid w:val="00B26252"/>
    <w:rsid w:val="00B31364"/>
    <w:rsid w:val="00B31ABF"/>
    <w:rsid w:val="00B327D0"/>
    <w:rsid w:val="00B32877"/>
    <w:rsid w:val="00B33BE3"/>
    <w:rsid w:val="00B355BA"/>
    <w:rsid w:val="00B358B9"/>
    <w:rsid w:val="00B375E7"/>
    <w:rsid w:val="00B41A47"/>
    <w:rsid w:val="00B41AA1"/>
    <w:rsid w:val="00B44C98"/>
    <w:rsid w:val="00B45015"/>
    <w:rsid w:val="00B45F04"/>
    <w:rsid w:val="00B46586"/>
    <w:rsid w:val="00B47F51"/>
    <w:rsid w:val="00B514B5"/>
    <w:rsid w:val="00B52123"/>
    <w:rsid w:val="00B53B5D"/>
    <w:rsid w:val="00B55071"/>
    <w:rsid w:val="00B555F8"/>
    <w:rsid w:val="00B57679"/>
    <w:rsid w:val="00B6055E"/>
    <w:rsid w:val="00B615DC"/>
    <w:rsid w:val="00B61653"/>
    <w:rsid w:val="00B61B93"/>
    <w:rsid w:val="00B6317D"/>
    <w:rsid w:val="00B634FB"/>
    <w:rsid w:val="00B64260"/>
    <w:rsid w:val="00B71B67"/>
    <w:rsid w:val="00B731EB"/>
    <w:rsid w:val="00B73D83"/>
    <w:rsid w:val="00B74DB3"/>
    <w:rsid w:val="00B76750"/>
    <w:rsid w:val="00B7723F"/>
    <w:rsid w:val="00B7769B"/>
    <w:rsid w:val="00B80534"/>
    <w:rsid w:val="00B8433C"/>
    <w:rsid w:val="00B8447B"/>
    <w:rsid w:val="00B85BAF"/>
    <w:rsid w:val="00B861CE"/>
    <w:rsid w:val="00B8724F"/>
    <w:rsid w:val="00B87491"/>
    <w:rsid w:val="00B87E4F"/>
    <w:rsid w:val="00B90C59"/>
    <w:rsid w:val="00B90E34"/>
    <w:rsid w:val="00B91192"/>
    <w:rsid w:val="00B92BE0"/>
    <w:rsid w:val="00B94816"/>
    <w:rsid w:val="00B95F66"/>
    <w:rsid w:val="00BA055D"/>
    <w:rsid w:val="00BA0DAE"/>
    <w:rsid w:val="00BA141A"/>
    <w:rsid w:val="00BA29E9"/>
    <w:rsid w:val="00BA3C54"/>
    <w:rsid w:val="00BA4EAE"/>
    <w:rsid w:val="00BA5109"/>
    <w:rsid w:val="00BA69B5"/>
    <w:rsid w:val="00BA7142"/>
    <w:rsid w:val="00BB237C"/>
    <w:rsid w:val="00BB39B6"/>
    <w:rsid w:val="00BB41A3"/>
    <w:rsid w:val="00BB4FB9"/>
    <w:rsid w:val="00BB5AD4"/>
    <w:rsid w:val="00BB7014"/>
    <w:rsid w:val="00BB71A8"/>
    <w:rsid w:val="00BC1AC8"/>
    <w:rsid w:val="00BC1C62"/>
    <w:rsid w:val="00BC32DC"/>
    <w:rsid w:val="00BC35B6"/>
    <w:rsid w:val="00BC365C"/>
    <w:rsid w:val="00BC3683"/>
    <w:rsid w:val="00BC3FCD"/>
    <w:rsid w:val="00BC410E"/>
    <w:rsid w:val="00BC61A1"/>
    <w:rsid w:val="00BC7414"/>
    <w:rsid w:val="00BC7910"/>
    <w:rsid w:val="00BD0BBE"/>
    <w:rsid w:val="00BD1B51"/>
    <w:rsid w:val="00BD2006"/>
    <w:rsid w:val="00BD4596"/>
    <w:rsid w:val="00BD636C"/>
    <w:rsid w:val="00BD6A3E"/>
    <w:rsid w:val="00BE1405"/>
    <w:rsid w:val="00BE2A21"/>
    <w:rsid w:val="00BE2D9A"/>
    <w:rsid w:val="00BE312D"/>
    <w:rsid w:val="00BE36F0"/>
    <w:rsid w:val="00BE5582"/>
    <w:rsid w:val="00BE5E6A"/>
    <w:rsid w:val="00BE6DD6"/>
    <w:rsid w:val="00BE77E8"/>
    <w:rsid w:val="00BF15AB"/>
    <w:rsid w:val="00BF1C20"/>
    <w:rsid w:val="00BF3960"/>
    <w:rsid w:val="00BF7D4B"/>
    <w:rsid w:val="00C0154B"/>
    <w:rsid w:val="00C02A9A"/>
    <w:rsid w:val="00C0510D"/>
    <w:rsid w:val="00C05A15"/>
    <w:rsid w:val="00C0606D"/>
    <w:rsid w:val="00C073DD"/>
    <w:rsid w:val="00C10578"/>
    <w:rsid w:val="00C133FD"/>
    <w:rsid w:val="00C135BC"/>
    <w:rsid w:val="00C13863"/>
    <w:rsid w:val="00C13B6B"/>
    <w:rsid w:val="00C158A1"/>
    <w:rsid w:val="00C15C95"/>
    <w:rsid w:val="00C20202"/>
    <w:rsid w:val="00C20460"/>
    <w:rsid w:val="00C20AF4"/>
    <w:rsid w:val="00C210C1"/>
    <w:rsid w:val="00C21A5D"/>
    <w:rsid w:val="00C21E12"/>
    <w:rsid w:val="00C2308A"/>
    <w:rsid w:val="00C23988"/>
    <w:rsid w:val="00C24651"/>
    <w:rsid w:val="00C25011"/>
    <w:rsid w:val="00C25333"/>
    <w:rsid w:val="00C2555B"/>
    <w:rsid w:val="00C2596A"/>
    <w:rsid w:val="00C25EB0"/>
    <w:rsid w:val="00C27537"/>
    <w:rsid w:val="00C328FE"/>
    <w:rsid w:val="00C33238"/>
    <w:rsid w:val="00C33507"/>
    <w:rsid w:val="00C342C5"/>
    <w:rsid w:val="00C34CFA"/>
    <w:rsid w:val="00C35132"/>
    <w:rsid w:val="00C3534B"/>
    <w:rsid w:val="00C36000"/>
    <w:rsid w:val="00C42A24"/>
    <w:rsid w:val="00C4409D"/>
    <w:rsid w:val="00C44CFD"/>
    <w:rsid w:val="00C44E72"/>
    <w:rsid w:val="00C454D0"/>
    <w:rsid w:val="00C45A06"/>
    <w:rsid w:val="00C46AB3"/>
    <w:rsid w:val="00C47B18"/>
    <w:rsid w:val="00C47E5B"/>
    <w:rsid w:val="00C5270F"/>
    <w:rsid w:val="00C52C64"/>
    <w:rsid w:val="00C56015"/>
    <w:rsid w:val="00C568D5"/>
    <w:rsid w:val="00C5692F"/>
    <w:rsid w:val="00C61E4B"/>
    <w:rsid w:val="00C61EFA"/>
    <w:rsid w:val="00C64BFF"/>
    <w:rsid w:val="00C6570C"/>
    <w:rsid w:val="00C6586F"/>
    <w:rsid w:val="00C66CE7"/>
    <w:rsid w:val="00C704E9"/>
    <w:rsid w:val="00C7453A"/>
    <w:rsid w:val="00C74B07"/>
    <w:rsid w:val="00C75259"/>
    <w:rsid w:val="00C75E52"/>
    <w:rsid w:val="00C763C9"/>
    <w:rsid w:val="00C7644A"/>
    <w:rsid w:val="00C76E18"/>
    <w:rsid w:val="00C777EE"/>
    <w:rsid w:val="00C80057"/>
    <w:rsid w:val="00C80CC1"/>
    <w:rsid w:val="00C819D8"/>
    <w:rsid w:val="00C82232"/>
    <w:rsid w:val="00C82913"/>
    <w:rsid w:val="00C8291F"/>
    <w:rsid w:val="00C87245"/>
    <w:rsid w:val="00C87C09"/>
    <w:rsid w:val="00C91C0D"/>
    <w:rsid w:val="00C91E3F"/>
    <w:rsid w:val="00C9355C"/>
    <w:rsid w:val="00C935AB"/>
    <w:rsid w:val="00C94566"/>
    <w:rsid w:val="00C95B4F"/>
    <w:rsid w:val="00C96492"/>
    <w:rsid w:val="00C972B1"/>
    <w:rsid w:val="00CA0000"/>
    <w:rsid w:val="00CA2CCE"/>
    <w:rsid w:val="00CA43FD"/>
    <w:rsid w:val="00CA5B5B"/>
    <w:rsid w:val="00CA5F25"/>
    <w:rsid w:val="00CA5FC2"/>
    <w:rsid w:val="00CA7EF8"/>
    <w:rsid w:val="00CB065B"/>
    <w:rsid w:val="00CB0768"/>
    <w:rsid w:val="00CB0A6E"/>
    <w:rsid w:val="00CB17F3"/>
    <w:rsid w:val="00CB216E"/>
    <w:rsid w:val="00CB27E8"/>
    <w:rsid w:val="00CB43BF"/>
    <w:rsid w:val="00CB5CA9"/>
    <w:rsid w:val="00CB6AFB"/>
    <w:rsid w:val="00CC0B7E"/>
    <w:rsid w:val="00CC1B22"/>
    <w:rsid w:val="00CC3FE3"/>
    <w:rsid w:val="00CC489B"/>
    <w:rsid w:val="00CC4C6E"/>
    <w:rsid w:val="00CC5869"/>
    <w:rsid w:val="00CC731E"/>
    <w:rsid w:val="00CC7EC6"/>
    <w:rsid w:val="00CD0DE1"/>
    <w:rsid w:val="00CD2842"/>
    <w:rsid w:val="00CD2BCD"/>
    <w:rsid w:val="00CD3A4C"/>
    <w:rsid w:val="00CD5272"/>
    <w:rsid w:val="00CD6120"/>
    <w:rsid w:val="00CE0087"/>
    <w:rsid w:val="00CE10E9"/>
    <w:rsid w:val="00CE2910"/>
    <w:rsid w:val="00CE2A3C"/>
    <w:rsid w:val="00CE4458"/>
    <w:rsid w:val="00CE5393"/>
    <w:rsid w:val="00CE798F"/>
    <w:rsid w:val="00CF14B8"/>
    <w:rsid w:val="00CF36BE"/>
    <w:rsid w:val="00CF3781"/>
    <w:rsid w:val="00CF5723"/>
    <w:rsid w:val="00CF6000"/>
    <w:rsid w:val="00D003F3"/>
    <w:rsid w:val="00D007E5"/>
    <w:rsid w:val="00D0364F"/>
    <w:rsid w:val="00D04305"/>
    <w:rsid w:val="00D0469B"/>
    <w:rsid w:val="00D054A6"/>
    <w:rsid w:val="00D05FC7"/>
    <w:rsid w:val="00D06834"/>
    <w:rsid w:val="00D11B3D"/>
    <w:rsid w:val="00D12C90"/>
    <w:rsid w:val="00D13FA7"/>
    <w:rsid w:val="00D150A8"/>
    <w:rsid w:val="00D161E7"/>
    <w:rsid w:val="00D22249"/>
    <w:rsid w:val="00D25BEC"/>
    <w:rsid w:val="00D26D92"/>
    <w:rsid w:val="00D308ED"/>
    <w:rsid w:val="00D321B9"/>
    <w:rsid w:val="00D33F37"/>
    <w:rsid w:val="00D34977"/>
    <w:rsid w:val="00D362E8"/>
    <w:rsid w:val="00D36D86"/>
    <w:rsid w:val="00D373EF"/>
    <w:rsid w:val="00D40629"/>
    <w:rsid w:val="00D412E0"/>
    <w:rsid w:val="00D428AA"/>
    <w:rsid w:val="00D46995"/>
    <w:rsid w:val="00D50334"/>
    <w:rsid w:val="00D50A34"/>
    <w:rsid w:val="00D53EFA"/>
    <w:rsid w:val="00D557D9"/>
    <w:rsid w:val="00D57331"/>
    <w:rsid w:val="00D5752D"/>
    <w:rsid w:val="00D65D43"/>
    <w:rsid w:val="00D70952"/>
    <w:rsid w:val="00D72E57"/>
    <w:rsid w:val="00D75C68"/>
    <w:rsid w:val="00D77F8D"/>
    <w:rsid w:val="00D8111F"/>
    <w:rsid w:val="00D827BE"/>
    <w:rsid w:val="00D844A7"/>
    <w:rsid w:val="00D874D4"/>
    <w:rsid w:val="00D920E7"/>
    <w:rsid w:val="00D92C6D"/>
    <w:rsid w:val="00D932F8"/>
    <w:rsid w:val="00D94A7C"/>
    <w:rsid w:val="00D94C52"/>
    <w:rsid w:val="00D95896"/>
    <w:rsid w:val="00D960CF"/>
    <w:rsid w:val="00DA1D18"/>
    <w:rsid w:val="00DA293B"/>
    <w:rsid w:val="00DA307C"/>
    <w:rsid w:val="00DA3E1E"/>
    <w:rsid w:val="00DA5219"/>
    <w:rsid w:val="00DA644D"/>
    <w:rsid w:val="00DA65FF"/>
    <w:rsid w:val="00DB2983"/>
    <w:rsid w:val="00DB49A5"/>
    <w:rsid w:val="00DB4ADF"/>
    <w:rsid w:val="00DB61B9"/>
    <w:rsid w:val="00DC1257"/>
    <w:rsid w:val="00DC3DC0"/>
    <w:rsid w:val="00DC4CE1"/>
    <w:rsid w:val="00DC5970"/>
    <w:rsid w:val="00DC5B2B"/>
    <w:rsid w:val="00DC6204"/>
    <w:rsid w:val="00DC6301"/>
    <w:rsid w:val="00DC6C65"/>
    <w:rsid w:val="00DD06B5"/>
    <w:rsid w:val="00DD158F"/>
    <w:rsid w:val="00DD318D"/>
    <w:rsid w:val="00DD3615"/>
    <w:rsid w:val="00DD3B20"/>
    <w:rsid w:val="00DD4F6A"/>
    <w:rsid w:val="00DD7A9D"/>
    <w:rsid w:val="00DE0902"/>
    <w:rsid w:val="00DE10E9"/>
    <w:rsid w:val="00DE4BBA"/>
    <w:rsid w:val="00DE5FC5"/>
    <w:rsid w:val="00DE7E54"/>
    <w:rsid w:val="00DE7F5B"/>
    <w:rsid w:val="00DF085B"/>
    <w:rsid w:val="00DF1193"/>
    <w:rsid w:val="00DF133C"/>
    <w:rsid w:val="00DF135D"/>
    <w:rsid w:val="00DF1B4D"/>
    <w:rsid w:val="00DF2E12"/>
    <w:rsid w:val="00DF3406"/>
    <w:rsid w:val="00DF3B79"/>
    <w:rsid w:val="00DF3C5C"/>
    <w:rsid w:val="00DF46E2"/>
    <w:rsid w:val="00DF514A"/>
    <w:rsid w:val="00DF540A"/>
    <w:rsid w:val="00DF5AE3"/>
    <w:rsid w:val="00DF6690"/>
    <w:rsid w:val="00DF6804"/>
    <w:rsid w:val="00DF6FE1"/>
    <w:rsid w:val="00DF72E4"/>
    <w:rsid w:val="00E00566"/>
    <w:rsid w:val="00E0152F"/>
    <w:rsid w:val="00E034A8"/>
    <w:rsid w:val="00E0358D"/>
    <w:rsid w:val="00E04323"/>
    <w:rsid w:val="00E070A2"/>
    <w:rsid w:val="00E07237"/>
    <w:rsid w:val="00E10512"/>
    <w:rsid w:val="00E11AC6"/>
    <w:rsid w:val="00E12175"/>
    <w:rsid w:val="00E128E5"/>
    <w:rsid w:val="00E20408"/>
    <w:rsid w:val="00E21502"/>
    <w:rsid w:val="00E22BC9"/>
    <w:rsid w:val="00E23134"/>
    <w:rsid w:val="00E249F9"/>
    <w:rsid w:val="00E2656A"/>
    <w:rsid w:val="00E26575"/>
    <w:rsid w:val="00E31046"/>
    <w:rsid w:val="00E31188"/>
    <w:rsid w:val="00E3329A"/>
    <w:rsid w:val="00E34DDD"/>
    <w:rsid w:val="00E412D0"/>
    <w:rsid w:val="00E510FC"/>
    <w:rsid w:val="00E538BA"/>
    <w:rsid w:val="00E56322"/>
    <w:rsid w:val="00E60982"/>
    <w:rsid w:val="00E61A8B"/>
    <w:rsid w:val="00E61BC0"/>
    <w:rsid w:val="00E62C62"/>
    <w:rsid w:val="00E65395"/>
    <w:rsid w:val="00E654C1"/>
    <w:rsid w:val="00E65D60"/>
    <w:rsid w:val="00E65D97"/>
    <w:rsid w:val="00E72A5A"/>
    <w:rsid w:val="00E73354"/>
    <w:rsid w:val="00E7637D"/>
    <w:rsid w:val="00E772AB"/>
    <w:rsid w:val="00E802A8"/>
    <w:rsid w:val="00E812CE"/>
    <w:rsid w:val="00E8156F"/>
    <w:rsid w:val="00E8169E"/>
    <w:rsid w:val="00E85519"/>
    <w:rsid w:val="00E91CD0"/>
    <w:rsid w:val="00E9242D"/>
    <w:rsid w:val="00E948BE"/>
    <w:rsid w:val="00E952D1"/>
    <w:rsid w:val="00E95F23"/>
    <w:rsid w:val="00E96C49"/>
    <w:rsid w:val="00E9746E"/>
    <w:rsid w:val="00E97895"/>
    <w:rsid w:val="00EA0BB3"/>
    <w:rsid w:val="00EA17D1"/>
    <w:rsid w:val="00EA2370"/>
    <w:rsid w:val="00EA2E71"/>
    <w:rsid w:val="00EA6874"/>
    <w:rsid w:val="00EB14B7"/>
    <w:rsid w:val="00EB3C5A"/>
    <w:rsid w:val="00EB4CAF"/>
    <w:rsid w:val="00EB5255"/>
    <w:rsid w:val="00EB5335"/>
    <w:rsid w:val="00EB5C47"/>
    <w:rsid w:val="00EB7EE9"/>
    <w:rsid w:val="00EC0E67"/>
    <w:rsid w:val="00EC2D3A"/>
    <w:rsid w:val="00EC5602"/>
    <w:rsid w:val="00EC5627"/>
    <w:rsid w:val="00EC58CC"/>
    <w:rsid w:val="00EC6234"/>
    <w:rsid w:val="00EC77F4"/>
    <w:rsid w:val="00EC7FCC"/>
    <w:rsid w:val="00ED0639"/>
    <w:rsid w:val="00ED32B6"/>
    <w:rsid w:val="00ED3A54"/>
    <w:rsid w:val="00ED3A61"/>
    <w:rsid w:val="00ED4E9E"/>
    <w:rsid w:val="00ED5287"/>
    <w:rsid w:val="00ED5D4E"/>
    <w:rsid w:val="00EE11A3"/>
    <w:rsid w:val="00EE16BB"/>
    <w:rsid w:val="00EE432E"/>
    <w:rsid w:val="00EE66E3"/>
    <w:rsid w:val="00EF0093"/>
    <w:rsid w:val="00EF3756"/>
    <w:rsid w:val="00EF4755"/>
    <w:rsid w:val="00EF7135"/>
    <w:rsid w:val="00F000A6"/>
    <w:rsid w:val="00F0076B"/>
    <w:rsid w:val="00F00BBA"/>
    <w:rsid w:val="00F0114E"/>
    <w:rsid w:val="00F01FA6"/>
    <w:rsid w:val="00F027DB"/>
    <w:rsid w:val="00F0288F"/>
    <w:rsid w:val="00F03585"/>
    <w:rsid w:val="00F04A6F"/>
    <w:rsid w:val="00F07054"/>
    <w:rsid w:val="00F07A36"/>
    <w:rsid w:val="00F13B41"/>
    <w:rsid w:val="00F13F2D"/>
    <w:rsid w:val="00F14A7A"/>
    <w:rsid w:val="00F14F2C"/>
    <w:rsid w:val="00F15E7C"/>
    <w:rsid w:val="00F16CD5"/>
    <w:rsid w:val="00F219F2"/>
    <w:rsid w:val="00F22985"/>
    <w:rsid w:val="00F22D92"/>
    <w:rsid w:val="00F2438F"/>
    <w:rsid w:val="00F2529D"/>
    <w:rsid w:val="00F277B7"/>
    <w:rsid w:val="00F27CCA"/>
    <w:rsid w:val="00F31F0E"/>
    <w:rsid w:val="00F3383E"/>
    <w:rsid w:val="00F34C06"/>
    <w:rsid w:val="00F36812"/>
    <w:rsid w:val="00F40248"/>
    <w:rsid w:val="00F4082F"/>
    <w:rsid w:val="00F4105A"/>
    <w:rsid w:val="00F421FF"/>
    <w:rsid w:val="00F43796"/>
    <w:rsid w:val="00F45527"/>
    <w:rsid w:val="00F465A7"/>
    <w:rsid w:val="00F46D27"/>
    <w:rsid w:val="00F47DF7"/>
    <w:rsid w:val="00F50B7C"/>
    <w:rsid w:val="00F52465"/>
    <w:rsid w:val="00F527A0"/>
    <w:rsid w:val="00F550E6"/>
    <w:rsid w:val="00F606E7"/>
    <w:rsid w:val="00F63FBF"/>
    <w:rsid w:val="00F646DB"/>
    <w:rsid w:val="00F64B05"/>
    <w:rsid w:val="00F65AA1"/>
    <w:rsid w:val="00F6693F"/>
    <w:rsid w:val="00F670EE"/>
    <w:rsid w:val="00F7103B"/>
    <w:rsid w:val="00F72C18"/>
    <w:rsid w:val="00F7407A"/>
    <w:rsid w:val="00F74345"/>
    <w:rsid w:val="00F7498B"/>
    <w:rsid w:val="00F75B3E"/>
    <w:rsid w:val="00F80A0A"/>
    <w:rsid w:val="00F816D4"/>
    <w:rsid w:val="00F82214"/>
    <w:rsid w:val="00F8254D"/>
    <w:rsid w:val="00F82B19"/>
    <w:rsid w:val="00F84F01"/>
    <w:rsid w:val="00F855C5"/>
    <w:rsid w:val="00F878F5"/>
    <w:rsid w:val="00F919FC"/>
    <w:rsid w:val="00F91CEE"/>
    <w:rsid w:val="00F9212D"/>
    <w:rsid w:val="00F93674"/>
    <w:rsid w:val="00F965DA"/>
    <w:rsid w:val="00F971B1"/>
    <w:rsid w:val="00F97DD3"/>
    <w:rsid w:val="00FA00C3"/>
    <w:rsid w:val="00FA011A"/>
    <w:rsid w:val="00FA2C9F"/>
    <w:rsid w:val="00FA406A"/>
    <w:rsid w:val="00FA52C6"/>
    <w:rsid w:val="00FA6022"/>
    <w:rsid w:val="00FA7F37"/>
    <w:rsid w:val="00FB0E5F"/>
    <w:rsid w:val="00FB3382"/>
    <w:rsid w:val="00FB373C"/>
    <w:rsid w:val="00FB4A7B"/>
    <w:rsid w:val="00FB503A"/>
    <w:rsid w:val="00FB516C"/>
    <w:rsid w:val="00FB715A"/>
    <w:rsid w:val="00FC00F8"/>
    <w:rsid w:val="00FC018D"/>
    <w:rsid w:val="00FC40D0"/>
    <w:rsid w:val="00FC45C4"/>
    <w:rsid w:val="00FC675B"/>
    <w:rsid w:val="00FC6986"/>
    <w:rsid w:val="00FD0236"/>
    <w:rsid w:val="00FD18F4"/>
    <w:rsid w:val="00FD4F05"/>
    <w:rsid w:val="00FD54DB"/>
    <w:rsid w:val="00FD619F"/>
    <w:rsid w:val="00FE1C21"/>
    <w:rsid w:val="00FE204A"/>
    <w:rsid w:val="00FE29D2"/>
    <w:rsid w:val="00FE541C"/>
    <w:rsid w:val="00FF2235"/>
    <w:rsid w:val="00FF2B5C"/>
    <w:rsid w:val="00FF377F"/>
    <w:rsid w:val="00FF3B4E"/>
    <w:rsid w:val="00FF4B56"/>
    <w:rsid w:val="00FF62E0"/>
    <w:rsid w:val="0104417D"/>
    <w:rsid w:val="01080F82"/>
    <w:rsid w:val="010B2104"/>
    <w:rsid w:val="01290F7E"/>
    <w:rsid w:val="0136557F"/>
    <w:rsid w:val="015D1E09"/>
    <w:rsid w:val="01667701"/>
    <w:rsid w:val="01685CBB"/>
    <w:rsid w:val="01790EEF"/>
    <w:rsid w:val="01853E11"/>
    <w:rsid w:val="01A71FD9"/>
    <w:rsid w:val="01E0373D"/>
    <w:rsid w:val="01E202A3"/>
    <w:rsid w:val="01E4322D"/>
    <w:rsid w:val="01E7687A"/>
    <w:rsid w:val="01EF572E"/>
    <w:rsid w:val="02057543"/>
    <w:rsid w:val="022C0939"/>
    <w:rsid w:val="02532161"/>
    <w:rsid w:val="025C057B"/>
    <w:rsid w:val="02697903"/>
    <w:rsid w:val="02720839"/>
    <w:rsid w:val="02722BB5"/>
    <w:rsid w:val="02734D97"/>
    <w:rsid w:val="02906F11"/>
    <w:rsid w:val="02A94878"/>
    <w:rsid w:val="02D46F2C"/>
    <w:rsid w:val="02E42701"/>
    <w:rsid w:val="02E66B31"/>
    <w:rsid w:val="02F91005"/>
    <w:rsid w:val="02F96569"/>
    <w:rsid w:val="03015E8F"/>
    <w:rsid w:val="030C1D48"/>
    <w:rsid w:val="030F466E"/>
    <w:rsid w:val="03174F3D"/>
    <w:rsid w:val="033E24D1"/>
    <w:rsid w:val="03463F26"/>
    <w:rsid w:val="034877EC"/>
    <w:rsid w:val="035D6442"/>
    <w:rsid w:val="036068E4"/>
    <w:rsid w:val="036F1CC3"/>
    <w:rsid w:val="0385553E"/>
    <w:rsid w:val="03C520CE"/>
    <w:rsid w:val="03C926DB"/>
    <w:rsid w:val="03DD4830"/>
    <w:rsid w:val="03DE5A5A"/>
    <w:rsid w:val="03EA7B21"/>
    <w:rsid w:val="04340BCF"/>
    <w:rsid w:val="04477F08"/>
    <w:rsid w:val="04754611"/>
    <w:rsid w:val="048B5BE2"/>
    <w:rsid w:val="049031D6"/>
    <w:rsid w:val="04BC15EA"/>
    <w:rsid w:val="04BF3ADE"/>
    <w:rsid w:val="04C74740"/>
    <w:rsid w:val="04D551D4"/>
    <w:rsid w:val="04D95A63"/>
    <w:rsid w:val="04E21C0B"/>
    <w:rsid w:val="05047743"/>
    <w:rsid w:val="05065269"/>
    <w:rsid w:val="050F6813"/>
    <w:rsid w:val="052878D5"/>
    <w:rsid w:val="05393890"/>
    <w:rsid w:val="05500DBB"/>
    <w:rsid w:val="056A7BE8"/>
    <w:rsid w:val="057940B5"/>
    <w:rsid w:val="05812A29"/>
    <w:rsid w:val="05816FE5"/>
    <w:rsid w:val="05B42F17"/>
    <w:rsid w:val="05C649F8"/>
    <w:rsid w:val="05D0310C"/>
    <w:rsid w:val="05E34401"/>
    <w:rsid w:val="05F15F19"/>
    <w:rsid w:val="05F83EAE"/>
    <w:rsid w:val="0607573C"/>
    <w:rsid w:val="0617479A"/>
    <w:rsid w:val="062067FE"/>
    <w:rsid w:val="063E7D85"/>
    <w:rsid w:val="063F4ED6"/>
    <w:rsid w:val="065625D9"/>
    <w:rsid w:val="065B7836"/>
    <w:rsid w:val="0667442D"/>
    <w:rsid w:val="066E556C"/>
    <w:rsid w:val="067F4FD9"/>
    <w:rsid w:val="06CF1BCA"/>
    <w:rsid w:val="06D41DC0"/>
    <w:rsid w:val="06DB643E"/>
    <w:rsid w:val="071108C4"/>
    <w:rsid w:val="072713FE"/>
    <w:rsid w:val="07293586"/>
    <w:rsid w:val="07295285"/>
    <w:rsid w:val="074A10E3"/>
    <w:rsid w:val="074D53D1"/>
    <w:rsid w:val="07636392"/>
    <w:rsid w:val="07770C56"/>
    <w:rsid w:val="07805E30"/>
    <w:rsid w:val="07837045"/>
    <w:rsid w:val="078D1C71"/>
    <w:rsid w:val="078D3A1F"/>
    <w:rsid w:val="079915CE"/>
    <w:rsid w:val="07C2410E"/>
    <w:rsid w:val="07C84A57"/>
    <w:rsid w:val="082C1C1A"/>
    <w:rsid w:val="082C3238"/>
    <w:rsid w:val="08362309"/>
    <w:rsid w:val="083E2407"/>
    <w:rsid w:val="08483279"/>
    <w:rsid w:val="08522238"/>
    <w:rsid w:val="086F66D8"/>
    <w:rsid w:val="087C339E"/>
    <w:rsid w:val="088B3384"/>
    <w:rsid w:val="08A811EA"/>
    <w:rsid w:val="08A94889"/>
    <w:rsid w:val="08B5278D"/>
    <w:rsid w:val="08B52902"/>
    <w:rsid w:val="08C40B70"/>
    <w:rsid w:val="08E6156B"/>
    <w:rsid w:val="08E64CA7"/>
    <w:rsid w:val="08F57AF9"/>
    <w:rsid w:val="091B5101"/>
    <w:rsid w:val="091C05F8"/>
    <w:rsid w:val="091D7025"/>
    <w:rsid w:val="092217DD"/>
    <w:rsid w:val="09397462"/>
    <w:rsid w:val="093A1C48"/>
    <w:rsid w:val="093A7294"/>
    <w:rsid w:val="09434CDD"/>
    <w:rsid w:val="094649F8"/>
    <w:rsid w:val="09547AF8"/>
    <w:rsid w:val="095C18FB"/>
    <w:rsid w:val="09727371"/>
    <w:rsid w:val="099E3CC2"/>
    <w:rsid w:val="09BB0A26"/>
    <w:rsid w:val="09D03B44"/>
    <w:rsid w:val="09E560CA"/>
    <w:rsid w:val="09F72640"/>
    <w:rsid w:val="0A0124A3"/>
    <w:rsid w:val="0A1C0D46"/>
    <w:rsid w:val="0A263993"/>
    <w:rsid w:val="0A2D3AC2"/>
    <w:rsid w:val="0A4725AB"/>
    <w:rsid w:val="0A5C2888"/>
    <w:rsid w:val="0A5D4E6B"/>
    <w:rsid w:val="0A5E2710"/>
    <w:rsid w:val="0A7F3E0B"/>
    <w:rsid w:val="0A85026F"/>
    <w:rsid w:val="0A8728B1"/>
    <w:rsid w:val="0A9413F0"/>
    <w:rsid w:val="0AA755DF"/>
    <w:rsid w:val="0ABD0ABF"/>
    <w:rsid w:val="0B0F299D"/>
    <w:rsid w:val="0B120D44"/>
    <w:rsid w:val="0B20514C"/>
    <w:rsid w:val="0B265517"/>
    <w:rsid w:val="0B9E444D"/>
    <w:rsid w:val="0BC15C56"/>
    <w:rsid w:val="0BD06458"/>
    <w:rsid w:val="0BD27BF6"/>
    <w:rsid w:val="0BF51CAC"/>
    <w:rsid w:val="0BF60083"/>
    <w:rsid w:val="0C0A7D34"/>
    <w:rsid w:val="0C177D5B"/>
    <w:rsid w:val="0C177D79"/>
    <w:rsid w:val="0C2226EA"/>
    <w:rsid w:val="0C3B3C7D"/>
    <w:rsid w:val="0C4A0131"/>
    <w:rsid w:val="0C7A4184"/>
    <w:rsid w:val="0C831E08"/>
    <w:rsid w:val="0CA535B9"/>
    <w:rsid w:val="0CAA0BCF"/>
    <w:rsid w:val="0CAB2EAE"/>
    <w:rsid w:val="0CB3217A"/>
    <w:rsid w:val="0CBB78C0"/>
    <w:rsid w:val="0CE22434"/>
    <w:rsid w:val="0CFA3905"/>
    <w:rsid w:val="0D0504FC"/>
    <w:rsid w:val="0D0F3224"/>
    <w:rsid w:val="0D1A400D"/>
    <w:rsid w:val="0D24449E"/>
    <w:rsid w:val="0D547A1E"/>
    <w:rsid w:val="0D621C7D"/>
    <w:rsid w:val="0D6351D8"/>
    <w:rsid w:val="0D69333C"/>
    <w:rsid w:val="0D696CDD"/>
    <w:rsid w:val="0D731909"/>
    <w:rsid w:val="0D7B3738"/>
    <w:rsid w:val="0D8F0AE7"/>
    <w:rsid w:val="0DBF4FE5"/>
    <w:rsid w:val="0DD356D3"/>
    <w:rsid w:val="0DE34E61"/>
    <w:rsid w:val="0DF129EC"/>
    <w:rsid w:val="0DF46DB9"/>
    <w:rsid w:val="0DFE11D3"/>
    <w:rsid w:val="0E146C48"/>
    <w:rsid w:val="0E275374"/>
    <w:rsid w:val="0E2B0241"/>
    <w:rsid w:val="0E4E0483"/>
    <w:rsid w:val="0E6053BD"/>
    <w:rsid w:val="0E6C0832"/>
    <w:rsid w:val="0E70782D"/>
    <w:rsid w:val="0E73034D"/>
    <w:rsid w:val="0E7E38D5"/>
    <w:rsid w:val="0E7F48AE"/>
    <w:rsid w:val="0EBB5323"/>
    <w:rsid w:val="0EDA7FEB"/>
    <w:rsid w:val="0EE031F6"/>
    <w:rsid w:val="0EEF559E"/>
    <w:rsid w:val="0EF51970"/>
    <w:rsid w:val="0EFE3455"/>
    <w:rsid w:val="0F0D74B0"/>
    <w:rsid w:val="0F13775A"/>
    <w:rsid w:val="0F145388"/>
    <w:rsid w:val="0F4075C9"/>
    <w:rsid w:val="0F580DB7"/>
    <w:rsid w:val="0F5F3EF3"/>
    <w:rsid w:val="0F5F45FE"/>
    <w:rsid w:val="0F68725A"/>
    <w:rsid w:val="0F6B0AEA"/>
    <w:rsid w:val="0F85734F"/>
    <w:rsid w:val="0F9A112B"/>
    <w:rsid w:val="0F9E2E3C"/>
    <w:rsid w:val="0FA335DA"/>
    <w:rsid w:val="0FA638D0"/>
    <w:rsid w:val="0FBA3053"/>
    <w:rsid w:val="0FBE2E45"/>
    <w:rsid w:val="101D790A"/>
    <w:rsid w:val="10352371"/>
    <w:rsid w:val="10392996"/>
    <w:rsid w:val="10481722"/>
    <w:rsid w:val="1054157E"/>
    <w:rsid w:val="105E41AB"/>
    <w:rsid w:val="106A0DA2"/>
    <w:rsid w:val="106D2F64"/>
    <w:rsid w:val="1070206F"/>
    <w:rsid w:val="107E2DD0"/>
    <w:rsid w:val="10822DCF"/>
    <w:rsid w:val="10A65B52"/>
    <w:rsid w:val="10AA09E6"/>
    <w:rsid w:val="10B63710"/>
    <w:rsid w:val="10D34B99"/>
    <w:rsid w:val="10D75D0B"/>
    <w:rsid w:val="10E46C84"/>
    <w:rsid w:val="10F10820"/>
    <w:rsid w:val="10F93882"/>
    <w:rsid w:val="10FE773C"/>
    <w:rsid w:val="110D797F"/>
    <w:rsid w:val="111C2F7A"/>
    <w:rsid w:val="11230F50"/>
    <w:rsid w:val="112770B6"/>
    <w:rsid w:val="115B57DE"/>
    <w:rsid w:val="116363EF"/>
    <w:rsid w:val="11665CA1"/>
    <w:rsid w:val="116972AB"/>
    <w:rsid w:val="119500A0"/>
    <w:rsid w:val="11F33019"/>
    <w:rsid w:val="120D77B9"/>
    <w:rsid w:val="121C431D"/>
    <w:rsid w:val="12282CC2"/>
    <w:rsid w:val="123F1FF0"/>
    <w:rsid w:val="124F64A1"/>
    <w:rsid w:val="12665599"/>
    <w:rsid w:val="12902616"/>
    <w:rsid w:val="12C02EFB"/>
    <w:rsid w:val="12CA622D"/>
    <w:rsid w:val="12CD6C41"/>
    <w:rsid w:val="130E3F08"/>
    <w:rsid w:val="130F4837"/>
    <w:rsid w:val="13156259"/>
    <w:rsid w:val="13165211"/>
    <w:rsid w:val="131B6383"/>
    <w:rsid w:val="13497394"/>
    <w:rsid w:val="13683FE0"/>
    <w:rsid w:val="13826402"/>
    <w:rsid w:val="13951726"/>
    <w:rsid w:val="13A05E8B"/>
    <w:rsid w:val="13B808BE"/>
    <w:rsid w:val="13CD7365"/>
    <w:rsid w:val="13DA7FEC"/>
    <w:rsid w:val="13ED6813"/>
    <w:rsid w:val="13F015BE"/>
    <w:rsid w:val="13FF0F6E"/>
    <w:rsid w:val="14232F50"/>
    <w:rsid w:val="14315153"/>
    <w:rsid w:val="143534B6"/>
    <w:rsid w:val="14385CE9"/>
    <w:rsid w:val="14396509"/>
    <w:rsid w:val="144954FD"/>
    <w:rsid w:val="14524026"/>
    <w:rsid w:val="1470712F"/>
    <w:rsid w:val="147321EF"/>
    <w:rsid w:val="14740441"/>
    <w:rsid w:val="148D32B1"/>
    <w:rsid w:val="149A7786"/>
    <w:rsid w:val="14A070D9"/>
    <w:rsid w:val="14A30DAB"/>
    <w:rsid w:val="14AA501D"/>
    <w:rsid w:val="14C005B3"/>
    <w:rsid w:val="14DD2C3C"/>
    <w:rsid w:val="14EF1875"/>
    <w:rsid w:val="152F25BA"/>
    <w:rsid w:val="15352576"/>
    <w:rsid w:val="15542020"/>
    <w:rsid w:val="15685B19"/>
    <w:rsid w:val="1568787A"/>
    <w:rsid w:val="1573100F"/>
    <w:rsid w:val="159F02A7"/>
    <w:rsid w:val="15A27282"/>
    <w:rsid w:val="15BC5303"/>
    <w:rsid w:val="15C4390D"/>
    <w:rsid w:val="15E62928"/>
    <w:rsid w:val="16087E1D"/>
    <w:rsid w:val="16092E0B"/>
    <w:rsid w:val="16167D9A"/>
    <w:rsid w:val="162B70EA"/>
    <w:rsid w:val="16300397"/>
    <w:rsid w:val="164E081E"/>
    <w:rsid w:val="16557B60"/>
    <w:rsid w:val="16B00EFF"/>
    <w:rsid w:val="16BC1C2B"/>
    <w:rsid w:val="16CA129B"/>
    <w:rsid w:val="16DB47A7"/>
    <w:rsid w:val="16F275CC"/>
    <w:rsid w:val="170C38F2"/>
    <w:rsid w:val="171F6E14"/>
    <w:rsid w:val="17400B06"/>
    <w:rsid w:val="175314BC"/>
    <w:rsid w:val="175639C9"/>
    <w:rsid w:val="17650D6F"/>
    <w:rsid w:val="1768590F"/>
    <w:rsid w:val="17701D14"/>
    <w:rsid w:val="17735226"/>
    <w:rsid w:val="177644D0"/>
    <w:rsid w:val="17944956"/>
    <w:rsid w:val="17A822A7"/>
    <w:rsid w:val="17AB65D5"/>
    <w:rsid w:val="17B60D70"/>
    <w:rsid w:val="180E295A"/>
    <w:rsid w:val="18104747"/>
    <w:rsid w:val="182E6B59"/>
    <w:rsid w:val="18376D3C"/>
    <w:rsid w:val="18381E37"/>
    <w:rsid w:val="18462DFF"/>
    <w:rsid w:val="18507147"/>
    <w:rsid w:val="18560801"/>
    <w:rsid w:val="18736C61"/>
    <w:rsid w:val="187D53EA"/>
    <w:rsid w:val="189C5BCC"/>
    <w:rsid w:val="189D3D09"/>
    <w:rsid w:val="189F624C"/>
    <w:rsid w:val="18AA62B5"/>
    <w:rsid w:val="18C243F8"/>
    <w:rsid w:val="18C26AAD"/>
    <w:rsid w:val="18D05E62"/>
    <w:rsid w:val="18E563CD"/>
    <w:rsid w:val="18E63421"/>
    <w:rsid w:val="18E65685"/>
    <w:rsid w:val="18EB427C"/>
    <w:rsid w:val="19011E52"/>
    <w:rsid w:val="19111E4D"/>
    <w:rsid w:val="192673B2"/>
    <w:rsid w:val="19283F59"/>
    <w:rsid w:val="192D5062"/>
    <w:rsid w:val="19436634"/>
    <w:rsid w:val="194D72B5"/>
    <w:rsid w:val="195517CC"/>
    <w:rsid w:val="198D3D53"/>
    <w:rsid w:val="19923902"/>
    <w:rsid w:val="19AD2120"/>
    <w:rsid w:val="19C824CF"/>
    <w:rsid w:val="19E519C5"/>
    <w:rsid w:val="19F66F6A"/>
    <w:rsid w:val="1A034E16"/>
    <w:rsid w:val="1A1C66C0"/>
    <w:rsid w:val="1A271AB1"/>
    <w:rsid w:val="1A3506AB"/>
    <w:rsid w:val="1A42393B"/>
    <w:rsid w:val="1A451D4E"/>
    <w:rsid w:val="1A4E34E2"/>
    <w:rsid w:val="1A4F3748"/>
    <w:rsid w:val="1A66082C"/>
    <w:rsid w:val="1A7B26A9"/>
    <w:rsid w:val="1AAD45DE"/>
    <w:rsid w:val="1AB5530F"/>
    <w:rsid w:val="1AB63EB6"/>
    <w:rsid w:val="1ABE2271"/>
    <w:rsid w:val="1ADC5488"/>
    <w:rsid w:val="1AE14F00"/>
    <w:rsid w:val="1AF26D42"/>
    <w:rsid w:val="1B046F80"/>
    <w:rsid w:val="1B0F349B"/>
    <w:rsid w:val="1B18135F"/>
    <w:rsid w:val="1B1A33C4"/>
    <w:rsid w:val="1B3267B5"/>
    <w:rsid w:val="1B40161D"/>
    <w:rsid w:val="1B441859"/>
    <w:rsid w:val="1B4B5C73"/>
    <w:rsid w:val="1B4D39EB"/>
    <w:rsid w:val="1B6606B1"/>
    <w:rsid w:val="1B682381"/>
    <w:rsid w:val="1B782BD8"/>
    <w:rsid w:val="1B8D003A"/>
    <w:rsid w:val="1BAA02EE"/>
    <w:rsid w:val="1BB43819"/>
    <w:rsid w:val="1BCC4DA1"/>
    <w:rsid w:val="1BF63E31"/>
    <w:rsid w:val="1C1F63C6"/>
    <w:rsid w:val="1C5A1D00"/>
    <w:rsid w:val="1C5A43C0"/>
    <w:rsid w:val="1C5E7925"/>
    <w:rsid w:val="1C9F0025"/>
    <w:rsid w:val="1CDE0A90"/>
    <w:rsid w:val="1CE974F2"/>
    <w:rsid w:val="1CFD070F"/>
    <w:rsid w:val="1D063C00"/>
    <w:rsid w:val="1D2C0BEB"/>
    <w:rsid w:val="1D336A4E"/>
    <w:rsid w:val="1D37110B"/>
    <w:rsid w:val="1D446291"/>
    <w:rsid w:val="1D48246B"/>
    <w:rsid w:val="1D4D6540"/>
    <w:rsid w:val="1D5113F8"/>
    <w:rsid w:val="1D5F6196"/>
    <w:rsid w:val="1D6132A5"/>
    <w:rsid w:val="1D6D0123"/>
    <w:rsid w:val="1D8E56D5"/>
    <w:rsid w:val="1DB8056B"/>
    <w:rsid w:val="1DDF4451"/>
    <w:rsid w:val="1DE33F41"/>
    <w:rsid w:val="1DE50B42"/>
    <w:rsid w:val="1E0A5972"/>
    <w:rsid w:val="1E0F34E6"/>
    <w:rsid w:val="1E3830B5"/>
    <w:rsid w:val="1E403DF9"/>
    <w:rsid w:val="1E636E30"/>
    <w:rsid w:val="1E650DFA"/>
    <w:rsid w:val="1E752784"/>
    <w:rsid w:val="1E7A43DA"/>
    <w:rsid w:val="1E8456B7"/>
    <w:rsid w:val="1E8E3337"/>
    <w:rsid w:val="1EAB1C37"/>
    <w:rsid w:val="1EC37BCD"/>
    <w:rsid w:val="1ECA41B9"/>
    <w:rsid w:val="1ECC114A"/>
    <w:rsid w:val="1ECC76F1"/>
    <w:rsid w:val="1EEA12FF"/>
    <w:rsid w:val="1EEB1B44"/>
    <w:rsid w:val="1F0E2351"/>
    <w:rsid w:val="1F530EDC"/>
    <w:rsid w:val="1F651542"/>
    <w:rsid w:val="1FB73684"/>
    <w:rsid w:val="1FC61CE9"/>
    <w:rsid w:val="1FDC2238"/>
    <w:rsid w:val="1FE5578F"/>
    <w:rsid w:val="1FE7539E"/>
    <w:rsid w:val="1FEE287A"/>
    <w:rsid w:val="1FEF1CA8"/>
    <w:rsid w:val="20146F7C"/>
    <w:rsid w:val="201C5A4A"/>
    <w:rsid w:val="203B546C"/>
    <w:rsid w:val="203E5ED4"/>
    <w:rsid w:val="203E7B55"/>
    <w:rsid w:val="20427645"/>
    <w:rsid w:val="20546AD4"/>
    <w:rsid w:val="20671BE0"/>
    <w:rsid w:val="20713A86"/>
    <w:rsid w:val="20737B9A"/>
    <w:rsid w:val="207E5AA3"/>
    <w:rsid w:val="2096359A"/>
    <w:rsid w:val="20963CB8"/>
    <w:rsid w:val="209854B7"/>
    <w:rsid w:val="20A81A1B"/>
    <w:rsid w:val="20B07FB6"/>
    <w:rsid w:val="20B23F08"/>
    <w:rsid w:val="20B646FB"/>
    <w:rsid w:val="20BA6491"/>
    <w:rsid w:val="20D072AB"/>
    <w:rsid w:val="20EE50D7"/>
    <w:rsid w:val="20EE7DD6"/>
    <w:rsid w:val="212136FE"/>
    <w:rsid w:val="213B74B1"/>
    <w:rsid w:val="21442F49"/>
    <w:rsid w:val="214F270B"/>
    <w:rsid w:val="215411AB"/>
    <w:rsid w:val="215869F4"/>
    <w:rsid w:val="215A2310"/>
    <w:rsid w:val="216B497A"/>
    <w:rsid w:val="21845A3B"/>
    <w:rsid w:val="219B7726"/>
    <w:rsid w:val="21B75E11"/>
    <w:rsid w:val="21C668EA"/>
    <w:rsid w:val="21C721B9"/>
    <w:rsid w:val="21DE318A"/>
    <w:rsid w:val="21EF5B80"/>
    <w:rsid w:val="22561186"/>
    <w:rsid w:val="22576990"/>
    <w:rsid w:val="225C4DD9"/>
    <w:rsid w:val="22923EC5"/>
    <w:rsid w:val="229C0154"/>
    <w:rsid w:val="22A43FC8"/>
    <w:rsid w:val="22B13EF7"/>
    <w:rsid w:val="22B518F0"/>
    <w:rsid w:val="22B83BEE"/>
    <w:rsid w:val="22C277D1"/>
    <w:rsid w:val="22D80B06"/>
    <w:rsid w:val="22D9079A"/>
    <w:rsid w:val="22DE117B"/>
    <w:rsid w:val="22F12788"/>
    <w:rsid w:val="22F45867"/>
    <w:rsid w:val="22F47480"/>
    <w:rsid w:val="234D2C4C"/>
    <w:rsid w:val="238C6E29"/>
    <w:rsid w:val="238D49A3"/>
    <w:rsid w:val="239929AF"/>
    <w:rsid w:val="23B97D00"/>
    <w:rsid w:val="23BD3E5D"/>
    <w:rsid w:val="23DE1C48"/>
    <w:rsid w:val="23E7405F"/>
    <w:rsid w:val="240210CD"/>
    <w:rsid w:val="243465C8"/>
    <w:rsid w:val="243A0633"/>
    <w:rsid w:val="24482123"/>
    <w:rsid w:val="2453467B"/>
    <w:rsid w:val="24577437"/>
    <w:rsid w:val="245C0A25"/>
    <w:rsid w:val="245C7222"/>
    <w:rsid w:val="24654ECD"/>
    <w:rsid w:val="246C4B23"/>
    <w:rsid w:val="2492221D"/>
    <w:rsid w:val="24BF09F7"/>
    <w:rsid w:val="24D14D8C"/>
    <w:rsid w:val="24F9046C"/>
    <w:rsid w:val="24FF1BA6"/>
    <w:rsid w:val="25220111"/>
    <w:rsid w:val="252D53FE"/>
    <w:rsid w:val="252E0198"/>
    <w:rsid w:val="25376FCD"/>
    <w:rsid w:val="25516E88"/>
    <w:rsid w:val="25875B24"/>
    <w:rsid w:val="258F5A9A"/>
    <w:rsid w:val="25CB7078"/>
    <w:rsid w:val="25DB1D4C"/>
    <w:rsid w:val="25E141D9"/>
    <w:rsid w:val="25EC2D81"/>
    <w:rsid w:val="25F72072"/>
    <w:rsid w:val="26023519"/>
    <w:rsid w:val="26150399"/>
    <w:rsid w:val="2618476C"/>
    <w:rsid w:val="261C4494"/>
    <w:rsid w:val="262145FC"/>
    <w:rsid w:val="26216360"/>
    <w:rsid w:val="263167D6"/>
    <w:rsid w:val="263E7DCD"/>
    <w:rsid w:val="26435EC5"/>
    <w:rsid w:val="26444656"/>
    <w:rsid w:val="26576CC9"/>
    <w:rsid w:val="266E549A"/>
    <w:rsid w:val="26773BAB"/>
    <w:rsid w:val="26985BAA"/>
    <w:rsid w:val="269A3AE6"/>
    <w:rsid w:val="26A06F6E"/>
    <w:rsid w:val="26C764E9"/>
    <w:rsid w:val="26CB5515"/>
    <w:rsid w:val="26FE36A5"/>
    <w:rsid w:val="270D0765"/>
    <w:rsid w:val="271649AE"/>
    <w:rsid w:val="272B0768"/>
    <w:rsid w:val="27355463"/>
    <w:rsid w:val="27373EBE"/>
    <w:rsid w:val="27441BF4"/>
    <w:rsid w:val="274E1D6C"/>
    <w:rsid w:val="275B723E"/>
    <w:rsid w:val="276716AC"/>
    <w:rsid w:val="277057A2"/>
    <w:rsid w:val="2794031E"/>
    <w:rsid w:val="27985C7A"/>
    <w:rsid w:val="27BA75CE"/>
    <w:rsid w:val="27F57560"/>
    <w:rsid w:val="28133675"/>
    <w:rsid w:val="28235FAE"/>
    <w:rsid w:val="282B09BF"/>
    <w:rsid w:val="28384502"/>
    <w:rsid w:val="283A128D"/>
    <w:rsid w:val="28652973"/>
    <w:rsid w:val="286D547B"/>
    <w:rsid w:val="28812CD5"/>
    <w:rsid w:val="288D3A70"/>
    <w:rsid w:val="288F3BD5"/>
    <w:rsid w:val="28964DAD"/>
    <w:rsid w:val="289C7B0E"/>
    <w:rsid w:val="28C50ACE"/>
    <w:rsid w:val="28DD162A"/>
    <w:rsid w:val="28ED1021"/>
    <w:rsid w:val="28EF40E2"/>
    <w:rsid w:val="29106765"/>
    <w:rsid w:val="29191185"/>
    <w:rsid w:val="29206EB8"/>
    <w:rsid w:val="294206B6"/>
    <w:rsid w:val="29424212"/>
    <w:rsid w:val="29474AEB"/>
    <w:rsid w:val="29497893"/>
    <w:rsid w:val="29516ECA"/>
    <w:rsid w:val="29595666"/>
    <w:rsid w:val="29596EFD"/>
    <w:rsid w:val="29785F1E"/>
    <w:rsid w:val="297E0FC2"/>
    <w:rsid w:val="29874881"/>
    <w:rsid w:val="29923EAE"/>
    <w:rsid w:val="2993749F"/>
    <w:rsid w:val="299C31FE"/>
    <w:rsid w:val="29A749BD"/>
    <w:rsid w:val="29BA5130"/>
    <w:rsid w:val="29DD03DE"/>
    <w:rsid w:val="29E325E0"/>
    <w:rsid w:val="2A0E0598"/>
    <w:rsid w:val="2A104310"/>
    <w:rsid w:val="2A3A138D"/>
    <w:rsid w:val="2A3A6C70"/>
    <w:rsid w:val="2A3C6EB3"/>
    <w:rsid w:val="2A452503"/>
    <w:rsid w:val="2A4A05E8"/>
    <w:rsid w:val="2A510485"/>
    <w:rsid w:val="2A8F0B6E"/>
    <w:rsid w:val="2A92484F"/>
    <w:rsid w:val="2A9417B8"/>
    <w:rsid w:val="2A97058D"/>
    <w:rsid w:val="2A9A1E2C"/>
    <w:rsid w:val="2A9D6364"/>
    <w:rsid w:val="2A9F1490"/>
    <w:rsid w:val="2AA00035"/>
    <w:rsid w:val="2AAE0067"/>
    <w:rsid w:val="2AE43C8F"/>
    <w:rsid w:val="2AFB4FC0"/>
    <w:rsid w:val="2B053749"/>
    <w:rsid w:val="2B172B45"/>
    <w:rsid w:val="2B296D68"/>
    <w:rsid w:val="2B3202B6"/>
    <w:rsid w:val="2B4D7FC2"/>
    <w:rsid w:val="2B5446D0"/>
    <w:rsid w:val="2B606BD1"/>
    <w:rsid w:val="2B8A00F2"/>
    <w:rsid w:val="2BA47406"/>
    <w:rsid w:val="2BA936A8"/>
    <w:rsid w:val="2BB57961"/>
    <w:rsid w:val="2BB86A0D"/>
    <w:rsid w:val="2BCC1D14"/>
    <w:rsid w:val="2BD122BC"/>
    <w:rsid w:val="2BE414A3"/>
    <w:rsid w:val="2C0010B8"/>
    <w:rsid w:val="2C010E53"/>
    <w:rsid w:val="2C040426"/>
    <w:rsid w:val="2C055651"/>
    <w:rsid w:val="2C17771E"/>
    <w:rsid w:val="2C310692"/>
    <w:rsid w:val="2C315A5A"/>
    <w:rsid w:val="2C4B1C25"/>
    <w:rsid w:val="2C4D058B"/>
    <w:rsid w:val="2C7217DF"/>
    <w:rsid w:val="2C763172"/>
    <w:rsid w:val="2C783227"/>
    <w:rsid w:val="2C993EE8"/>
    <w:rsid w:val="2CAF7483"/>
    <w:rsid w:val="2CCB2EA9"/>
    <w:rsid w:val="2CCF6211"/>
    <w:rsid w:val="2CF021D7"/>
    <w:rsid w:val="2D2C101B"/>
    <w:rsid w:val="2D5544C3"/>
    <w:rsid w:val="2D5E3404"/>
    <w:rsid w:val="2D9E56F5"/>
    <w:rsid w:val="2DC5777C"/>
    <w:rsid w:val="2E157AA8"/>
    <w:rsid w:val="2E2F0CC0"/>
    <w:rsid w:val="2E667F96"/>
    <w:rsid w:val="2E80471D"/>
    <w:rsid w:val="2E8226AB"/>
    <w:rsid w:val="2E8855F1"/>
    <w:rsid w:val="2E8C411E"/>
    <w:rsid w:val="2E8F4F19"/>
    <w:rsid w:val="2E9516BB"/>
    <w:rsid w:val="2E975000"/>
    <w:rsid w:val="2E9C4758"/>
    <w:rsid w:val="2EC90F31"/>
    <w:rsid w:val="2EF05551"/>
    <w:rsid w:val="2EF32DC2"/>
    <w:rsid w:val="2EF50675"/>
    <w:rsid w:val="2F150A5D"/>
    <w:rsid w:val="2F202241"/>
    <w:rsid w:val="2F4B5DEA"/>
    <w:rsid w:val="2F525BF4"/>
    <w:rsid w:val="2F5E78CC"/>
    <w:rsid w:val="2F892A05"/>
    <w:rsid w:val="2F966B4B"/>
    <w:rsid w:val="2FA9330D"/>
    <w:rsid w:val="2FCF25FC"/>
    <w:rsid w:val="2FD065E6"/>
    <w:rsid w:val="2FD96870"/>
    <w:rsid w:val="2FE36023"/>
    <w:rsid w:val="2FEB5399"/>
    <w:rsid w:val="303845C1"/>
    <w:rsid w:val="30526B15"/>
    <w:rsid w:val="30574FAB"/>
    <w:rsid w:val="30580BC9"/>
    <w:rsid w:val="305B3E0B"/>
    <w:rsid w:val="3077309A"/>
    <w:rsid w:val="30890978"/>
    <w:rsid w:val="30935C31"/>
    <w:rsid w:val="30967C99"/>
    <w:rsid w:val="309D6BE7"/>
    <w:rsid w:val="30AC7390"/>
    <w:rsid w:val="30C916BD"/>
    <w:rsid w:val="30CB05AE"/>
    <w:rsid w:val="30CE2F6B"/>
    <w:rsid w:val="30DF2C8E"/>
    <w:rsid w:val="30E57A62"/>
    <w:rsid w:val="30ED4623"/>
    <w:rsid w:val="30EE3BA2"/>
    <w:rsid w:val="30F3375D"/>
    <w:rsid w:val="30FF50DE"/>
    <w:rsid w:val="31067C7A"/>
    <w:rsid w:val="310C2C94"/>
    <w:rsid w:val="311428B2"/>
    <w:rsid w:val="311E2ED7"/>
    <w:rsid w:val="3148438F"/>
    <w:rsid w:val="314F3DF8"/>
    <w:rsid w:val="315619EE"/>
    <w:rsid w:val="315C449C"/>
    <w:rsid w:val="31633AA7"/>
    <w:rsid w:val="316674AD"/>
    <w:rsid w:val="31667C7F"/>
    <w:rsid w:val="31784BB8"/>
    <w:rsid w:val="31811738"/>
    <w:rsid w:val="31A86DC5"/>
    <w:rsid w:val="31B00187"/>
    <w:rsid w:val="31B82709"/>
    <w:rsid w:val="31BF7C46"/>
    <w:rsid w:val="31CF081A"/>
    <w:rsid w:val="31D05482"/>
    <w:rsid w:val="31FC6CFC"/>
    <w:rsid w:val="321E38F9"/>
    <w:rsid w:val="322C2E4B"/>
    <w:rsid w:val="32400B34"/>
    <w:rsid w:val="325F4087"/>
    <w:rsid w:val="326A422A"/>
    <w:rsid w:val="329E6876"/>
    <w:rsid w:val="32AE1A99"/>
    <w:rsid w:val="32B1065A"/>
    <w:rsid w:val="32B4319A"/>
    <w:rsid w:val="32CE2FBA"/>
    <w:rsid w:val="330342E3"/>
    <w:rsid w:val="330718F5"/>
    <w:rsid w:val="3312685B"/>
    <w:rsid w:val="33255888"/>
    <w:rsid w:val="33286719"/>
    <w:rsid w:val="332E637D"/>
    <w:rsid w:val="333015F2"/>
    <w:rsid w:val="334B6320"/>
    <w:rsid w:val="339B5E39"/>
    <w:rsid w:val="33B2575C"/>
    <w:rsid w:val="33B35127"/>
    <w:rsid w:val="33D934D4"/>
    <w:rsid w:val="33DA14EB"/>
    <w:rsid w:val="33EC09E7"/>
    <w:rsid w:val="33FE2F6A"/>
    <w:rsid w:val="340801E5"/>
    <w:rsid w:val="340E07E5"/>
    <w:rsid w:val="34196F1B"/>
    <w:rsid w:val="341F147F"/>
    <w:rsid w:val="34235BF7"/>
    <w:rsid w:val="342A4BFE"/>
    <w:rsid w:val="343A1ED6"/>
    <w:rsid w:val="345961B9"/>
    <w:rsid w:val="346239BA"/>
    <w:rsid w:val="346A6D13"/>
    <w:rsid w:val="34806536"/>
    <w:rsid w:val="349B511E"/>
    <w:rsid w:val="34E75156"/>
    <w:rsid w:val="34F211E2"/>
    <w:rsid w:val="35124493"/>
    <w:rsid w:val="35213875"/>
    <w:rsid w:val="3535115B"/>
    <w:rsid w:val="35447564"/>
    <w:rsid w:val="35505F08"/>
    <w:rsid w:val="355670E1"/>
    <w:rsid w:val="35661288"/>
    <w:rsid w:val="357A2F85"/>
    <w:rsid w:val="358C5FA8"/>
    <w:rsid w:val="35926B54"/>
    <w:rsid w:val="35A617E1"/>
    <w:rsid w:val="35B36310"/>
    <w:rsid w:val="35BC456F"/>
    <w:rsid w:val="35C15DF1"/>
    <w:rsid w:val="35D5640E"/>
    <w:rsid w:val="36027DCB"/>
    <w:rsid w:val="36074A7F"/>
    <w:rsid w:val="36145188"/>
    <w:rsid w:val="361B51E8"/>
    <w:rsid w:val="362A675A"/>
    <w:rsid w:val="362F3D70"/>
    <w:rsid w:val="36541A28"/>
    <w:rsid w:val="365E4BBF"/>
    <w:rsid w:val="36617CA1"/>
    <w:rsid w:val="366C3F8B"/>
    <w:rsid w:val="367D0F7F"/>
    <w:rsid w:val="3685055C"/>
    <w:rsid w:val="36923549"/>
    <w:rsid w:val="36985DB9"/>
    <w:rsid w:val="36B75FBF"/>
    <w:rsid w:val="36BD0C45"/>
    <w:rsid w:val="36BE50F4"/>
    <w:rsid w:val="36D951CD"/>
    <w:rsid w:val="36DB45ED"/>
    <w:rsid w:val="36EE7787"/>
    <w:rsid w:val="370A2028"/>
    <w:rsid w:val="376C7ABB"/>
    <w:rsid w:val="378D1801"/>
    <w:rsid w:val="378F37D2"/>
    <w:rsid w:val="37A3563C"/>
    <w:rsid w:val="37C72BC1"/>
    <w:rsid w:val="37C80408"/>
    <w:rsid w:val="37D52906"/>
    <w:rsid w:val="37E00298"/>
    <w:rsid w:val="37F000F9"/>
    <w:rsid w:val="380A1C8E"/>
    <w:rsid w:val="381B27FE"/>
    <w:rsid w:val="381E1064"/>
    <w:rsid w:val="3830161A"/>
    <w:rsid w:val="384D007E"/>
    <w:rsid w:val="38502905"/>
    <w:rsid w:val="38582D7A"/>
    <w:rsid w:val="38645252"/>
    <w:rsid w:val="38B302F9"/>
    <w:rsid w:val="38CF06A8"/>
    <w:rsid w:val="38DA7142"/>
    <w:rsid w:val="38F12CD3"/>
    <w:rsid w:val="38F94775"/>
    <w:rsid w:val="38FE4457"/>
    <w:rsid w:val="39163663"/>
    <w:rsid w:val="39176838"/>
    <w:rsid w:val="39253C43"/>
    <w:rsid w:val="392971ED"/>
    <w:rsid w:val="39325651"/>
    <w:rsid w:val="393755D6"/>
    <w:rsid w:val="3942200C"/>
    <w:rsid w:val="394878BA"/>
    <w:rsid w:val="395A55A8"/>
    <w:rsid w:val="39643D30"/>
    <w:rsid w:val="398F6458"/>
    <w:rsid w:val="39B32F0A"/>
    <w:rsid w:val="39C649EB"/>
    <w:rsid w:val="39E356E7"/>
    <w:rsid w:val="3A386F87"/>
    <w:rsid w:val="3A397982"/>
    <w:rsid w:val="3A3A3AA9"/>
    <w:rsid w:val="3A3E0A25"/>
    <w:rsid w:val="3A4A4278"/>
    <w:rsid w:val="3A6E705A"/>
    <w:rsid w:val="3A7E70DB"/>
    <w:rsid w:val="3A806B3D"/>
    <w:rsid w:val="3A872856"/>
    <w:rsid w:val="3A8D5509"/>
    <w:rsid w:val="3A9471DC"/>
    <w:rsid w:val="3AA556A3"/>
    <w:rsid w:val="3AA80595"/>
    <w:rsid w:val="3AB522A0"/>
    <w:rsid w:val="3AB970A9"/>
    <w:rsid w:val="3ABB3E24"/>
    <w:rsid w:val="3ADC0FF1"/>
    <w:rsid w:val="3AFD443D"/>
    <w:rsid w:val="3B3026F8"/>
    <w:rsid w:val="3B343BD6"/>
    <w:rsid w:val="3B3763D1"/>
    <w:rsid w:val="3B4007CD"/>
    <w:rsid w:val="3B43631F"/>
    <w:rsid w:val="3B5659E1"/>
    <w:rsid w:val="3B712735"/>
    <w:rsid w:val="3B7A5A8D"/>
    <w:rsid w:val="3BA239D6"/>
    <w:rsid w:val="3BB17807"/>
    <w:rsid w:val="3BB80364"/>
    <w:rsid w:val="3BBA2E14"/>
    <w:rsid w:val="3BCD1DA8"/>
    <w:rsid w:val="3BE87F96"/>
    <w:rsid w:val="3BF21AC7"/>
    <w:rsid w:val="3BF515B8"/>
    <w:rsid w:val="3C002BD0"/>
    <w:rsid w:val="3C1A60F9"/>
    <w:rsid w:val="3C1B0ABE"/>
    <w:rsid w:val="3C2B7E55"/>
    <w:rsid w:val="3C2F6E1E"/>
    <w:rsid w:val="3C3D6ABB"/>
    <w:rsid w:val="3C4F64BA"/>
    <w:rsid w:val="3C666A96"/>
    <w:rsid w:val="3C6773B9"/>
    <w:rsid w:val="3C7D53B3"/>
    <w:rsid w:val="3C865233"/>
    <w:rsid w:val="3C8F0D40"/>
    <w:rsid w:val="3C9B7CC7"/>
    <w:rsid w:val="3CAD3C40"/>
    <w:rsid w:val="3CB40F8F"/>
    <w:rsid w:val="3CBC20D5"/>
    <w:rsid w:val="3CDA245A"/>
    <w:rsid w:val="3CEF27A8"/>
    <w:rsid w:val="3D1045F7"/>
    <w:rsid w:val="3D1E06B7"/>
    <w:rsid w:val="3D201A85"/>
    <w:rsid w:val="3D271C45"/>
    <w:rsid w:val="3D49551A"/>
    <w:rsid w:val="3D7A6EA2"/>
    <w:rsid w:val="3DA912E1"/>
    <w:rsid w:val="3DAD1CC3"/>
    <w:rsid w:val="3DC65BC5"/>
    <w:rsid w:val="3DCB7AF0"/>
    <w:rsid w:val="3DED1848"/>
    <w:rsid w:val="3DEF219C"/>
    <w:rsid w:val="3DF24B5D"/>
    <w:rsid w:val="3E3068D7"/>
    <w:rsid w:val="3E381132"/>
    <w:rsid w:val="3E40274A"/>
    <w:rsid w:val="3E5977C8"/>
    <w:rsid w:val="3E9F14EA"/>
    <w:rsid w:val="3EA23C86"/>
    <w:rsid w:val="3ED100BA"/>
    <w:rsid w:val="3EDA0523"/>
    <w:rsid w:val="3EE76488"/>
    <w:rsid w:val="3F0457E2"/>
    <w:rsid w:val="3F0F3B30"/>
    <w:rsid w:val="3F2A1578"/>
    <w:rsid w:val="3F4C6837"/>
    <w:rsid w:val="3F4E1E62"/>
    <w:rsid w:val="3F4F1FFD"/>
    <w:rsid w:val="3F500617"/>
    <w:rsid w:val="3F560159"/>
    <w:rsid w:val="3F7171A7"/>
    <w:rsid w:val="3F8073EA"/>
    <w:rsid w:val="3F9E3CEA"/>
    <w:rsid w:val="3FA46429"/>
    <w:rsid w:val="3FB97668"/>
    <w:rsid w:val="3FBC0A56"/>
    <w:rsid w:val="3FE96D7A"/>
    <w:rsid w:val="3FF83425"/>
    <w:rsid w:val="400E64D7"/>
    <w:rsid w:val="404F6C7A"/>
    <w:rsid w:val="406B009A"/>
    <w:rsid w:val="4070350E"/>
    <w:rsid w:val="407A6407"/>
    <w:rsid w:val="408178BE"/>
    <w:rsid w:val="40890521"/>
    <w:rsid w:val="408B4D47"/>
    <w:rsid w:val="40980F08"/>
    <w:rsid w:val="40DF6392"/>
    <w:rsid w:val="40E014B2"/>
    <w:rsid w:val="40EA5463"/>
    <w:rsid w:val="40F10903"/>
    <w:rsid w:val="40F77B80"/>
    <w:rsid w:val="412A1D92"/>
    <w:rsid w:val="4134460A"/>
    <w:rsid w:val="4146099C"/>
    <w:rsid w:val="414D1E51"/>
    <w:rsid w:val="415A0A7F"/>
    <w:rsid w:val="41700411"/>
    <w:rsid w:val="41864551"/>
    <w:rsid w:val="41926A85"/>
    <w:rsid w:val="41C04CFF"/>
    <w:rsid w:val="41FA16D6"/>
    <w:rsid w:val="4200449D"/>
    <w:rsid w:val="422E75D1"/>
    <w:rsid w:val="423A3BCC"/>
    <w:rsid w:val="424647A3"/>
    <w:rsid w:val="424E57D2"/>
    <w:rsid w:val="42507548"/>
    <w:rsid w:val="4258464E"/>
    <w:rsid w:val="428A6795"/>
    <w:rsid w:val="429661A9"/>
    <w:rsid w:val="42B26C49"/>
    <w:rsid w:val="42BE6E86"/>
    <w:rsid w:val="42C53A9C"/>
    <w:rsid w:val="42F92216"/>
    <w:rsid w:val="431037F1"/>
    <w:rsid w:val="43107051"/>
    <w:rsid w:val="43132CE0"/>
    <w:rsid w:val="432A1455"/>
    <w:rsid w:val="432D09BF"/>
    <w:rsid w:val="433A6FE6"/>
    <w:rsid w:val="43480868"/>
    <w:rsid w:val="4350713C"/>
    <w:rsid w:val="43572B58"/>
    <w:rsid w:val="43595306"/>
    <w:rsid w:val="436653E0"/>
    <w:rsid w:val="43753CB1"/>
    <w:rsid w:val="43923D52"/>
    <w:rsid w:val="439416B6"/>
    <w:rsid w:val="439B2A45"/>
    <w:rsid w:val="439C52E2"/>
    <w:rsid w:val="43A3506B"/>
    <w:rsid w:val="43B600AD"/>
    <w:rsid w:val="43C4431A"/>
    <w:rsid w:val="43E4263E"/>
    <w:rsid w:val="44890DFE"/>
    <w:rsid w:val="448A3B75"/>
    <w:rsid w:val="44A91191"/>
    <w:rsid w:val="44B45862"/>
    <w:rsid w:val="44B951CC"/>
    <w:rsid w:val="44BD5DCD"/>
    <w:rsid w:val="44CD14E0"/>
    <w:rsid w:val="44D75CFE"/>
    <w:rsid w:val="44F178ED"/>
    <w:rsid w:val="44F20B0B"/>
    <w:rsid w:val="44F90A89"/>
    <w:rsid w:val="44FA379B"/>
    <w:rsid w:val="451C4F8C"/>
    <w:rsid w:val="452E5F4C"/>
    <w:rsid w:val="45612018"/>
    <w:rsid w:val="45813AEA"/>
    <w:rsid w:val="45832D81"/>
    <w:rsid w:val="458946E9"/>
    <w:rsid w:val="45A47C0E"/>
    <w:rsid w:val="45A8769B"/>
    <w:rsid w:val="45A919CB"/>
    <w:rsid w:val="45D60C4F"/>
    <w:rsid w:val="45F0744B"/>
    <w:rsid w:val="45F779EB"/>
    <w:rsid w:val="462742C6"/>
    <w:rsid w:val="462C04DA"/>
    <w:rsid w:val="464F1BEA"/>
    <w:rsid w:val="4651388E"/>
    <w:rsid w:val="465313B5"/>
    <w:rsid w:val="46577FD6"/>
    <w:rsid w:val="465A4859"/>
    <w:rsid w:val="469C211D"/>
    <w:rsid w:val="46A6047F"/>
    <w:rsid w:val="46A941B7"/>
    <w:rsid w:val="46B1432D"/>
    <w:rsid w:val="46BF6A4A"/>
    <w:rsid w:val="46D70238"/>
    <w:rsid w:val="46D955A7"/>
    <w:rsid w:val="46FB2452"/>
    <w:rsid w:val="47065D63"/>
    <w:rsid w:val="47133957"/>
    <w:rsid w:val="47147534"/>
    <w:rsid w:val="471C32FD"/>
    <w:rsid w:val="47521707"/>
    <w:rsid w:val="47563DDB"/>
    <w:rsid w:val="475F338E"/>
    <w:rsid w:val="47777BE4"/>
    <w:rsid w:val="47876D9F"/>
    <w:rsid w:val="47941C85"/>
    <w:rsid w:val="47A07E0C"/>
    <w:rsid w:val="47BC567F"/>
    <w:rsid w:val="47D253E2"/>
    <w:rsid w:val="47D41743"/>
    <w:rsid w:val="47D63110"/>
    <w:rsid w:val="47E0311C"/>
    <w:rsid w:val="480C6A6F"/>
    <w:rsid w:val="481D611E"/>
    <w:rsid w:val="482079BC"/>
    <w:rsid w:val="482D1AFC"/>
    <w:rsid w:val="483E60F2"/>
    <w:rsid w:val="48543F68"/>
    <w:rsid w:val="4870272E"/>
    <w:rsid w:val="4876582E"/>
    <w:rsid w:val="488D5C29"/>
    <w:rsid w:val="48A94C25"/>
    <w:rsid w:val="48C540C0"/>
    <w:rsid w:val="48D14F10"/>
    <w:rsid w:val="48E03714"/>
    <w:rsid w:val="48F055E1"/>
    <w:rsid w:val="48F350D1"/>
    <w:rsid w:val="490C265F"/>
    <w:rsid w:val="49542517"/>
    <w:rsid w:val="496B4C67"/>
    <w:rsid w:val="496D420F"/>
    <w:rsid w:val="4977360C"/>
    <w:rsid w:val="497A5674"/>
    <w:rsid w:val="497F206E"/>
    <w:rsid w:val="4992317E"/>
    <w:rsid w:val="49C17360"/>
    <w:rsid w:val="49C655D1"/>
    <w:rsid w:val="49D40A5E"/>
    <w:rsid w:val="49DC7715"/>
    <w:rsid w:val="49DC7913"/>
    <w:rsid w:val="49FA5FEB"/>
    <w:rsid w:val="4A023139"/>
    <w:rsid w:val="4A0F122D"/>
    <w:rsid w:val="4A335DF5"/>
    <w:rsid w:val="4A3A67DB"/>
    <w:rsid w:val="4A3D7109"/>
    <w:rsid w:val="4A434155"/>
    <w:rsid w:val="4A5920FC"/>
    <w:rsid w:val="4A630034"/>
    <w:rsid w:val="4A654B7E"/>
    <w:rsid w:val="4A6E0EB3"/>
    <w:rsid w:val="4A7144AC"/>
    <w:rsid w:val="4A7B22F7"/>
    <w:rsid w:val="4A7B576F"/>
    <w:rsid w:val="4A982C74"/>
    <w:rsid w:val="4AC94036"/>
    <w:rsid w:val="4AD8069B"/>
    <w:rsid w:val="4AF561A9"/>
    <w:rsid w:val="4B1E25CC"/>
    <w:rsid w:val="4B2772B4"/>
    <w:rsid w:val="4B4200BD"/>
    <w:rsid w:val="4B4C0AC8"/>
    <w:rsid w:val="4B5B34A7"/>
    <w:rsid w:val="4B651125"/>
    <w:rsid w:val="4B7E5A76"/>
    <w:rsid w:val="4B7F6824"/>
    <w:rsid w:val="4B823BA6"/>
    <w:rsid w:val="4B955A8D"/>
    <w:rsid w:val="4B9F6E66"/>
    <w:rsid w:val="4BB80216"/>
    <w:rsid w:val="4BB8393C"/>
    <w:rsid w:val="4BE17CB5"/>
    <w:rsid w:val="4BEA681C"/>
    <w:rsid w:val="4BF0623D"/>
    <w:rsid w:val="4BFA32A7"/>
    <w:rsid w:val="4C050272"/>
    <w:rsid w:val="4C0F3FD0"/>
    <w:rsid w:val="4C15074C"/>
    <w:rsid w:val="4C3969B1"/>
    <w:rsid w:val="4C4A0649"/>
    <w:rsid w:val="4C583BC9"/>
    <w:rsid w:val="4C5C2EA9"/>
    <w:rsid w:val="4C690B23"/>
    <w:rsid w:val="4C711F79"/>
    <w:rsid w:val="4C7C718B"/>
    <w:rsid w:val="4C7E5ECA"/>
    <w:rsid w:val="4C876AA5"/>
    <w:rsid w:val="4C8F0A19"/>
    <w:rsid w:val="4CBB4158"/>
    <w:rsid w:val="4CBF5E41"/>
    <w:rsid w:val="4CF86426"/>
    <w:rsid w:val="4D0E00FB"/>
    <w:rsid w:val="4D176606"/>
    <w:rsid w:val="4D234BA1"/>
    <w:rsid w:val="4D4448F7"/>
    <w:rsid w:val="4D461C73"/>
    <w:rsid w:val="4D4802EE"/>
    <w:rsid w:val="4D6C0A51"/>
    <w:rsid w:val="4D821592"/>
    <w:rsid w:val="4D884BDD"/>
    <w:rsid w:val="4D961444"/>
    <w:rsid w:val="4D970145"/>
    <w:rsid w:val="4D9A536B"/>
    <w:rsid w:val="4DA370C6"/>
    <w:rsid w:val="4DB70CAD"/>
    <w:rsid w:val="4DEC4FB0"/>
    <w:rsid w:val="4E075D8A"/>
    <w:rsid w:val="4E1F6545"/>
    <w:rsid w:val="4E402E20"/>
    <w:rsid w:val="4E41243B"/>
    <w:rsid w:val="4E4B507F"/>
    <w:rsid w:val="4E6D463C"/>
    <w:rsid w:val="4E7F7B55"/>
    <w:rsid w:val="4E924C46"/>
    <w:rsid w:val="4E955B2B"/>
    <w:rsid w:val="4EA03605"/>
    <w:rsid w:val="4EB96475"/>
    <w:rsid w:val="4EC00FAD"/>
    <w:rsid w:val="4EEA7BC0"/>
    <w:rsid w:val="4F0175F5"/>
    <w:rsid w:val="4F0628EE"/>
    <w:rsid w:val="4F493C9D"/>
    <w:rsid w:val="4F5F526E"/>
    <w:rsid w:val="4F6C34E7"/>
    <w:rsid w:val="4F7A02B0"/>
    <w:rsid w:val="4F9843DC"/>
    <w:rsid w:val="4FBA715D"/>
    <w:rsid w:val="4FC62A8C"/>
    <w:rsid w:val="4FE20F0D"/>
    <w:rsid w:val="4FE51552"/>
    <w:rsid w:val="4FF77255"/>
    <w:rsid w:val="500D0826"/>
    <w:rsid w:val="50193849"/>
    <w:rsid w:val="502D7F04"/>
    <w:rsid w:val="50504C4B"/>
    <w:rsid w:val="50697F57"/>
    <w:rsid w:val="50781911"/>
    <w:rsid w:val="50970C03"/>
    <w:rsid w:val="509C6E7C"/>
    <w:rsid w:val="50A15412"/>
    <w:rsid w:val="50D96F75"/>
    <w:rsid w:val="51002483"/>
    <w:rsid w:val="51054DDD"/>
    <w:rsid w:val="511E5BD0"/>
    <w:rsid w:val="513C0D0A"/>
    <w:rsid w:val="513E2C61"/>
    <w:rsid w:val="51413CBC"/>
    <w:rsid w:val="515C5909"/>
    <w:rsid w:val="5162104E"/>
    <w:rsid w:val="51C723F6"/>
    <w:rsid w:val="51DC45B9"/>
    <w:rsid w:val="51DC5282"/>
    <w:rsid w:val="51FE0D6E"/>
    <w:rsid w:val="520C2DDB"/>
    <w:rsid w:val="52204DB5"/>
    <w:rsid w:val="52316BE6"/>
    <w:rsid w:val="525D0267"/>
    <w:rsid w:val="52630BD1"/>
    <w:rsid w:val="527600FA"/>
    <w:rsid w:val="527F0AC9"/>
    <w:rsid w:val="528A21FE"/>
    <w:rsid w:val="5294522F"/>
    <w:rsid w:val="52C37FD4"/>
    <w:rsid w:val="52CF6145"/>
    <w:rsid w:val="52E964FA"/>
    <w:rsid w:val="52F30152"/>
    <w:rsid w:val="530103EA"/>
    <w:rsid w:val="532C431E"/>
    <w:rsid w:val="536651D5"/>
    <w:rsid w:val="53682217"/>
    <w:rsid w:val="537E3882"/>
    <w:rsid w:val="5396277D"/>
    <w:rsid w:val="53A039CC"/>
    <w:rsid w:val="53A1505A"/>
    <w:rsid w:val="53E144A4"/>
    <w:rsid w:val="54063E08"/>
    <w:rsid w:val="540F5D09"/>
    <w:rsid w:val="543437E8"/>
    <w:rsid w:val="54440F37"/>
    <w:rsid w:val="5445799A"/>
    <w:rsid w:val="544762D1"/>
    <w:rsid w:val="545509EE"/>
    <w:rsid w:val="54676409"/>
    <w:rsid w:val="54695C38"/>
    <w:rsid w:val="54754BEC"/>
    <w:rsid w:val="548351B9"/>
    <w:rsid w:val="54B024B0"/>
    <w:rsid w:val="54BF57E1"/>
    <w:rsid w:val="54C87F4D"/>
    <w:rsid w:val="54CA1FB3"/>
    <w:rsid w:val="54F73313"/>
    <w:rsid w:val="54F80955"/>
    <w:rsid w:val="54FA3343"/>
    <w:rsid w:val="55254864"/>
    <w:rsid w:val="5531145B"/>
    <w:rsid w:val="553208B2"/>
    <w:rsid w:val="553329B9"/>
    <w:rsid w:val="554C6E14"/>
    <w:rsid w:val="554D558C"/>
    <w:rsid w:val="555170A7"/>
    <w:rsid w:val="557B26D6"/>
    <w:rsid w:val="5585116B"/>
    <w:rsid w:val="5587536D"/>
    <w:rsid w:val="558C043F"/>
    <w:rsid w:val="559B174B"/>
    <w:rsid w:val="55AC0AE1"/>
    <w:rsid w:val="55AC1D47"/>
    <w:rsid w:val="55B05A05"/>
    <w:rsid w:val="55B47996"/>
    <w:rsid w:val="55CE0CF4"/>
    <w:rsid w:val="55E520EB"/>
    <w:rsid w:val="5614733E"/>
    <w:rsid w:val="561E35FB"/>
    <w:rsid w:val="56226FF5"/>
    <w:rsid w:val="562409E5"/>
    <w:rsid w:val="562468CA"/>
    <w:rsid w:val="56341695"/>
    <w:rsid w:val="56357F16"/>
    <w:rsid w:val="56375477"/>
    <w:rsid w:val="56513437"/>
    <w:rsid w:val="565C4A9E"/>
    <w:rsid w:val="565E57F8"/>
    <w:rsid w:val="56633896"/>
    <w:rsid w:val="56A65D5D"/>
    <w:rsid w:val="56B16EEB"/>
    <w:rsid w:val="56B22A9C"/>
    <w:rsid w:val="56CB143B"/>
    <w:rsid w:val="56CE3AA9"/>
    <w:rsid w:val="56D02258"/>
    <w:rsid w:val="56D46032"/>
    <w:rsid w:val="56DC53F6"/>
    <w:rsid w:val="574C257C"/>
    <w:rsid w:val="57603354"/>
    <w:rsid w:val="57685710"/>
    <w:rsid w:val="578060C1"/>
    <w:rsid w:val="57A012EE"/>
    <w:rsid w:val="57B61CC6"/>
    <w:rsid w:val="57B72A76"/>
    <w:rsid w:val="57C3426C"/>
    <w:rsid w:val="57CE1F93"/>
    <w:rsid w:val="57D050B8"/>
    <w:rsid w:val="57D61E46"/>
    <w:rsid w:val="57E149B0"/>
    <w:rsid w:val="58115D79"/>
    <w:rsid w:val="58315521"/>
    <w:rsid w:val="5846521D"/>
    <w:rsid w:val="584A56E5"/>
    <w:rsid w:val="58676496"/>
    <w:rsid w:val="587D6765"/>
    <w:rsid w:val="588743D1"/>
    <w:rsid w:val="5887701A"/>
    <w:rsid w:val="588875E4"/>
    <w:rsid w:val="5889510A"/>
    <w:rsid w:val="589743CF"/>
    <w:rsid w:val="58C82435"/>
    <w:rsid w:val="58DC4114"/>
    <w:rsid w:val="58FE1654"/>
    <w:rsid w:val="591B0CB2"/>
    <w:rsid w:val="593037D7"/>
    <w:rsid w:val="59353E55"/>
    <w:rsid w:val="59575208"/>
    <w:rsid w:val="596C0A0A"/>
    <w:rsid w:val="596D4FAD"/>
    <w:rsid w:val="596F73A7"/>
    <w:rsid w:val="598F57AE"/>
    <w:rsid w:val="599C2C1B"/>
    <w:rsid w:val="59B33F60"/>
    <w:rsid w:val="59B63863"/>
    <w:rsid w:val="59C0439F"/>
    <w:rsid w:val="59C04B5B"/>
    <w:rsid w:val="59D93E6F"/>
    <w:rsid w:val="59E52A0A"/>
    <w:rsid w:val="59F82547"/>
    <w:rsid w:val="5A14201D"/>
    <w:rsid w:val="5A1A7A49"/>
    <w:rsid w:val="5A32467E"/>
    <w:rsid w:val="5A427419"/>
    <w:rsid w:val="5A665EAB"/>
    <w:rsid w:val="5A7E2F29"/>
    <w:rsid w:val="5AAC561D"/>
    <w:rsid w:val="5AAE71CA"/>
    <w:rsid w:val="5ABE2233"/>
    <w:rsid w:val="5ADF54B5"/>
    <w:rsid w:val="5AF93BF7"/>
    <w:rsid w:val="5B125EE8"/>
    <w:rsid w:val="5B307ABF"/>
    <w:rsid w:val="5B384339"/>
    <w:rsid w:val="5B4B2B4A"/>
    <w:rsid w:val="5B4D241F"/>
    <w:rsid w:val="5B4E6197"/>
    <w:rsid w:val="5B7260BB"/>
    <w:rsid w:val="5B754D06"/>
    <w:rsid w:val="5B9F733C"/>
    <w:rsid w:val="5BB66640"/>
    <w:rsid w:val="5BC57894"/>
    <w:rsid w:val="5BDF5D95"/>
    <w:rsid w:val="5BE82147"/>
    <w:rsid w:val="5BF75CD2"/>
    <w:rsid w:val="5BFE7528"/>
    <w:rsid w:val="5C245548"/>
    <w:rsid w:val="5C2C48F8"/>
    <w:rsid w:val="5C5F68BA"/>
    <w:rsid w:val="5C6820A3"/>
    <w:rsid w:val="5C87710B"/>
    <w:rsid w:val="5C8B6B47"/>
    <w:rsid w:val="5C95316C"/>
    <w:rsid w:val="5CA27D26"/>
    <w:rsid w:val="5CB86E0F"/>
    <w:rsid w:val="5CBE1981"/>
    <w:rsid w:val="5CD146D7"/>
    <w:rsid w:val="5CD86465"/>
    <w:rsid w:val="5CDD77D2"/>
    <w:rsid w:val="5D042FB1"/>
    <w:rsid w:val="5D944335"/>
    <w:rsid w:val="5D9B71A7"/>
    <w:rsid w:val="5DBE2927"/>
    <w:rsid w:val="5DD76917"/>
    <w:rsid w:val="5DEF3829"/>
    <w:rsid w:val="5E13213F"/>
    <w:rsid w:val="5E2467F1"/>
    <w:rsid w:val="5E3179E3"/>
    <w:rsid w:val="5E335697"/>
    <w:rsid w:val="5E4A0CE0"/>
    <w:rsid w:val="5E4B3F43"/>
    <w:rsid w:val="5E6E102A"/>
    <w:rsid w:val="5E7345AC"/>
    <w:rsid w:val="5E807B13"/>
    <w:rsid w:val="5E8C14B0"/>
    <w:rsid w:val="5EA84D38"/>
    <w:rsid w:val="5EBE53E1"/>
    <w:rsid w:val="5EC0322C"/>
    <w:rsid w:val="5EC209FA"/>
    <w:rsid w:val="5ED115B9"/>
    <w:rsid w:val="5EF17565"/>
    <w:rsid w:val="5EF552A7"/>
    <w:rsid w:val="5F0664AA"/>
    <w:rsid w:val="5F0C537D"/>
    <w:rsid w:val="5F1A2B43"/>
    <w:rsid w:val="5F512B5D"/>
    <w:rsid w:val="5F63647E"/>
    <w:rsid w:val="5F9754E6"/>
    <w:rsid w:val="5F97635E"/>
    <w:rsid w:val="5FAA4512"/>
    <w:rsid w:val="5FB707AE"/>
    <w:rsid w:val="5FB837BB"/>
    <w:rsid w:val="5FC41AEF"/>
    <w:rsid w:val="5FCF189D"/>
    <w:rsid w:val="5FCF2B18"/>
    <w:rsid w:val="5FE315A4"/>
    <w:rsid w:val="5FFF488E"/>
    <w:rsid w:val="600B10AA"/>
    <w:rsid w:val="6014544D"/>
    <w:rsid w:val="602C309B"/>
    <w:rsid w:val="604638E0"/>
    <w:rsid w:val="6054424F"/>
    <w:rsid w:val="605E553B"/>
    <w:rsid w:val="60675E1D"/>
    <w:rsid w:val="607246D5"/>
    <w:rsid w:val="60817C9C"/>
    <w:rsid w:val="60926EBC"/>
    <w:rsid w:val="60AD570E"/>
    <w:rsid w:val="60B03285"/>
    <w:rsid w:val="60BD5766"/>
    <w:rsid w:val="60BE580F"/>
    <w:rsid w:val="60C50938"/>
    <w:rsid w:val="60CC405A"/>
    <w:rsid w:val="60E87493"/>
    <w:rsid w:val="60E9256B"/>
    <w:rsid w:val="60EC623D"/>
    <w:rsid w:val="610E11C8"/>
    <w:rsid w:val="61137C66"/>
    <w:rsid w:val="61593D89"/>
    <w:rsid w:val="61616C24"/>
    <w:rsid w:val="617D050E"/>
    <w:rsid w:val="61A30FEA"/>
    <w:rsid w:val="61B0000C"/>
    <w:rsid w:val="61B1017A"/>
    <w:rsid w:val="61B31BDD"/>
    <w:rsid w:val="61C40D4B"/>
    <w:rsid w:val="61CB0541"/>
    <w:rsid w:val="61E215D8"/>
    <w:rsid w:val="61F32904"/>
    <w:rsid w:val="61F7015D"/>
    <w:rsid w:val="620C6354"/>
    <w:rsid w:val="621B3775"/>
    <w:rsid w:val="622D4D58"/>
    <w:rsid w:val="62364782"/>
    <w:rsid w:val="6242096F"/>
    <w:rsid w:val="625D7E93"/>
    <w:rsid w:val="62680443"/>
    <w:rsid w:val="627E48A2"/>
    <w:rsid w:val="628C1C3B"/>
    <w:rsid w:val="62AC3ECF"/>
    <w:rsid w:val="62B42831"/>
    <w:rsid w:val="62CF1633"/>
    <w:rsid w:val="62D0711D"/>
    <w:rsid w:val="62FB09B2"/>
    <w:rsid w:val="630E4B89"/>
    <w:rsid w:val="631C5FCA"/>
    <w:rsid w:val="632779F9"/>
    <w:rsid w:val="63367C3C"/>
    <w:rsid w:val="635D166D"/>
    <w:rsid w:val="637A5D7B"/>
    <w:rsid w:val="637B5BB8"/>
    <w:rsid w:val="639220CD"/>
    <w:rsid w:val="6394356A"/>
    <w:rsid w:val="63B01778"/>
    <w:rsid w:val="63C15C2D"/>
    <w:rsid w:val="63C61B2C"/>
    <w:rsid w:val="63C71831"/>
    <w:rsid w:val="63D40BE9"/>
    <w:rsid w:val="63DF2082"/>
    <w:rsid w:val="6409196B"/>
    <w:rsid w:val="64102431"/>
    <w:rsid w:val="64367BDD"/>
    <w:rsid w:val="644324EE"/>
    <w:rsid w:val="64676C66"/>
    <w:rsid w:val="64A5243A"/>
    <w:rsid w:val="64B21544"/>
    <w:rsid w:val="64C25C2B"/>
    <w:rsid w:val="64CC1694"/>
    <w:rsid w:val="64D2669F"/>
    <w:rsid w:val="64F531DE"/>
    <w:rsid w:val="65071890"/>
    <w:rsid w:val="6523039D"/>
    <w:rsid w:val="65373578"/>
    <w:rsid w:val="658646E3"/>
    <w:rsid w:val="65A1330E"/>
    <w:rsid w:val="65A65228"/>
    <w:rsid w:val="65C270DF"/>
    <w:rsid w:val="65C65DFC"/>
    <w:rsid w:val="65D87927"/>
    <w:rsid w:val="65E144D8"/>
    <w:rsid w:val="65E9543A"/>
    <w:rsid w:val="65EB11B2"/>
    <w:rsid w:val="65EC0A86"/>
    <w:rsid w:val="65F23FFE"/>
    <w:rsid w:val="660A52C5"/>
    <w:rsid w:val="660D514E"/>
    <w:rsid w:val="6647649F"/>
    <w:rsid w:val="6662597E"/>
    <w:rsid w:val="666F7143"/>
    <w:rsid w:val="668A7CFF"/>
    <w:rsid w:val="66974E96"/>
    <w:rsid w:val="669E4476"/>
    <w:rsid w:val="66A60AB1"/>
    <w:rsid w:val="66BF3844"/>
    <w:rsid w:val="66C764AB"/>
    <w:rsid w:val="66D74547"/>
    <w:rsid w:val="66DD5F97"/>
    <w:rsid w:val="66FE3167"/>
    <w:rsid w:val="67003A25"/>
    <w:rsid w:val="671F124A"/>
    <w:rsid w:val="67203CC7"/>
    <w:rsid w:val="67286144"/>
    <w:rsid w:val="672B51D0"/>
    <w:rsid w:val="67303B1F"/>
    <w:rsid w:val="673E73EE"/>
    <w:rsid w:val="67495941"/>
    <w:rsid w:val="67692481"/>
    <w:rsid w:val="676A25AA"/>
    <w:rsid w:val="677A33C6"/>
    <w:rsid w:val="67863DD8"/>
    <w:rsid w:val="67AB18F9"/>
    <w:rsid w:val="67B11F87"/>
    <w:rsid w:val="67E608A7"/>
    <w:rsid w:val="67EB3CE9"/>
    <w:rsid w:val="68134F6F"/>
    <w:rsid w:val="681D54B0"/>
    <w:rsid w:val="681F6961"/>
    <w:rsid w:val="682269E1"/>
    <w:rsid w:val="683926A8"/>
    <w:rsid w:val="683C6350"/>
    <w:rsid w:val="68404286"/>
    <w:rsid w:val="6853762F"/>
    <w:rsid w:val="68610A2F"/>
    <w:rsid w:val="68805514"/>
    <w:rsid w:val="68807719"/>
    <w:rsid w:val="68830403"/>
    <w:rsid w:val="68991648"/>
    <w:rsid w:val="68996CA3"/>
    <w:rsid w:val="68997004"/>
    <w:rsid w:val="68BE670A"/>
    <w:rsid w:val="68C62630"/>
    <w:rsid w:val="68D36EDC"/>
    <w:rsid w:val="68D5723F"/>
    <w:rsid w:val="68EC3CBA"/>
    <w:rsid w:val="690B268E"/>
    <w:rsid w:val="69173345"/>
    <w:rsid w:val="69316E2F"/>
    <w:rsid w:val="69450BD9"/>
    <w:rsid w:val="694E2071"/>
    <w:rsid w:val="69525BB5"/>
    <w:rsid w:val="69653029"/>
    <w:rsid w:val="697549BE"/>
    <w:rsid w:val="69766163"/>
    <w:rsid w:val="697A3B33"/>
    <w:rsid w:val="69912070"/>
    <w:rsid w:val="69D44760"/>
    <w:rsid w:val="69EE1271"/>
    <w:rsid w:val="69FD3359"/>
    <w:rsid w:val="69FD5CD9"/>
    <w:rsid w:val="6A00650A"/>
    <w:rsid w:val="6A4F2DA4"/>
    <w:rsid w:val="6A4F793B"/>
    <w:rsid w:val="6A520EC7"/>
    <w:rsid w:val="6A636614"/>
    <w:rsid w:val="6A741F20"/>
    <w:rsid w:val="6A9A6D03"/>
    <w:rsid w:val="6A9D03B5"/>
    <w:rsid w:val="6AA7691F"/>
    <w:rsid w:val="6AC10BC2"/>
    <w:rsid w:val="6AC85A5C"/>
    <w:rsid w:val="6AD541DF"/>
    <w:rsid w:val="6AE0505D"/>
    <w:rsid w:val="6AE85CC0"/>
    <w:rsid w:val="6AEB6D81"/>
    <w:rsid w:val="6AF87E20"/>
    <w:rsid w:val="6B07083C"/>
    <w:rsid w:val="6B1A36FF"/>
    <w:rsid w:val="6B301415"/>
    <w:rsid w:val="6B322639"/>
    <w:rsid w:val="6B371AA7"/>
    <w:rsid w:val="6B6D4417"/>
    <w:rsid w:val="6B7C41BC"/>
    <w:rsid w:val="6BA02A3F"/>
    <w:rsid w:val="6BFB7D37"/>
    <w:rsid w:val="6C24541E"/>
    <w:rsid w:val="6C3118E9"/>
    <w:rsid w:val="6C43713F"/>
    <w:rsid w:val="6C636C38"/>
    <w:rsid w:val="6C6F6D76"/>
    <w:rsid w:val="6C7D068A"/>
    <w:rsid w:val="6CAD0F6F"/>
    <w:rsid w:val="6CFC1EF7"/>
    <w:rsid w:val="6D0F4126"/>
    <w:rsid w:val="6D192AA9"/>
    <w:rsid w:val="6D1D0F17"/>
    <w:rsid w:val="6D36587A"/>
    <w:rsid w:val="6D63684A"/>
    <w:rsid w:val="6D891A42"/>
    <w:rsid w:val="6DB3203C"/>
    <w:rsid w:val="6DB34098"/>
    <w:rsid w:val="6DB545B6"/>
    <w:rsid w:val="6DCF4F15"/>
    <w:rsid w:val="6DD4449B"/>
    <w:rsid w:val="6DD720B6"/>
    <w:rsid w:val="6DE02FB4"/>
    <w:rsid w:val="6DE36C13"/>
    <w:rsid w:val="6DEF3809"/>
    <w:rsid w:val="6DFB76B8"/>
    <w:rsid w:val="6E027099"/>
    <w:rsid w:val="6E361A42"/>
    <w:rsid w:val="6E514CED"/>
    <w:rsid w:val="6E522936"/>
    <w:rsid w:val="6E5241C8"/>
    <w:rsid w:val="6E557FB3"/>
    <w:rsid w:val="6EA4301B"/>
    <w:rsid w:val="6EB563D5"/>
    <w:rsid w:val="6EB92251"/>
    <w:rsid w:val="6EBB79A1"/>
    <w:rsid w:val="6ED92677"/>
    <w:rsid w:val="6EDF562C"/>
    <w:rsid w:val="6EE175F6"/>
    <w:rsid w:val="6EF1107D"/>
    <w:rsid w:val="6EFA06B8"/>
    <w:rsid w:val="6F085918"/>
    <w:rsid w:val="6F0964F7"/>
    <w:rsid w:val="6F225983"/>
    <w:rsid w:val="6F2D5E12"/>
    <w:rsid w:val="6F346713"/>
    <w:rsid w:val="6F377216"/>
    <w:rsid w:val="6F3C3AC3"/>
    <w:rsid w:val="6F423BD7"/>
    <w:rsid w:val="6F437969"/>
    <w:rsid w:val="6F5D3936"/>
    <w:rsid w:val="6F6F1D4A"/>
    <w:rsid w:val="6F80296B"/>
    <w:rsid w:val="6F8561D3"/>
    <w:rsid w:val="6FD25C5F"/>
    <w:rsid w:val="6FDD7E76"/>
    <w:rsid w:val="6FE51919"/>
    <w:rsid w:val="6FEF1DEF"/>
    <w:rsid w:val="6FFC5590"/>
    <w:rsid w:val="70141305"/>
    <w:rsid w:val="703134FA"/>
    <w:rsid w:val="70457711"/>
    <w:rsid w:val="706D1DD0"/>
    <w:rsid w:val="707F591D"/>
    <w:rsid w:val="70856B87"/>
    <w:rsid w:val="708E6BD5"/>
    <w:rsid w:val="70B668EF"/>
    <w:rsid w:val="70D35292"/>
    <w:rsid w:val="70D527EE"/>
    <w:rsid w:val="70DE2A6C"/>
    <w:rsid w:val="70DF36C1"/>
    <w:rsid w:val="70E83D79"/>
    <w:rsid w:val="70F27D7B"/>
    <w:rsid w:val="710D46D2"/>
    <w:rsid w:val="71311888"/>
    <w:rsid w:val="71341C5F"/>
    <w:rsid w:val="714464DD"/>
    <w:rsid w:val="71517382"/>
    <w:rsid w:val="715B5300"/>
    <w:rsid w:val="716E7335"/>
    <w:rsid w:val="718C4A63"/>
    <w:rsid w:val="718F3339"/>
    <w:rsid w:val="71A843FB"/>
    <w:rsid w:val="71C3351D"/>
    <w:rsid w:val="71D27F8A"/>
    <w:rsid w:val="71E44170"/>
    <w:rsid w:val="71F23274"/>
    <w:rsid w:val="720538B3"/>
    <w:rsid w:val="720800E7"/>
    <w:rsid w:val="722C169F"/>
    <w:rsid w:val="72350A98"/>
    <w:rsid w:val="72402885"/>
    <w:rsid w:val="72553024"/>
    <w:rsid w:val="726A7902"/>
    <w:rsid w:val="727442DD"/>
    <w:rsid w:val="7275022C"/>
    <w:rsid w:val="727F51DE"/>
    <w:rsid w:val="729B22F4"/>
    <w:rsid w:val="729F01E5"/>
    <w:rsid w:val="72A921D9"/>
    <w:rsid w:val="72AB1D56"/>
    <w:rsid w:val="72AE2AAD"/>
    <w:rsid w:val="72B172DF"/>
    <w:rsid w:val="72C769E7"/>
    <w:rsid w:val="72CB0A9C"/>
    <w:rsid w:val="72DA4D08"/>
    <w:rsid w:val="72DC7380"/>
    <w:rsid w:val="73027B3B"/>
    <w:rsid w:val="73122968"/>
    <w:rsid w:val="731329B4"/>
    <w:rsid w:val="731F5D5E"/>
    <w:rsid w:val="7322144E"/>
    <w:rsid w:val="7323118B"/>
    <w:rsid w:val="73235B09"/>
    <w:rsid w:val="732D105C"/>
    <w:rsid w:val="733E3781"/>
    <w:rsid w:val="735F51FD"/>
    <w:rsid w:val="737E3665"/>
    <w:rsid w:val="73962C13"/>
    <w:rsid w:val="739F35DC"/>
    <w:rsid w:val="73C51AD5"/>
    <w:rsid w:val="73DE1B39"/>
    <w:rsid w:val="73E159A2"/>
    <w:rsid w:val="73E7745D"/>
    <w:rsid w:val="73ED4347"/>
    <w:rsid w:val="73ED4C48"/>
    <w:rsid w:val="73F11E46"/>
    <w:rsid w:val="741E6BF6"/>
    <w:rsid w:val="741E793C"/>
    <w:rsid w:val="74207A08"/>
    <w:rsid w:val="74332BE9"/>
    <w:rsid w:val="744B6EC5"/>
    <w:rsid w:val="745E3944"/>
    <w:rsid w:val="749710DC"/>
    <w:rsid w:val="749D2A6C"/>
    <w:rsid w:val="749F11BE"/>
    <w:rsid w:val="74D10EE0"/>
    <w:rsid w:val="75100625"/>
    <w:rsid w:val="751054B0"/>
    <w:rsid w:val="75346868"/>
    <w:rsid w:val="7541494A"/>
    <w:rsid w:val="75EA6D90"/>
    <w:rsid w:val="75FA5CC1"/>
    <w:rsid w:val="76012189"/>
    <w:rsid w:val="76082C27"/>
    <w:rsid w:val="763149BF"/>
    <w:rsid w:val="7635099D"/>
    <w:rsid w:val="764C5C54"/>
    <w:rsid w:val="764C7A4B"/>
    <w:rsid w:val="764E34A4"/>
    <w:rsid w:val="76545287"/>
    <w:rsid w:val="765A0255"/>
    <w:rsid w:val="76612DCA"/>
    <w:rsid w:val="76811BBD"/>
    <w:rsid w:val="76A60CC9"/>
    <w:rsid w:val="76B72BAF"/>
    <w:rsid w:val="76BA3D3B"/>
    <w:rsid w:val="76D74096"/>
    <w:rsid w:val="76F547AE"/>
    <w:rsid w:val="77046723"/>
    <w:rsid w:val="7709745B"/>
    <w:rsid w:val="7715336A"/>
    <w:rsid w:val="77286593"/>
    <w:rsid w:val="77302EC9"/>
    <w:rsid w:val="77376912"/>
    <w:rsid w:val="77470212"/>
    <w:rsid w:val="774B0837"/>
    <w:rsid w:val="774D535A"/>
    <w:rsid w:val="77762421"/>
    <w:rsid w:val="777728A5"/>
    <w:rsid w:val="777F79AC"/>
    <w:rsid w:val="7797321E"/>
    <w:rsid w:val="779B4756"/>
    <w:rsid w:val="77A31369"/>
    <w:rsid w:val="77B32F3C"/>
    <w:rsid w:val="77B56B1F"/>
    <w:rsid w:val="77C20E07"/>
    <w:rsid w:val="77C80AC5"/>
    <w:rsid w:val="77F35CA4"/>
    <w:rsid w:val="780659D7"/>
    <w:rsid w:val="780F09F4"/>
    <w:rsid w:val="781F6CA4"/>
    <w:rsid w:val="78335C43"/>
    <w:rsid w:val="785B251B"/>
    <w:rsid w:val="785C63A1"/>
    <w:rsid w:val="78707927"/>
    <w:rsid w:val="788D434B"/>
    <w:rsid w:val="789E2F30"/>
    <w:rsid w:val="78A90480"/>
    <w:rsid w:val="78CF6711"/>
    <w:rsid w:val="78E421BD"/>
    <w:rsid w:val="78E67E61"/>
    <w:rsid w:val="78F80721"/>
    <w:rsid w:val="78F9553C"/>
    <w:rsid w:val="79066F17"/>
    <w:rsid w:val="790928B0"/>
    <w:rsid w:val="79181E66"/>
    <w:rsid w:val="797B36BC"/>
    <w:rsid w:val="797D7A85"/>
    <w:rsid w:val="79AB6836"/>
    <w:rsid w:val="79AF0361"/>
    <w:rsid w:val="79B121CD"/>
    <w:rsid w:val="79D30A0F"/>
    <w:rsid w:val="7A004B6F"/>
    <w:rsid w:val="7A1B1B50"/>
    <w:rsid w:val="7A3031E0"/>
    <w:rsid w:val="7A354C08"/>
    <w:rsid w:val="7A364017"/>
    <w:rsid w:val="7A3C1B84"/>
    <w:rsid w:val="7A6C06BC"/>
    <w:rsid w:val="7A805F7B"/>
    <w:rsid w:val="7A8265E1"/>
    <w:rsid w:val="7A835A05"/>
    <w:rsid w:val="7AA1145D"/>
    <w:rsid w:val="7ABE47ED"/>
    <w:rsid w:val="7AC50EAE"/>
    <w:rsid w:val="7AE94A7D"/>
    <w:rsid w:val="7AF366E7"/>
    <w:rsid w:val="7B09415C"/>
    <w:rsid w:val="7B0B61D5"/>
    <w:rsid w:val="7B1F6CAD"/>
    <w:rsid w:val="7B2A5E81"/>
    <w:rsid w:val="7B395567"/>
    <w:rsid w:val="7B494559"/>
    <w:rsid w:val="7B656EB9"/>
    <w:rsid w:val="7B686D42"/>
    <w:rsid w:val="7B7001B0"/>
    <w:rsid w:val="7B841746"/>
    <w:rsid w:val="7BA615A2"/>
    <w:rsid w:val="7BCA229A"/>
    <w:rsid w:val="7BD619FA"/>
    <w:rsid w:val="7BDC717B"/>
    <w:rsid w:val="7BF52BC3"/>
    <w:rsid w:val="7BF5648F"/>
    <w:rsid w:val="7C1A601F"/>
    <w:rsid w:val="7C342761"/>
    <w:rsid w:val="7C3E45F2"/>
    <w:rsid w:val="7C46037C"/>
    <w:rsid w:val="7C477650"/>
    <w:rsid w:val="7C6C5AC7"/>
    <w:rsid w:val="7CAF663E"/>
    <w:rsid w:val="7CC61874"/>
    <w:rsid w:val="7CC6544B"/>
    <w:rsid w:val="7CC77E2B"/>
    <w:rsid w:val="7CE0713F"/>
    <w:rsid w:val="7CFE75C5"/>
    <w:rsid w:val="7D0239FF"/>
    <w:rsid w:val="7D0C387F"/>
    <w:rsid w:val="7D131EFA"/>
    <w:rsid w:val="7D3A14A4"/>
    <w:rsid w:val="7D5771AB"/>
    <w:rsid w:val="7D5E40CD"/>
    <w:rsid w:val="7D6E3615"/>
    <w:rsid w:val="7D755AD9"/>
    <w:rsid w:val="7DA06AC3"/>
    <w:rsid w:val="7DB0182A"/>
    <w:rsid w:val="7DCD56F2"/>
    <w:rsid w:val="7DDE5692"/>
    <w:rsid w:val="7DE30B7C"/>
    <w:rsid w:val="7E481517"/>
    <w:rsid w:val="7E5A6A7D"/>
    <w:rsid w:val="7EB443DF"/>
    <w:rsid w:val="7EB73ECF"/>
    <w:rsid w:val="7EBB3BCB"/>
    <w:rsid w:val="7EBB62D6"/>
    <w:rsid w:val="7EC42C97"/>
    <w:rsid w:val="7EC860DC"/>
    <w:rsid w:val="7EDA0D31"/>
    <w:rsid w:val="7EF23159"/>
    <w:rsid w:val="7F001CE7"/>
    <w:rsid w:val="7F050090"/>
    <w:rsid w:val="7F11728A"/>
    <w:rsid w:val="7F286B7B"/>
    <w:rsid w:val="7F2E2CCE"/>
    <w:rsid w:val="7F451334"/>
    <w:rsid w:val="7F4B6E66"/>
    <w:rsid w:val="7F540F74"/>
    <w:rsid w:val="7F58120E"/>
    <w:rsid w:val="7F761695"/>
    <w:rsid w:val="7F7F0632"/>
    <w:rsid w:val="7F8B501A"/>
    <w:rsid w:val="7FC00B62"/>
    <w:rsid w:val="7FD05249"/>
    <w:rsid w:val="7FE47E50"/>
    <w:rsid w:val="7FF32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link w:val="50"/>
    <w:qFormat/>
    <w:locked/>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6"/>
    <w:link w:val="52"/>
    <w:qFormat/>
    <w:locked/>
    <w:uiPriority w:val="0"/>
    <w:pPr>
      <w:keepNext/>
      <w:keepLines/>
      <w:spacing w:line="360" w:lineRule="auto"/>
      <w:outlineLvl w:val="2"/>
    </w:pPr>
    <w:rPr>
      <w:rFonts w:eastAsia="黑体"/>
    </w:rPr>
  </w:style>
  <w:style w:type="paragraph" w:styleId="7">
    <w:name w:val="heading 4"/>
    <w:basedOn w:val="1"/>
    <w:next w:val="1"/>
    <w:qFormat/>
    <w:locked/>
    <w:uiPriority w:val="0"/>
    <w:pPr>
      <w:spacing w:line="360" w:lineRule="auto"/>
      <w:jc w:val="left"/>
      <w:outlineLvl w:val="3"/>
    </w:pPr>
    <w:rPr>
      <w:rFonts w:eastAsia="黑体"/>
      <w:bCs/>
      <w:szCs w:val="26"/>
    </w:rPr>
  </w:style>
  <w:style w:type="paragraph" w:styleId="8">
    <w:name w:val="heading 5"/>
    <w:basedOn w:val="1"/>
    <w:next w:val="1"/>
    <w:qFormat/>
    <w:locked/>
    <w:uiPriority w:val="0"/>
    <w:pPr>
      <w:keepNext/>
      <w:keepLines/>
      <w:adjustRightInd w:val="0"/>
      <w:snapToGrid w:val="0"/>
      <w:spacing w:line="360" w:lineRule="auto"/>
      <w:outlineLvl w:val="4"/>
    </w:pPr>
    <w:rPr>
      <w:b/>
      <w:bCs/>
      <w:kern w:val="0"/>
      <w:sz w:val="24"/>
      <w:szCs w:val="28"/>
    </w:rPr>
  </w:style>
  <w:style w:type="character" w:default="1" w:styleId="38">
    <w:name w:val="Default Paragraph Font"/>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1"/>
    <w:qFormat/>
    <w:locked/>
    <w:uiPriority w:val="0"/>
    <w:pPr>
      <w:adjustRightInd w:val="0"/>
      <w:spacing w:line="312" w:lineRule="atLeast"/>
      <w:ind w:firstLine="425"/>
    </w:pPr>
    <w:rPr>
      <w:rFonts w:hint="eastAsia" w:ascii="宋体" w:hAnsi="宋体"/>
      <w:szCs w:val="20"/>
    </w:rPr>
  </w:style>
  <w:style w:type="paragraph" w:customStyle="1" w:styleId="6">
    <w:name w:val="内容"/>
    <w:basedOn w:val="1"/>
    <w:qFormat/>
    <w:uiPriority w:val="0"/>
    <w:pPr>
      <w:spacing w:line="480" w:lineRule="exact"/>
      <w:ind w:firstLine="200" w:firstLineChars="200"/>
      <w:jc w:val="both"/>
    </w:pPr>
    <w:rPr>
      <w:sz w:val="24"/>
    </w:rPr>
  </w:style>
  <w:style w:type="paragraph" w:styleId="9">
    <w:name w:val="caption"/>
    <w:basedOn w:val="1"/>
    <w:next w:val="1"/>
    <w:unhideWhenUsed/>
    <w:qFormat/>
    <w:locked/>
    <w:uiPriority w:val="0"/>
    <w:rPr>
      <w:rFonts w:ascii="Calibri Light" w:hAnsi="Calibri Light" w:eastAsia="黑体"/>
      <w:sz w:val="20"/>
      <w:szCs w:val="20"/>
    </w:rPr>
  </w:style>
  <w:style w:type="paragraph" w:styleId="10">
    <w:name w:val="Document Map"/>
    <w:basedOn w:val="1"/>
    <w:semiHidden/>
    <w:qFormat/>
    <w:locked/>
    <w:uiPriority w:val="0"/>
    <w:pPr>
      <w:shd w:val="clear" w:color="auto" w:fill="000080"/>
    </w:pPr>
  </w:style>
  <w:style w:type="paragraph" w:styleId="11">
    <w:name w:val="toa heading"/>
    <w:basedOn w:val="1"/>
    <w:next w:val="1"/>
    <w:unhideWhenUsed/>
    <w:qFormat/>
    <w:locked/>
    <w:uiPriority w:val="99"/>
    <w:pPr>
      <w:spacing w:before="120"/>
    </w:pPr>
    <w:rPr>
      <w:rFonts w:ascii="Cambria" w:hAnsi="Cambria"/>
      <w:sz w:val="24"/>
    </w:rPr>
  </w:style>
  <w:style w:type="paragraph" w:styleId="12">
    <w:name w:val="annotation text"/>
    <w:basedOn w:val="1"/>
    <w:link w:val="53"/>
    <w:qFormat/>
    <w:uiPriority w:val="99"/>
    <w:pPr>
      <w:jc w:val="left"/>
    </w:pPr>
    <w:rPr>
      <w:kern w:val="0"/>
      <w:sz w:val="24"/>
      <w:szCs w:val="20"/>
    </w:rPr>
  </w:style>
  <w:style w:type="paragraph" w:styleId="13">
    <w:name w:val="Salutation"/>
    <w:basedOn w:val="1"/>
    <w:next w:val="1"/>
    <w:qFormat/>
    <w:locked/>
    <w:uiPriority w:val="0"/>
    <w:pPr>
      <w:widowControl/>
      <w:jc w:val="left"/>
    </w:pPr>
    <w:rPr>
      <w:rFonts w:ascii="Calibri" w:hAnsi="Calibri"/>
      <w:kern w:val="0"/>
      <w:sz w:val="24"/>
    </w:rPr>
  </w:style>
  <w:style w:type="paragraph" w:styleId="14">
    <w:name w:val="Body Text"/>
    <w:basedOn w:val="1"/>
    <w:next w:val="15"/>
    <w:link w:val="54"/>
    <w:qFormat/>
    <w:uiPriority w:val="0"/>
    <w:pPr>
      <w:widowControl/>
      <w:snapToGrid w:val="0"/>
      <w:spacing w:before="60" w:after="160" w:line="259" w:lineRule="auto"/>
      <w:ind w:right="113"/>
    </w:pPr>
    <w:rPr>
      <w:kern w:val="0"/>
      <w:sz w:val="18"/>
      <w:szCs w:val="20"/>
    </w:rPr>
  </w:style>
  <w:style w:type="paragraph" w:customStyle="1" w:styleId="15">
    <w:name w:val="xl2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4"/>
    </w:rPr>
  </w:style>
  <w:style w:type="paragraph" w:styleId="16">
    <w:name w:val="Body Text Indent"/>
    <w:basedOn w:val="1"/>
    <w:link w:val="55"/>
    <w:qFormat/>
    <w:uiPriority w:val="0"/>
    <w:pPr>
      <w:spacing w:after="120"/>
      <w:ind w:left="420" w:leftChars="200"/>
    </w:pPr>
    <w:rPr>
      <w:kern w:val="0"/>
      <w:sz w:val="24"/>
      <w:szCs w:val="20"/>
    </w:rPr>
  </w:style>
  <w:style w:type="paragraph" w:styleId="17">
    <w:name w:val="Block Text"/>
    <w:basedOn w:val="1"/>
    <w:qFormat/>
    <w:locked/>
    <w:uiPriority w:val="0"/>
    <w:pPr>
      <w:spacing w:after="120"/>
      <w:ind w:left="1440" w:leftChars="700" w:right="700" w:rightChars="700"/>
    </w:pPr>
  </w:style>
  <w:style w:type="paragraph" w:styleId="18">
    <w:name w:val="Plain Text"/>
    <w:basedOn w:val="1"/>
    <w:next w:val="1"/>
    <w:link w:val="49"/>
    <w:qFormat/>
    <w:locked/>
    <w:uiPriority w:val="0"/>
    <w:pPr>
      <w:spacing w:line="240" w:lineRule="atLeast"/>
    </w:pPr>
    <w:rPr>
      <w:rFonts w:ascii="宋体" w:hAnsi="Courier New"/>
      <w:sz w:val="28"/>
      <w:szCs w:val="21"/>
    </w:rPr>
  </w:style>
  <w:style w:type="paragraph" w:styleId="19">
    <w:name w:val="Date"/>
    <w:basedOn w:val="1"/>
    <w:next w:val="1"/>
    <w:link w:val="57"/>
    <w:qFormat/>
    <w:uiPriority w:val="0"/>
    <w:pPr>
      <w:ind w:left="100" w:leftChars="2500"/>
    </w:pPr>
    <w:rPr>
      <w:kern w:val="0"/>
      <w:sz w:val="24"/>
      <w:szCs w:val="20"/>
    </w:rPr>
  </w:style>
  <w:style w:type="paragraph" w:styleId="20">
    <w:name w:val="Body Text Indent 2"/>
    <w:basedOn w:val="1"/>
    <w:qFormat/>
    <w:locked/>
    <w:uiPriority w:val="0"/>
    <w:pPr>
      <w:spacing w:before="156" w:beforeLines="50"/>
      <w:ind w:firstLine="600"/>
    </w:pPr>
    <w:rPr>
      <w:rFonts w:eastAsia="仿宋_GB2312"/>
      <w:kern w:val="0"/>
    </w:rPr>
  </w:style>
  <w:style w:type="paragraph" w:styleId="21">
    <w:name w:val="Balloon Text"/>
    <w:basedOn w:val="1"/>
    <w:link w:val="58"/>
    <w:semiHidden/>
    <w:qFormat/>
    <w:uiPriority w:val="0"/>
    <w:rPr>
      <w:kern w:val="0"/>
      <w:sz w:val="18"/>
      <w:szCs w:val="20"/>
    </w:rPr>
  </w:style>
  <w:style w:type="paragraph" w:styleId="22">
    <w:name w:val="footer"/>
    <w:basedOn w:val="1"/>
    <w:link w:val="59"/>
    <w:qFormat/>
    <w:uiPriority w:val="99"/>
    <w:pPr>
      <w:tabs>
        <w:tab w:val="center" w:pos="4153"/>
        <w:tab w:val="right" w:pos="8306"/>
      </w:tabs>
      <w:snapToGrid w:val="0"/>
      <w:jc w:val="left"/>
    </w:pPr>
    <w:rPr>
      <w:kern w:val="0"/>
      <w:sz w:val="18"/>
      <w:szCs w:val="20"/>
    </w:rPr>
  </w:style>
  <w:style w:type="paragraph" w:styleId="23">
    <w:name w:val="header"/>
    <w:basedOn w:val="1"/>
    <w:next w:val="24"/>
    <w:link w:val="60"/>
    <w:qFormat/>
    <w:uiPriority w:val="99"/>
    <w:pPr>
      <w:pBdr>
        <w:bottom w:val="single" w:color="auto" w:sz="6" w:space="1"/>
      </w:pBdr>
      <w:tabs>
        <w:tab w:val="center" w:pos="4153"/>
        <w:tab w:val="right" w:pos="8306"/>
      </w:tabs>
      <w:snapToGrid w:val="0"/>
      <w:jc w:val="center"/>
    </w:pPr>
    <w:rPr>
      <w:kern w:val="0"/>
      <w:sz w:val="18"/>
      <w:szCs w:val="20"/>
    </w:rPr>
  </w:style>
  <w:style w:type="paragraph" w:styleId="24">
    <w:name w:val="index heading"/>
    <w:basedOn w:val="1"/>
    <w:next w:val="25"/>
    <w:qFormat/>
    <w:locked/>
    <w:uiPriority w:val="0"/>
    <w:rPr>
      <w:rFonts w:ascii="Arial" w:hAnsi="Arial"/>
      <w:b/>
    </w:rPr>
  </w:style>
  <w:style w:type="paragraph" w:styleId="25">
    <w:name w:val="index 1"/>
    <w:basedOn w:val="1"/>
    <w:next w:val="1"/>
    <w:qFormat/>
    <w:locked/>
    <w:uiPriority w:val="0"/>
    <w:pPr>
      <w:jc w:val="left"/>
    </w:pPr>
    <w:rPr>
      <w:sz w:val="20"/>
      <w:szCs w:val="20"/>
    </w:rPr>
  </w:style>
  <w:style w:type="paragraph" w:styleId="26">
    <w:name w:val="toc 1"/>
    <w:basedOn w:val="1"/>
    <w:next w:val="1"/>
    <w:qFormat/>
    <w:locked/>
    <w:uiPriority w:val="39"/>
  </w:style>
  <w:style w:type="paragraph" w:styleId="27">
    <w:name w:val="List"/>
    <w:basedOn w:val="1"/>
    <w:next w:val="1"/>
    <w:qFormat/>
    <w:locked/>
    <w:uiPriority w:val="0"/>
    <w:pPr>
      <w:ind w:left="200" w:hanging="200" w:hangingChars="200"/>
    </w:pPr>
    <w:rPr>
      <w:szCs w:val="20"/>
    </w:rPr>
  </w:style>
  <w:style w:type="paragraph" w:styleId="28">
    <w:name w:val="table of figures"/>
    <w:basedOn w:val="1"/>
    <w:next w:val="1"/>
    <w:qFormat/>
    <w:locked/>
    <w:uiPriority w:val="0"/>
    <w:pPr>
      <w:ind w:left="1920" w:leftChars="200"/>
      <w:jc w:val="center"/>
    </w:pPr>
    <w:rPr>
      <w:rFonts w:ascii="Times New Roman" w:hAnsi="Times New Roman"/>
      <w:b/>
    </w:rPr>
  </w:style>
  <w:style w:type="paragraph" w:styleId="29">
    <w:name w:val="toc 2"/>
    <w:basedOn w:val="1"/>
    <w:next w:val="1"/>
    <w:qFormat/>
    <w:locked/>
    <w:uiPriority w:val="0"/>
    <w:pPr>
      <w:ind w:left="420" w:leftChars="200"/>
    </w:pPr>
  </w:style>
  <w:style w:type="paragraph" w:styleId="30">
    <w:name w:val="Body Text 2"/>
    <w:basedOn w:val="1"/>
    <w:link w:val="61"/>
    <w:qFormat/>
    <w:locked/>
    <w:uiPriority w:val="0"/>
    <w:pPr>
      <w:spacing w:after="120" w:line="480" w:lineRule="auto"/>
    </w:pPr>
  </w:style>
  <w:style w:type="paragraph" w:styleId="31">
    <w:name w:val="HTML Preformatted"/>
    <w:basedOn w:val="1"/>
    <w:qFormat/>
    <w:locked/>
    <w:uiPriority w:val="0"/>
    <w:pPr>
      <w:widowControl/>
      <w:jc w:val="left"/>
    </w:pPr>
    <w:rPr>
      <w:rFonts w:ascii="宋体" w:hAnsi="宋体" w:cs="宋体"/>
      <w:kern w:val="0"/>
      <w:sz w:val="24"/>
    </w:rPr>
  </w:style>
  <w:style w:type="paragraph" w:styleId="32">
    <w:name w:val="Normal (Web)"/>
    <w:basedOn w:val="1"/>
    <w:link w:val="62"/>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12"/>
    <w:next w:val="12"/>
    <w:link w:val="63"/>
    <w:semiHidden/>
    <w:qFormat/>
    <w:uiPriority w:val="0"/>
    <w:rPr>
      <w:b/>
    </w:rPr>
  </w:style>
  <w:style w:type="paragraph" w:styleId="34">
    <w:name w:val="Body Text First Indent"/>
    <w:basedOn w:val="14"/>
    <w:next w:val="1"/>
    <w:qFormat/>
    <w:locked/>
    <w:uiPriority w:val="0"/>
    <w:pPr>
      <w:spacing w:line="360" w:lineRule="auto"/>
      <w:ind w:firstLine="600" w:firstLineChars="200"/>
    </w:pPr>
    <w:rPr>
      <w:rFonts w:ascii="宋体" w:hAnsi="宋体"/>
    </w:rPr>
  </w:style>
  <w:style w:type="paragraph" w:styleId="35">
    <w:name w:val="Body Text First Indent 2"/>
    <w:basedOn w:val="16"/>
    <w:next w:val="1"/>
    <w:qFormat/>
    <w:locked/>
    <w:uiPriority w:val="0"/>
    <w:pPr>
      <w:ind w:firstLine="420" w:firstLineChars="200"/>
    </w:pPr>
    <w:rPr>
      <w:rFonts w:hint="eastAsia"/>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locked/>
    <w:uiPriority w:val="0"/>
    <w:rPr>
      <w:b/>
    </w:rPr>
  </w:style>
  <w:style w:type="character" w:styleId="40">
    <w:name w:val="page number"/>
    <w:qFormat/>
    <w:locked/>
    <w:uiPriority w:val="0"/>
  </w:style>
  <w:style w:type="character" w:styleId="41">
    <w:name w:val="FollowedHyperlink"/>
    <w:basedOn w:val="38"/>
    <w:qFormat/>
    <w:locked/>
    <w:uiPriority w:val="0"/>
    <w:rPr>
      <w:color w:val="954F72"/>
      <w:u w:val="single"/>
    </w:rPr>
  </w:style>
  <w:style w:type="character" w:styleId="42">
    <w:name w:val="Hyperlink"/>
    <w:qFormat/>
    <w:locked/>
    <w:uiPriority w:val="99"/>
    <w:rPr>
      <w:color w:val="261CDC"/>
      <w:u w:val="single"/>
    </w:rPr>
  </w:style>
  <w:style w:type="character" w:styleId="43">
    <w:name w:val="annotation reference"/>
    <w:semiHidden/>
    <w:qFormat/>
    <w:uiPriority w:val="0"/>
    <w:rPr>
      <w:sz w:val="21"/>
    </w:rPr>
  </w:style>
  <w:style w:type="paragraph" w:customStyle="1" w:styleId="44">
    <w:name w:val="Default"/>
    <w:basedOn w:val="45"/>
    <w:next w:val="1"/>
    <w:link w:val="56"/>
    <w:qFormat/>
    <w:uiPriority w:val="0"/>
    <w:pPr>
      <w:autoSpaceDE w:val="0"/>
      <w:autoSpaceDN w:val="0"/>
      <w:spacing w:line="360" w:lineRule="auto"/>
    </w:pPr>
    <w:rPr>
      <w:rFonts w:ascii="方正仿宋_GBK" w:hAnsi="方正仿宋_GBK" w:eastAsia="方正仿宋_GBK"/>
      <w:color w:val="000000"/>
      <w:sz w:val="24"/>
    </w:rPr>
  </w:style>
  <w:style w:type="paragraph" w:customStyle="1" w:styleId="45">
    <w:name w:val="纯文本1"/>
    <w:basedOn w:val="1"/>
    <w:qFormat/>
    <w:uiPriority w:val="0"/>
    <w:pPr>
      <w:adjustRightInd w:val="0"/>
    </w:pPr>
    <w:rPr>
      <w:rFonts w:hAnsi="Courier New"/>
      <w:szCs w:val="20"/>
    </w:rPr>
  </w:style>
  <w:style w:type="paragraph" w:customStyle="1" w:styleId="46">
    <w:name w:val="样式 正文文本缩进 + 行距: 1.5 倍行距"/>
    <w:basedOn w:val="16"/>
    <w:qFormat/>
    <w:uiPriority w:val="0"/>
    <w:pPr>
      <w:spacing w:line="360" w:lineRule="auto"/>
      <w:ind w:left="90" w:leftChars="32" w:firstLine="560" w:firstLineChars="200"/>
    </w:pPr>
    <w:rPr>
      <w:rFonts w:cs="宋体"/>
    </w:rPr>
  </w:style>
  <w:style w:type="paragraph" w:customStyle="1" w:styleId="47">
    <w:name w:val="正文1"/>
    <w:next w:val="1"/>
    <w:qFormat/>
    <w:uiPriority w:val="0"/>
    <w:pPr>
      <w:jc w:val="both"/>
    </w:pPr>
    <w:rPr>
      <w:rFonts w:ascii="Calibri" w:hAnsi="Calibri" w:eastAsia="宋体" w:cs="宋体"/>
      <w:kern w:val="2"/>
      <w:sz w:val="21"/>
      <w:szCs w:val="21"/>
      <w:lang w:val="en-US" w:eastAsia="zh-CN" w:bidi="ar-SA"/>
    </w:rPr>
  </w:style>
  <w:style w:type="paragraph" w:customStyle="1" w:styleId="48">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9">
    <w:name w:val="纯文本 字符"/>
    <w:link w:val="18"/>
    <w:qFormat/>
    <w:uiPriority w:val="0"/>
    <w:rPr>
      <w:rFonts w:ascii="宋体" w:hAnsi="Courier New"/>
      <w:kern w:val="2"/>
      <w:sz w:val="28"/>
      <w:szCs w:val="21"/>
    </w:rPr>
  </w:style>
  <w:style w:type="character" w:customStyle="1" w:styleId="50">
    <w:name w:val="标题 2 字符"/>
    <w:link w:val="3"/>
    <w:semiHidden/>
    <w:qFormat/>
    <w:uiPriority w:val="0"/>
    <w:rPr>
      <w:rFonts w:ascii="Cambria" w:hAnsi="Cambria" w:eastAsia="宋体" w:cs="Times New Roman"/>
      <w:b/>
      <w:bCs/>
      <w:kern w:val="2"/>
      <w:sz w:val="32"/>
      <w:szCs w:val="32"/>
    </w:rPr>
  </w:style>
  <w:style w:type="character" w:customStyle="1" w:styleId="51">
    <w:name w:val="正文缩进 字符"/>
    <w:link w:val="4"/>
    <w:qFormat/>
    <w:uiPriority w:val="0"/>
    <w:rPr>
      <w:rFonts w:ascii="宋体" w:hAnsi="宋体"/>
      <w:kern w:val="2"/>
      <w:sz w:val="21"/>
    </w:rPr>
  </w:style>
  <w:style w:type="character" w:customStyle="1" w:styleId="52">
    <w:name w:val="标题 3 字符"/>
    <w:link w:val="5"/>
    <w:qFormat/>
    <w:uiPriority w:val="9"/>
    <w:rPr>
      <w:rFonts w:ascii="Times New Roman" w:hAnsi="Times New Roman" w:eastAsia="黑体"/>
    </w:rPr>
  </w:style>
  <w:style w:type="character" w:customStyle="1" w:styleId="53">
    <w:name w:val="批注文字 字符"/>
    <w:link w:val="12"/>
    <w:qFormat/>
    <w:locked/>
    <w:uiPriority w:val="99"/>
    <w:rPr>
      <w:rFonts w:ascii="Times New Roman" w:hAnsi="Times New Roman" w:eastAsia="宋体"/>
      <w:sz w:val="24"/>
    </w:rPr>
  </w:style>
  <w:style w:type="character" w:customStyle="1" w:styleId="54">
    <w:name w:val="正文文本 字符"/>
    <w:link w:val="14"/>
    <w:qFormat/>
    <w:locked/>
    <w:uiPriority w:val="0"/>
    <w:rPr>
      <w:sz w:val="18"/>
    </w:rPr>
  </w:style>
  <w:style w:type="character" w:customStyle="1" w:styleId="55">
    <w:name w:val="正文文本缩进 字符"/>
    <w:link w:val="16"/>
    <w:semiHidden/>
    <w:qFormat/>
    <w:locked/>
    <w:uiPriority w:val="0"/>
    <w:rPr>
      <w:rFonts w:ascii="Times New Roman" w:hAnsi="Times New Roman" w:eastAsia="宋体"/>
      <w:sz w:val="24"/>
    </w:rPr>
  </w:style>
  <w:style w:type="character" w:customStyle="1" w:styleId="56">
    <w:name w:val="Default Char Char"/>
    <w:link w:val="44"/>
    <w:qFormat/>
    <w:uiPriority w:val="0"/>
    <w:rPr>
      <w:rFonts w:ascii="方正仿宋_GBK" w:hAnsi="方正仿宋_GBK" w:eastAsia="方正仿宋_GBK"/>
      <w:color w:val="000000"/>
      <w:kern w:val="2"/>
      <w:sz w:val="24"/>
      <w:szCs w:val="24"/>
    </w:rPr>
  </w:style>
  <w:style w:type="character" w:customStyle="1" w:styleId="57">
    <w:name w:val="日期 字符1"/>
    <w:link w:val="19"/>
    <w:qFormat/>
    <w:locked/>
    <w:uiPriority w:val="0"/>
    <w:rPr>
      <w:rFonts w:ascii="Times New Roman" w:hAnsi="Times New Roman" w:eastAsia="宋体"/>
      <w:sz w:val="24"/>
    </w:rPr>
  </w:style>
  <w:style w:type="character" w:customStyle="1" w:styleId="58">
    <w:name w:val="批注框文本 字符"/>
    <w:link w:val="21"/>
    <w:semiHidden/>
    <w:qFormat/>
    <w:locked/>
    <w:uiPriority w:val="0"/>
    <w:rPr>
      <w:rFonts w:ascii="Times New Roman" w:hAnsi="Times New Roman" w:eastAsia="宋体"/>
      <w:sz w:val="18"/>
    </w:rPr>
  </w:style>
  <w:style w:type="character" w:customStyle="1" w:styleId="59">
    <w:name w:val="页脚 字符1"/>
    <w:link w:val="22"/>
    <w:qFormat/>
    <w:locked/>
    <w:uiPriority w:val="99"/>
    <w:rPr>
      <w:sz w:val="18"/>
    </w:rPr>
  </w:style>
  <w:style w:type="character" w:customStyle="1" w:styleId="60">
    <w:name w:val="页眉 字符1"/>
    <w:link w:val="23"/>
    <w:qFormat/>
    <w:locked/>
    <w:uiPriority w:val="99"/>
    <w:rPr>
      <w:sz w:val="18"/>
    </w:rPr>
  </w:style>
  <w:style w:type="character" w:customStyle="1" w:styleId="61">
    <w:name w:val="正文文本 2 字符"/>
    <w:link w:val="30"/>
    <w:qFormat/>
    <w:uiPriority w:val="0"/>
    <w:rPr>
      <w:kern w:val="2"/>
      <w:sz w:val="21"/>
      <w:szCs w:val="24"/>
    </w:rPr>
  </w:style>
  <w:style w:type="character" w:customStyle="1" w:styleId="62">
    <w:name w:val="普通(网站) 字符"/>
    <w:link w:val="32"/>
    <w:qFormat/>
    <w:locked/>
    <w:uiPriority w:val="0"/>
    <w:rPr>
      <w:rFonts w:ascii="宋体" w:hAnsi="宋体" w:eastAsia="宋体"/>
      <w:sz w:val="24"/>
    </w:rPr>
  </w:style>
  <w:style w:type="character" w:customStyle="1" w:styleId="63">
    <w:name w:val="批注主题 字符"/>
    <w:link w:val="33"/>
    <w:semiHidden/>
    <w:qFormat/>
    <w:locked/>
    <w:uiPriority w:val="0"/>
    <w:rPr>
      <w:rFonts w:ascii="Times New Roman" w:hAnsi="Times New Roman" w:eastAsia="宋体"/>
      <w:b/>
      <w:kern w:val="2"/>
      <w:sz w:val="24"/>
    </w:rPr>
  </w:style>
  <w:style w:type="paragraph" w:customStyle="1" w:styleId="64">
    <w:name w:val="批注文字1"/>
    <w:basedOn w:val="1"/>
    <w:next w:val="12"/>
    <w:unhideWhenUsed/>
    <w:qFormat/>
    <w:uiPriority w:val="99"/>
    <w:rPr>
      <w:rFonts w:ascii="Calibri" w:hAnsi="Calibri"/>
    </w:rPr>
  </w:style>
  <w:style w:type="character" w:customStyle="1" w:styleId="65">
    <w:name w:val="正文（首行缩进两字） Char"/>
    <w:qFormat/>
    <w:uiPriority w:val="0"/>
    <w:rPr>
      <w:rFonts w:ascii="Times New Roman" w:hAnsi="Times New Roman" w:eastAsia="宋体"/>
      <w:kern w:val="2"/>
      <w:sz w:val="24"/>
      <w:lang w:val="en-US" w:eastAsia="zh-CN"/>
    </w:rPr>
  </w:style>
  <w:style w:type="character" w:customStyle="1" w:styleId="66">
    <w:name w:val="font41"/>
    <w:basedOn w:val="38"/>
    <w:qFormat/>
    <w:uiPriority w:val="0"/>
    <w:rPr>
      <w:rFonts w:hint="default" w:ascii="Times New Roman" w:hAnsi="Times New Roman" w:cs="Times New Roman"/>
      <w:color w:val="0000FF"/>
      <w:sz w:val="18"/>
      <w:szCs w:val="18"/>
      <w:u w:val="none"/>
    </w:rPr>
  </w:style>
  <w:style w:type="character" w:customStyle="1" w:styleId="67">
    <w:name w:val="页脚 字符"/>
    <w:qFormat/>
    <w:uiPriority w:val="99"/>
  </w:style>
  <w:style w:type="character" w:customStyle="1" w:styleId="68">
    <w:name w:val="页眉 字符"/>
    <w:basedOn w:val="38"/>
    <w:qFormat/>
    <w:uiPriority w:val="0"/>
    <w:rPr>
      <w:rFonts w:hint="default" w:ascii="Arial Unicode MS" w:hAnsi="Arial Unicode MS" w:eastAsia="Arial Unicode MS" w:cs="Arial Unicode MS"/>
    </w:rPr>
  </w:style>
  <w:style w:type="character" w:customStyle="1" w:styleId="69">
    <w:name w:val="正文文本 字符1"/>
    <w:semiHidden/>
    <w:qFormat/>
    <w:uiPriority w:val="0"/>
    <w:rPr>
      <w:rFonts w:ascii="Times New Roman" w:hAnsi="Times New Roman" w:eastAsia="宋体"/>
      <w:sz w:val="24"/>
    </w:rPr>
  </w:style>
  <w:style w:type="character" w:customStyle="1" w:styleId="70">
    <w:name w:val="logtext"/>
    <w:basedOn w:val="38"/>
    <w:qFormat/>
    <w:uiPriority w:val="0"/>
  </w:style>
  <w:style w:type="character" w:customStyle="1" w:styleId="71">
    <w:name w:val="日期 字符"/>
    <w:semiHidden/>
    <w:qFormat/>
    <w:uiPriority w:val="0"/>
    <w:rPr>
      <w:rFonts w:ascii="Times New Roman" w:hAnsi="Times New Roman" w:eastAsia="宋体"/>
      <w:sz w:val="24"/>
    </w:rPr>
  </w:style>
  <w:style w:type="character" w:customStyle="1" w:styleId="72">
    <w:name w:val="fontstyle01"/>
    <w:qFormat/>
    <w:uiPriority w:val="0"/>
    <w:rPr>
      <w:rFonts w:ascii="宋体" w:hAnsi="宋体" w:eastAsia="宋体" w:cs="宋体"/>
      <w:color w:val="000000"/>
      <w:sz w:val="24"/>
      <w:szCs w:val="24"/>
    </w:rPr>
  </w:style>
  <w:style w:type="character" w:customStyle="1" w:styleId="73">
    <w:name w:val="批注文字 字符1"/>
    <w:semiHidden/>
    <w:qFormat/>
    <w:uiPriority w:val="0"/>
    <w:rPr>
      <w:rFonts w:ascii="Times New Roman" w:hAnsi="Times New Roman" w:eastAsia="宋体"/>
      <w:sz w:val="24"/>
    </w:rPr>
  </w:style>
  <w:style w:type="character" w:customStyle="1" w:styleId="74">
    <w:name w:val="fontstyle21"/>
    <w:qFormat/>
    <w:uiPriority w:val="0"/>
    <w:rPr>
      <w:rFonts w:ascii="TimesNewRomanPSMT" w:hAnsi="TimesNewRomanPSMT" w:eastAsia="TimesNewRomanPSMT" w:cs="TimesNewRomanPSMT"/>
      <w:color w:val="000000"/>
      <w:sz w:val="24"/>
      <w:szCs w:val="24"/>
    </w:rPr>
  </w:style>
  <w:style w:type="character" w:customStyle="1" w:styleId="75">
    <w:name w:val="表格 Char"/>
    <w:link w:val="76"/>
    <w:qFormat/>
    <w:locked/>
    <w:uiPriority w:val="0"/>
    <w:rPr>
      <w:rFonts w:ascii="宋体"/>
      <w:sz w:val="21"/>
    </w:rPr>
  </w:style>
  <w:style w:type="paragraph" w:customStyle="1" w:styleId="76">
    <w:name w:val="表格"/>
    <w:basedOn w:val="4"/>
    <w:next w:val="77"/>
    <w:link w:val="75"/>
    <w:qFormat/>
    <w:uiPriority w:val="0"/>
    <w:pPr>
      <w:snapToGrid w:val="0"/>
      <w:spacing w:beforeLines="10" w:afterLines="10" w:line="259" w:lineRule="auto"/>
      <w:jc w:val="center"/>
    </w:pPr>
    <w:rPr>
      <w:kern w:val="0"/>
    </w:rPr>
  </w:style>
  <w:style w:type="paragraph" w:customStyle="1" w:styleId="77">
    <w:name w:val="正文首行"/>
    <w:basedOn w:val="4"/>
    <w:qFormat/>
    <w:uiPriority w:val="0"/>
    <w:pPr>
      <w:spacing w:line="480" w:lineRule="exact"/>
      <w:ind w:firstLine="200"/>
    </w:pPr>
  </w:style>
  <w:style w:type="paragraph" w:customStyle="1" w:styleId="78">
    <w:name w:val="列表1"/>
    <w:basedOn w:val="1"/>
    <w:qFormat/>
    <w:uiPriority w:val="0"/>
    <w:pPr>
      <w:spacing w:before="100" w:beforeAutospacing="1" w:after="100" w:afterAutospacing="1"/>
      <w:ind w:left="420" w:hanging="420"/>
    </w:pPr>
    <w:rPr>
      <w:sz w:val="24"/>
    </w:rPr>
  </w:style>
  <w:style w:type="character" w:customStyle="1" w:styleId="79">
    <w:name w:val="样式 表中文字 + 小四 Char"/>
    <w:link w:val="80"/>
    <w:qFormat/>
    <w:uiPriority w:val="0"/>
    <w:rPr>
      <w:rFonts w:ascii="宋体" w:hAnsi="宋体" w:cs="宋体"/>
      <w:sz w:val="21"/>
      <w:szCs w:val="21"/>
    </w:rPr>
  </w:style>
  <w:style w:type="paragraph" w:customStyle="1" w:styleId="80">
    <w:name w:val="样式 表中文字 + 小四"/>
    <w:basedOn w:val="1"/>
    <w:link w:val="79"/>
    <w:qFormat/>
    <w:uiPriority w:val="0"/>
    <w:pPr>
      <w:widowControl/>
      <w:jc w:val="center"/>
    </w:pPr>
    <w:rPr>
      <w:rFonts w:ascii="宋体" w:hAnsi="宋体" w:cs="宋体"/>
      <w:kern w:val="0"/>
      <w:szCs w:val="21"/>
    </w:rPr>
  </w:style>
  <w:style w:type="character" w:customStyle="1" w:styleId="81">
    <w:name w:val="我的正文 字符"/>
    <w:link w:val="82"/>
    <w:qFormat/>
    <w:uiPriority w:val="0"/>
    <w:rPr>
      <w:kern w:val="2"/>
      <w:sz w:val="24"/>
      <w:szCs w:val="24"/>
    </w:rPr>
  </w:style>
  <w:style w:type="paragraph" w:customStyle="1" w:styleId="82">
    <w:name w:val="我的正文"/>
    <w:basedOn w:val="1"/>
    <w:link w:val="81"/>
    <w:qFormat/>
    <w:uiPriority w:val="0"/>
    <w:pPr>
      <w:widowControl/>
      <w:overflowPunct w:val="0"/>
      <w:autoSpaceDE w:val="0"/>
      <w:autoSpaceDN w:val="0"/>
      <w:spacing w:line="360" w:lineRule="auto"/>
      <w:ind w:firstLine="200" w:firstLineChars="200"/>
    </w:pPr>
    <w:rPr>
      <w:sz w:val="24"/>
    </w:rPr>
  </w:style>
  <w:style w:type="character" w:customStyle="1" w:styleId="83">
    <w:name w:val="管线标题2 Char"/>
    <w:link w:val="84"/>
    <w:qFormat/>
    <w:uiPriority w:val="0"/>
    <w:rPr>
      <w:b/>
      <w:sz w:val="24"/>
      <w:szCs w:val="24"/>
    </w:rPr>
  </w:style>
  <w:style w:type="paragraph" w:customStyle="1" w:styleId="84">
    <w:name w:val="管线标题2"/>
    <w:basedOn w:val="1"/>
    <w:link w:val="83"/>
    <w:qFormat/>
    <w:uiPriority w:val="0"/>
    <w:pPr>
      <w:widowControl/>
      <w:adjustRightInd w:val="0"/>
      <w:snapToGrid w:val="0"/>
      <w:spacing w:beforeLines="50" w:line="360" w:lineRule="auto"/>
      <w:ind w:firstLine="472" w:firstLineChars="196"/>
      <w:jc w:val="left"/>
    </w:pPr>
    <w:rPr>
      <w:b/>
      <w:kern w:val="0"/>
      <w:sz w:val="24"/>
    </w:rPr>
  </w:style>
  <w:style w:type="character" w:customStyle="1" w:styleId="85">
    <w:name w:val="环评正文 Char"/>
    <w:link w:val="86"/>
    <w:qFormat/>
    <w:locked/>
    <w:uiPriority w:val="0"/>
    <w:rPr>
      <w:rFonts w:ascii="宋体" w:hAnsi="宋体"/>
      <w:sz w:val="24"/>
      <w:szCs w:val="24"/>
    </w:rPr>
  </w:style>
  <w:style w:type="paragraph" w:customStyle="1" w:styleId="86">
    <w:name w:val="环评正文"/>
    <w:basedOn w:val="1"/>
    <w:link w:val="85"/>
    <w:qFormat/>
    <w:uiPriority w:val="0"/>
    <w:pPr>
      <w:spacing w:line="360" w:lineRule="auto"/>
      <w:ind w:firstLine="530" w:firstLineChars="221"/>
    </w:pPr>
    <w:rPr>
      <w:rFonts w:ascii="宋体" w:hAnsi="宋体"/>
      <w:kern w:val="0"/>
      <w:sz w:val="24"/>
    </w:rPr>
  </w:style>
  <w:style w:type="character" w:customStyle="1" w:styleId="87">
    <w:name w:val="font31"/>
    <w:basedOn w:val="38"/>
    <w:qFormat/>
    <w:uiPriority w:val="0"/>
    <w:rPr>
      <w:rFonts w:hint="default" w:ascii="Times New Roman" w:hAnsi="Times New Roman" w:cs="Times New Roman"/>
      <w:color w:val="0000FF"/>
      <w:sz w:val="18"/>
      <w:szCs w:val="18"/>
      <w:u w:val="none"/>
      <w:vertAlign w:val="superscript"/>
    </w:rPr>
  </w:style>
  <w:style w:type="character" w:customStyle="1" w:styleId="88">
    <w:name w:val="font11"/>
    <w:basedOn w:val="38"/>
    <w:qFormat/>
    <w:uiPriority w:val="0"/>
    <w:rPr>
      <w:rFonts w:hint="default" w:ascii="Times New Roman" w:hAnsi="Times New Roman" w:cs="Times New Roman"/>
      <w:color w:val="0000FF"/>
      <w:sz w:val="18"/>
      <w:szCs w:val="18"/>
      <w:u w:val="none"/>
    </w:rPr>
  </w:style>
  <w:style w:type="character" w:customStyle="1" w:styleId="89">
    <w:name w:val="font21"/>
    <w:basedOn w:val="38"/>
    <w:qFormat/>
    <w:uiPriority w:val="0"/>
    <w:rPr>
      <w:rFonts w:hint="eastAsia" w:ascii="宋体" w:hAnsi="宋体" w:eastAsia="宋体" w:cs="宋体"/>
      <w:color w:val="0000FF"/>
      <w:sz w:val="18"/>
      <w:szCs w:val="18"/>
      <w:u w:val="none"/>
    </w:rPr>
  </w:style>
  <w:style w:type="character" w:customStyle="1" w:styleId="90">
    <w:name w:val="font71"/>
    <w:basedOn w:val="38"/>
    <w:qFormat/>
    <w:uiPriority w:val="0"/>
    <w:rPr>
      <w:rFonts w:hint="default" w:ascii="Times New Roman" w:hAnsi="Times New Roman" w:cs="Times New Roman"/>
      <w:color w:val="000000"/>
      <w:sz w:val="21"/>
      <w:szCs w:val="21"/>
      <w:u w:val="none"/>
    </w:rPr>
  </w:style>
  <w:style w:type="character" w:customStyle="1" w:styleId="91">
    <w:name w:val="font51"/>
    <w:basedOn w:val="38"/>
    <w:qFormat/>
    <w:uiPriority w:val="0"/>
    <w:rPr>
      <w:rFonts w:hint="default" w:ascii="Times New Roman" w:hAnsi="Times New Roman" w:cs="Times New Roman"/>
      <w:color w:val="FF0000"/>
      <w:sz w:val="21"/>
      <w:szCs w:val="21"/>
      <w:u w:val="none"/>
    </w:rPr>
  </w:style>
  <w:style w:type="character" w:customStyle="1" w:styleId="92">
    <w:name w:val="font61"/>
    <w:basedOn w:val="38"/>
    <w:qFormat/>
    <w:uiPriority w:val="0"/>
    <w:rPr>
      <w:rFonts w:hint="eastAsia" w:ascii="宋体" w:hAnsi="宋体" w:eastAsia="宋体" w:cs="宋体"/>
      <w:color w:val="FF0000"/>
      <w:sz w:val="21"/>
      <w:szCs w:val="21"/>
      <w:u w:val="none"/>
    </w:rPr>
  </w:style>
  <w:style w:type="paragraph" w:customStyle="1" w:styleId="93">
    <w:name w:val="txtBox Char"/>
    <w:basedOn w:val="1"/>
    <w:qFormat/>
    <w:uiPriority w:val="0"/>
    <w:pPr>
      <w:jc w:val="center"/>
    </w:pPr>
  </w:style>
  <w:style w:type="paragraph" w:customStyle="1" w:styleId="94">
    <w:name w:val="zx正文"/>
    <w:basedOn w:val="1"/>
    <w:qFormat/>
    <w:uiPriority w:val="0"/>
    <w:pPr>
      <w:spacing w:line="360" w:lineRule="auto"/>
      <w:ind w:firstLine="200" w:firstLineChars="200"/>
      <w:jc w:val="left"/>
    </w:pPr>
    <w:rPr>
      <w:kern w:val="0"/>
      <w:sz w:val="24"/>
      <w:szCs w:val="28"/>
    </w:rPr>
  </w:style>
  <w:style w:type="paragraph" w:customStyle="1" w:styleId="95">
    <w:name w:val="0正文"/>
    <w:basedOn w:val="16"/>
    <w:qFormat/>
    <w:uiPriority w:val="0"/>
    <w:pPr>
      <w:spacing w:after="0" w:line="360" w:lineRule="auto"/>
      <w:ind w:left="0" w:leftChars="0" w:firstLine="200" w:firstLineChars="200"/>
    </w:pPr>
    <w:rPr>
      <w:rFonts w:cs="宋体"/>
    </w:rPr>
  </w:style>
  <w:style w:type="paragraph" w:customStyle="1" w:styleId="9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正文_16"/>
    <w:qFormat/>
    <w:uiPriority w:val="0"/>
    <w:pPr>
      <w:widowControl w:val="0"/>
      <w:jc w:val="both"/>
    </w:pPr>
    <w:rPr>
      <w:rFonts w:ascii="等线" w:hAnsi="等线" w:eastAsia="等线" w:cs="Times New Roman"/>
      <w:kern w:val="2"/>
      <w:sz w:val="21"/>
      <w:szCs w:val="22"/>
      <w:lang w:val="en-US" w:eastAsia="zh-CN" w:bidi="ar-SA"/>
    </w:rPr>
  </w:style>
  <w:style w:type="paragraph" w:customStyle="1" w:styleId="98">
    <w:name w:val="中文报告书"/>
    <w:basedOn w:val="1"/>
    <w:qFormat/>
    <w:uiPriority w:val="0"/>
    <w:pPr>
      <w:adjustRightInd w:val="0"/>
      <w:spacing w:after="80" w:line="420" w:lineRule="atLeast"/>
      <w:jc w:val="left"/>
      <w:textAlignment w:val="baseline"/>
    </w:pPr>
    <w:rPr>
      <w:kern w:val="0"/>
      <w:sz w:val="24"/>
      <w:szCs w:val="20"/>
    </w:rPr>
  </w:style>
  <w:style w:type="paragraph" w:customStyle="1" w:styleId="99">
    <w:name w:val="表格头"/>
    <w:basedOn w:val="1"/>
    <w:qFormat/>
    <w:uiPriority w:val="0"/>
    <w:pPr>
      <w:snapToGrid w:val="0"/>
      <w:ind w:left="105" w:leftChars="50" w:right="105" w:rightChars="50"/>
      <w:jc w:val="center"/>
    </w:pPr>
    <w:rPr>
      <w:b/>
      <w:sz w:val="24"/>
    </w:rPr>
  </w:style>
  <w:style w:type="paragraph" w:customStyle="1" w:styleId="100">
    <w:name w:val="样式 宋体 加粗 首行缩进:  0.99 厘米 行距: 1.5 倍行距"/>
    <w:basedOn w:val="1"/>
    <w:qFormat/>
    <w:uiPriority w:val="0"/>
    <w:pPr>
      <w:adjustRightInd w:val="0"/>
      <w:snapToGrid w:val="0"/>
      <w:spacing w:line="360" w:lineRule="auto"/>
      <w:ind w:firstLine="480" w:firstLineChars="200"/>
    </w:pPr>
    <w:rPr>
      <w:rFonts w:ascii="宋体" w:hAnsi="宋体" w:cs="宋体"/>
      <w:b/>
      <w:bCs/>
      <w:sz w:val="24"/>
    </w:rPr>
  </w:style>
  <w:style w:type="paragraph" w:customStyle="1" w:styleId="10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2">
    <w:name w:val="主标题"/>
    <w:basedOn w:val="32"/>
    <w:qFormat/>
    <w:uiPriority w:val="0"/>
    <w:rPr>
      <w:rFonts w:eastAsia="黑体"/>
      <w:sz w:val="30"/>
    </w:rPr>
  </w:style>
  <w:style w:type="paragraph" w:customStyle="1" w:styleId="103">
    <w:name w:val="_Style 98"/>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04">
    <w:name w:val="正文123456"/>
    <w:basedOn w:val="1"/>
    <w:qFormat/>
    <w:uiPriority w:val="0"/>
    <w:pPr>
      <w:spacing w:line="360" w:lineRule="auto"/>
      <w:ind w:firstLine="200" w:firstLineChars="200"/>
    </w:pPr>
    <w:rPr>
      <w:rFonts w:cs="宋体"/>
      <w:sz w:val="24"/>
    </w:rPr>
  </w:style>
  <w:style w:type="paragraph" w:customStyle="1" w:styleId="105">
    <w:name w:val="表格000"/>
    <w:basedOn w:val="1"/>
    <w:next w:val="1"/>
    <w:qFormat/>
    <w:uiPriority w:val="0"/>
    <w:pPr>
      <w:jc w:val="center"/>
    </w:pPr>
    <w:rPr>
      <w:rFonts w:ascii="宋体" w:hAnsi="宋体"/>
      <w:szCs w:val="20"/>
    </w:rPr>
  </w:style>
  <w:style w:type="paragraph" w:customStyle="1" w:styleId="106">
    <w:name w:val="报告正文"/>
    <w:basedOn w:val="1"/>
    <w:qFormat/>
    <w:uiPriority w:val="0"/>
    <w:pPr>
      <w:spacing w:line="360" w:lineRule="auto"/>
      <w:ind w:firstLine="200" w:firstLineChars="200"/>
    </w:pPr>
    <w:rPr>
      <w:rFonts w:ascii="Calibri" w:hAnsi="Calibri"/>
    </w:rPr>
  </w:style>
  <w:style w:type="paragraph" w:customStyle="1" w:styleId="107">
    <w:name w:val="正缩1"/>
    <w:basedOn w:val="1"/>
    <w:qFormat/>
    <w:uiPriority w:val="99"/>
    <w:pPr>
      <w:adjustRightInd w:val="0"/>
      <w:snapToGrid w:val="0"/>
      <w:spacing w:line="500" w:lineRule="exact"/>
      <w:ind w:firstLine="567"/>
    </w:pPr>
    <w:rPr>
      <w:rFonts w:eastAsia="仿宋_GB2312"/>
      <w:color w:val="000000"/>
      <w:sz w:val="28"/>
      <w:szCs w:val="20"/>
    </w:rPr>
  </w:style>
  <w:style w:type="paragraph" w:customStyle="1" w:styleId="108">
    <w:name w:val="Table Paragraph"/>
    <w:basedOn w:val="1"/>
    <w:qFormat/>
    <w:uiPriority w:val="1"/>
    <w:pPr>
      <w:jc w:val="left"/>
    </w:pPr>
    <w:rPr>
      <w:rFonts w:ascii="等线" w:hAnsi="等线" w:eastAsia="等线"/>
      <w:kern w:val="0"/>
      <w:sz w:val="22"/>
      <w:lang w:eastAsia="en-US"/>
    </w:rPr>
  </w:style>
  <w:style w:type="paragraph" w:customStyle="1" w:styleId="109">
    <w:name w:val="Normal Indent1"/>
    <w:basedOn w:val="1"/>
    <w:qFormat/>
    <w:uiPriority w:val="0"/>
    <w:pPr>
      <w:ind w:firstLine="420" w:firstLineChars="200"/>
    </w:pPr>
  </w:style>
  <w:style w:type="paragraph" w:customStyle="1" w:styleId="110">
    <w:name w:val="【正文】"/>
    <w:qFormat/>
    <w:uiPriority w:val="0"/>
    <w:pPr>
      <w:widowControl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11">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12">
    <w:name w:val="样式 标题 1 + 四号 段前: 0 磅 段后: 0 磅 行距: 1.5 倍行距"/>
    <w:basedOn w:val="113"/>
    <w:next w:val="114"/>
    <w:qFormat/>
    <w:uiPriority w:val="0"/>
    <w:pPr>
      <w:spacing w:line="360" w:lineRule="auto"/>
      <w:jc w:val="center"/>
    </w:pPr>
    <w:rPr>
      <w:sz w:val="28"/>
    </w:rPr>
  </w:style>
  <w:style w:type="paragraph" w:customStyle="1" w:styleId="113">
    <w:name w:val="报告表正文"/>
    <w:basedOn w:val="1"/>
    <w:autoRedefine/>
    <w:qFormat/>
    <w:uiPriority w:val="0"/>
    <w:pPr>
      <w:adjustRightInd w:val="0"/>
      <w:spacing w:line="300" w:lineRule="auto"/>
      <w:ind w:left="113" w:right="113" w:firstLine="0" w:firstLineChars="0"/>
      <w:textAlignment w:val="baseline"/>
    </w:pPr>
    <w:rPr>
      <w:rFonts w:ascii="Calibri" w:hAnsi="Calibri" w:cs="Times New Roman"/>
      <w:kern w:val="0"/>
    </w:rPr>
  </w:style>
  <w:style w:type="paragraph" w:customStyle="1" w:styleId="114">
    <w:name w:val="文本正文"/>
    <w:basedOn w:val="1"/>
    <w:qFormat/>
    <w:uiPriority w:val="0"/>
    <w:pPr>
      <w:snapToGrid w:val="0"/>
      <w:spacing w:line="360" w:lineRule="auto"/>
      <w:ind w:firstLine="510"/>
      <w:jc w:val="left"/>
    </w:pPr>
    <w:rPr>
      <w:spacing w:val="4"/>
      <w:kern w:val="24"/>
      <w:lang w:val="zh-CN"/>
    </w:rPr>
  </w:style>
  <w:style w:type="paragraph" w:customStyle="1" w:styleId="115">
    <w:name w:val="表头"/>
    <w:basedOn w:val="9"/>
    <w:qFormat/>
    <w:uiPriority w:val="0"/>
    <w:rPr>
      <w:b/>
      <w:bCs/>
      <w:sz w:val="28"/>
      <w:szCs w:val="28"/>
    </w:rPr>
  </w:style>
  <w:style w:type="paragraph" w:customStyle="1" w:styleId="116">
    <w:name w:val="表格1"/>
    <w:basedOn w:val="76"/>
    <w:qFormat/>
    <w:uiPriority w:val="0"/>
    <w:pPr>
      <w:spacing w:line="240" w:lineRule="auto"/>
    </w:pPr>
    <w:rPr>
      <w:rFonts w:ascii="Calibri Light" w:hAnsi="Calibri Light" w:eastAsia="楷体"/>
    </w:rPr>
  </w:style>
  <w:style w:type="paragraph" w:customStyle="1" w:styleId="117">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标题4"/>
    <w:basedOn w:val="1"/>
    <w:qFormat/>
    <w:uiPriority w:val="0"/>
    <w:pPr>
      <w:outlineLvl w:val="3"/>
    </w:pPr>
    <w:rPr>
      <w:b/>
      <w:sz w:val="24"/>
    </w:rPr>
  </w:style>
  <w:style w:type="character" w:customStyle="1" w:styleId="119">
    <w:name w:val="font91"/>
    <w:basedOn w:val="38"/>
    <w:qFormat/>
    <w:uiPriority w:val="0"/>
    <w:rPr>
      <w:rFonts w:hint="default" w:ascii="Times New Roman" w:hAnsi="Times New Roman" w:cs="Times New Roman"/>
      <w:color w:val="000000"/>
      <w:sz w:val="18"/>
      <w:szCs w:val="18"/>
      <w:u w:val="none"/>
      <w:vertAlign w:val="superscript"/>
    </w:rPr>
  </w:style>
  <w:style w:type="paragraph" w:customStyle="1" w:styleId="120">
    <w:name w:val="无间隔1"/>
    <w:basedOn w:val="1"/>
    <w:qFormat/>
    <w:uiPriority w:val="0"/>
    <w:pPr>
      <w:jc w:val="center"/>
    </w:pPr>
    <w:rPr>
      <w:rFonts w:cs="黑体"/>
      <w:sz w:val="22"/>
      <w:szCs w:val="22"/>
    </w:rPr>
  </w:style>
  <w:style w:type="character" w:customStyle="1" w:styleId="121">
    <w:name w:val="font01"/>
    <w:qFormat/>
    <w:uiPriority w:val="0"/>
    <w:rPr>
      <w:rFonts w:hint="default" w:ascii="Times New Roman" w:hAnsi="Times New Roman" w:cs="Times New Roman"/>
      <w:color w:val="000000"/>
      <w:sz w:val="21"/>
      <w:szCs w:val="21"/>
      <w:u w:val="none"/>
      <w:vertAlign w:val="subscript"/>
    </w:rPr>
  </w:style>
  <w:style w:type="paragraph" w:customStyle="1" w:styleId="122">
    <w:name w:val="p0"/>
    <w:basedOn w:val="1"/>
    <w:qFormat/>
    <w:uiPriority w:val="99"/>
    <w:pPr>
      <w:widowControl/>
    </w:pPr>
    <w:rPr>
      <w:rFonts w:ascii="Calibri" w:hAnsi="Calibri"/>
      <w:kern w:val="0"/>
      <w:szCs w:val="21"/>
    </w:rPr>
  </w:style>
  <w:style w:type="paragraph" w:customStyle="1" w:styleId="123">
    <w:name w:val="正文文本缩进 21"/>
    <w:basedOn w:val="1"/>
    <w:qFormat/>
    <w:uiPriority w:val="0"/>
    <w:pPr>
      <w:adjustRightInd w:val="0"/>
      <w:spacing w:line="460" w:lineRule="exact"/>
      <w:ind w:firstLine="480"/>
      <w:textAlignment w:val="baseline"/>
    </w:pPr>
    <w:rPr>
      <w:sz w:val="24"/>
      <w:szCs w:val="20"/>
    </w:rPr>
  </w:style>
  <w:style w:type="paragraph" w:customStyle="1" w:styleId="124">
    <w:name w:val="表格文字"/>
    <w:basedOn w:val="125"/>
    <w:qFormat/>
    <w:uiPriority w:val="0"/>
    <w:pPr>
      <w:spacing w:after="0" w:line="240" w:lineRule="auto"/>
    </w:pPr>
    <w:rPr>
      <w:rFonts w:ascii="宋体" w:hAnsi="宋体" w:eastAsia="宋体"/>
      <w:color w:val="0000FF"/>
    </w:rPr>
  </w:style>
  <w:style w:type="paragraph" w:customStyle="1" w:styleId="125">
    <w:name w:val="样式1"/>
    <w:basedOn w:val="30"/>
    <w:qFormat/>
    <w:uiPriority w:val="0"/>
    <w:pPr>
      <w:spacing w:after="40" w:line="300" w:lineRule="atLeast"/>
      <w:ind w:firstLine="600" w:firstLineChars="200"/>
      <w:jc w:val="center"/>
      <w:outlineLvl w:val="2"/>
    </w:pPr>
    <w:rPr>
      <w:rFonts w:eastAsia="楷体_GB2312"/>
      <w:sz w:val="24"/>
      <w:szCs w:val="20"/>
    </w:rPr>
  </w:style>
  <w:style w:type="paragraph" w:customStyle="1" w:styleId="126">
    <w:name w:val="魏秀珍   正文"/>
    <w:basedOn w:val="4"/>
    <w:qFormat/>
    <w:uiPriority w:val="0"/>
    <w:pPr>
      <w:snapToGrid w:val="0"/>
      <w:spacing w:line="360" w:lineRule="auto"/>
      <w:ind w:firstLine="200"/>
      <w:jc w:val="left"/>
    </w:pPr>
    <w:rPr>
      <w:kern w:val="0"/>
      <w:sz w:val="20"/>
      <w:lang w:val="en-GB"/>
    </w:rPr>
  </w:style>
  <w:style w:type="paragraph" w:styleId="127">
    <w:name w:val="No Spacing"/>
    <w:qFormat/>
    <w:uiPriority w:val="1"/>
    <w:pPr>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128">
    <w:name w:val="正文文字"/>
    <w:basedOn w:val="1"/>
    <w:qFormat/>
    <w:uiPriority w:val="0"/>
    <w:pPr>
      <w:widowControl/>
      <w:spacing w:line="360" w:lineRule="auto"/>
      <w:ind w:firstLine="480" w:firstLineChars="200"/>
      <w:jc w:val="left"/>
    </w:pPr>
    <w:rPr>
      <w:bCs/>
      <w:color w:val="FF0000"/>
      <w:kern w:val="0"/>
      <w:sz w:val="24"/>
    </w:rPr>
  </w:style>
  <w:style w:type="paragraph" w:customStyle="1" w:styleId="129">
    <w:name w:val="表格内容"/>
    <w:basedOn w:val="1"/>
    <w:qFormat/>
    <w:uiPriority w:val="0"/>
    <w:pPr>
      <w:adjustRightInd w:val="0"/>
      <w:snapToGrid w:val="0"/>
      <w:jc w:val="center"/>
    </w:pPr>
    <w:rPr>
      <w:kern w:val="0"/>
    </w:rPr>
  </w:style>
  <w:style w:type="paragraph" w:customStyle="1" w:styleId="130">
    <w:name w:val="表格文字LTT"/>
    <w:basedOn w:val="1"/>
    <w:next w:val="1"/>
    <w:qFormat/>
    <w:uiPriority w:val="0"/>
    <w:pPr>
      <w:spacing w:before="40" w:after="40"/>
      <w:jc w:val="center"/>
    </w:pPr>
  </w:style>
  <w:style w:type="paragraph" w:customStyle="1" w:styleId="131">
    <w:name w:val="zxj正文z"/>
    <w:basedOn w:val="1"/>
    <w:autoRedefine/>
    <w:qFormat/>
    <w:uiPriority w:val="0"/>
    <w:pPr>
      <w:keepNext w:val="0"/>
      <w:wordWrap/>
      <w:spacing w:line="360" w:lineRule="auto"/>
      <w:ind w:firstLine="420" w:firstLineChars="200"/>
      <w:textAlignment w:val="top"/>
    </w:pPr>
    <w:rPr>
      <w:rFonts w:ascii="Times New Roman" w:hAnsi="Times New Roman" w:eastAsia="宋体"/>
      <w:sz w:val="24"/>
    </w:rPr>
  </w:style>
  <w:style w:type="table" w:customStyle="1" w:styleId="132">
    <w:name w:val="Table Normal"/>
    <w:autoRedefine/>
    <w:unhideWhenUsed/>
    <w:qFormat/>
    <w:uiPriority w:val="0"/>
    <w:rPr>
      <w:lang w:val="en-US" w:eastAsia="zh-CN" w:bidi="ar-SA"/>
    </w:rPr>
    <w:tblPr>
      <w:tblCellMar>
        <w:top w:w="0" w:type="dxa"/>
        <w:left w:w="0" w:type="dxa"/>
        <w:bottom w:w="0" w:type="dxa"/>
        <w:right w:w="0" w:type="dxa"/>
      </w:tblCellMar>
    </w:tblPr>
  </w:style>
  <w:style w:type="character" w:customStyle="1" w:styleId="133">
    <w:name w:val="font101"/>
    <w:basedOn w:val="38"/>
    <w:qFormat/>
    <w:uiPriority w:val="0"/>
    <w:rPr>
      <w:rFonts w:hint="default" w:ascii="Times New Roman" w:hAnsi="Times New Roman" w:cs="Times New Roman"/>
      <w:color w:val="000000"/>
      <w:sz w:val="21"/>
      <w:szCs w:val="21"/>
      <w:u w:val="none"/>
    </w:rPr>
  </w:style>
  <w:style w:type="paragraph" w:customStyle="1" w:styleId="134">
    <w:name w:val="表格字体"/>
    <w:basedOn w:val="1"/>
    <w:qFormat/>
    <w:uiPriority w:val="0"/>
    <w:pPr>
      <w:jc w:val="center"/>
    </w:pPr>
  </w:style>
  <w:style w:type="paragraph" w:customStyle="1" w:styleId="135">
    <w:name w:val="样式 小四 行距: 固定值 24 磅 首行缩进:  1.5 字符"/>
    <w:basedOn w:val="1"/>
    <w:qFormat/>
    <w:uiPriority w:val="0"/>
    <w:pPr>
      <w:adjustRightInd w:val="0"/>
      <w:snapToGrid w:val="0"/>
      <w:spacing w:line="360" w:lineRule="auto"/>
      <w:ind w:firstLine="200" w:firstLineChars="200"/>
    </w:pPr>
    <w:rPr>
      <w:rFonts w:ascii="Times New Roman" w:hAnsi="Times New Roman" w:eastAsia="宋体"/>
      <w:kern w:val="0"/>
      <w:sz w:val="24"/>
    </w:rPr>
  </w:style>
  <w:style w:type="paragraph" w:customStyle="1" w:styleId="136">
    <w:name w:val="图表标题"/>
    <w:basedOn w:val="28"/>
    <w:next w:val="76"/>
    <w:qFormat/>
    <w:uiPriority w:val="0"/>
    <w:pPr>
      <w:spacing w:before="0" w:beforeLines="0" w:after="0" w:afterLines="0" w:line="240" w:lineRule="auto"/>
      <w:ind w:left="0" w:leftChars="0" w:firstLine="0" w:firstLineChars="0"/>
      <w:jc w:val="center"/>
      <w:outlineLvl w:val="4"/>
    </w:pPr>
    <w:rPr>
      <w:rFonts w:ascii="Times New Roman" w:hAnsi="Times New Roman" w:eastAsia="宋体"/>
      <w:bCs/>
      <w:snapToGrid w:val="0"/>
      <w:sz w:val="21"/>
    </w:rPr>
  </w:style>
  <w:style w:type="paragraph" w:customStyle="1" w:styleId="137">
    <w:name w:val="1表头"/>
    <w:basedOn w:val="1"/>
    <w:qFormat/>
    <w:uiPriority w:val="0"/>
    <w:pPr>
      <w:adjustRightInd w:val="0"/>
      <w:snapToGrid w:val="0"/>
      <w:spacing w:line="240" w:lineRule="auto"/>
      <w:jc w:val="center"/>
    </w:pPr>
    <w:rPr>
      <w:rFonts w:ascii="Times New Roman" w:hAnsi="Times New Roman" w:eastAsia="宋体"/>
      <w:b/>
      <w:kern w:val="2"/>
      <w:sz w:val="21"/>
      <w:szCs w:val="24"/>
    </w:rPr>
  </w:style>
  <w:style w:type="paragraph" w:customStyle="1" w:styleId="138">
    <w:name w:val="S报告正文"/>
    <w:basedOn w:val="1"/>
    <w:qFormat/>
    <w:uiPriority w:val="0"/>
    <w:pPr>
      <w:adjustRightInd w:val="0"/>
      <w:snapToGrid w:val="0"/>
      <w:spacing w:line="480" w:lineRule="exact"/>
      <w:ind w:firstLine="510"/>
      <w:jc w:val="left"/>
    </w:pPr>
    <w:rPr>
      <w:sz w:val="24"/>
    </w:rPr>
  </w:style>
  <w:style w:type="paragraph" w:customStyle="1" w:styleId="139">
    <w:name w:val="S表格文字"/>
    <w:basedOn w:val="34"/>
    <w:qFormat/>
    <w:uiPriority w:val="0"/>
    <w:pPr>
      <w:adjustRightInd w:val="0"/>
      <w:snapToGrid w:val="0"/>
      <w:spacing w:before="20" w:after="20"/>
      <w:ind w:firstLine="0" w:firstLineChars="0"/>
      <w:jc w:val="center"/>
    </w:pPr>
    <w:rPr>
      <w:szCs w:val="20"/>
    </w:rPr>
  </w:style>
  <w:style w:type="paragraph" w:customStyle="1" w:styleId="140">
    <w:name w:val="正文11"/>
    <w:qFormat/>
    <w:uiPriority w:val="0"/>
    <w:pPr>
      <w:widowControl w:val="0"/>
      <w:spacing w:after="160" w:line="560" w:lineRule="exact"/>
      <w:ind w:firstLine="200" w:firstLineChars="200"/>
      <w:jc w:val="both"/>
    </w:pPr>
    <w:rPr>
      <w:rFonts w:ascii="Times New Roman" w:hAnsi="Times New Roman" w:eastAsia="宋体" w:cs="Times New Roman"/>
      <w:color w:val="000000"/>
      <w:kern w:val="2"/>
      <w:sz w:val="24"/>
      <w:lang w:val="en-US" w:eastAsia="zh-CN" w:bidi="ar-SA"/>
    </w:rPr>
  </w:style>
  <w:style w:type="paragraph" w:customStyle="1" w:styleId="141">
    <w:name w:val="表文字"/>
    <w:basedOn w:val="1"/>
    <w:qFormat/>
    <w:uiPriority w:val="0"/>
    <w:pPr>
      <w:overflowPunct w:val="0"/>
      <w:autoSpaceDE w:val="0"/>
      <w:autoSpaceDN w:val="0"/>
      <w:adjustRightInd w:val="0"/>
      <w:spacing w:line="240" w:lineRule="atLeast"/>
      <w:jc w:val="center"/>
      <w:textAlignment w:val="baseline"/>
    </w:pPr>
    <w:rPr>
      <w:rFonts w:ascii="Times New Roman" w:hAnsi="Times New Roman" w:eastAsia="仿宋_GB2312"/>
      <w:kern w:val="0"/>
      <w:sz w:val="24"/>
      <w:szCs w:val="24"/>
    </w:rPr>
  </w:style>
  <w:style w:type="paragraph" w:customStyle="1" w:styleId="142">
    <w:name w:val="样式 样式 样式 四号 左侧:  1.53 厘米 + 首行缩进:  2 字符 + 居中 左侧:  2 字符 首行缩进:  2..."/>
    <w:basedOn w:val="143"/>
    <w:next w:val="1"/>
    <w:qFormat/>
    <w:uiPriority w:val="0"/>
    <w:pPr>
      <w:ind w:firstLine="0" w:firstLineChars="0"/>
      <w:jc w:val="center"/>
    </w:pPr>
  </w:style>
  <w:style w:type="paragraph" w:customStyle="1" w:styleId="143">
    <w:name w:val="样式 样式 四号 左侧:  1.53 厘米 + 首行缩进:  2 字符"/>
    <w:basedOn w:val="144"/>
    <w:qFormat/>
    <w:uiPriority w:val="0"/>
    <w:pPr>
      <w:ind w:left="200" w:leftChars="200"/>
    </w:pPr>
    <w:rPr>
      <w:szCs w:val="20"/>
    </w:rPr>
  </w:style>
  <w:style w:type="paragraph" w:customStyle="1" w:styleId="144">
    <w:name w:val="样式 四号 左侧:  1.53 厘米"/>
    <w:basedOn w:val="1"/>
    <w:qFormat/>
    <w:uiPriority w:val="0"/>
    <w:pPr>
      <w:adjustRightInd w:val="0"/>
    </w:pPr>
    <w:rPr>
      <w:w w:val="90"/>
      <w:sz w:val="28"/>
      <w:szCs w:val="28"/>
    </w:rPr>
  </w:style>
  <w:style w:type="paragraph" w:customStyle="1" w:styleId="145">
    <w:name w:val="样式 样式 小四 段前: 7.8 磅 段后: 7.8 磅 行距: 1.5 倍行距 + 首行缩进:  2 字符"/>
    <w:basedOn w:val="1"/>
    <w:qFormat/>
    <w:uiPriority w:val="0"/>
    <w:pPr>
      <w:spacing w:line="360" w:lineRule="auto"/>
      <w:ind w:firstLine="480" w:firstLineChars="200"/>
    </w:pPr>
    <w:rPr>
      <w:kern w:val="28"/>
      <w:sz w:val="24"/>
      <w:szCs w:val="24"/>
    </w:rPr>
  </w:style>
  <w:style w:type="paragraph" w:customStyle="1" w:styleId="146">
    <w:name w:val="表头00000"/>
    <w:basedOn w:val="1"/>
    <w:qFormat/>
    <w:uiPriority w:val="0"/>
    <w:pPr>
      <w:keepNext/>
      <w:keepLines/>
      <w:spacing w:beforeLines="0" w:afterLines="0" w:line="240" w:lineRule="auto"/>
      <w:ind w:firstLine="0" w:firstLineChars="0"/>
      <w:jc w:val="left"/>
    </w:pPr>
    <w:rPr>
      <w:rFonts w:cs="Times New Roman"/>
      <w:color w:val="000000"/>
      <w:kern w:val="28"/>
      <w:lang w:eastAsia="zh-CN"/>
    </w:rPr>
  </w:style>
  <w:style w:type="paragraph" w:customStyle="1" w:styleId="147">
    <w:name w:val="图片编号111"/>
    <w:basedOn w:val="1"/>
    <w:qFormat/>
    <w:uiPriority w:val="0"/>
    <w:pPr>
      <w:spacing w:line="360" w:lineRule="auto"/>
      <w:ind w:firstLine="0" w:firstLineChars="0"/>
      <w:jc w:val="center"/>
    </w:pPr>
    <w:rPr>
      <w:rFonts w:ascii="Times New Roman" w:hAnsi="Times New Roman" w:cs="Times New Roman"/>
      <w:color w:val="0000FF"/>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5.png"/><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3.bin"/><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2.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7fec5a53-75cf-4a2c-a666-b6c84576d1d0</errorID>
      <errorWord>(</errorWord>
      <group>L1_Format</group>
      <groupName>格式问题</groupName>
      <ability>L2_HalfPunc</ability>
      <abilityName>全半角检查</abilityName>
      <candidateList>
        <item>（</item>
      </candidateList>
      <explain>文本全半角错误。</explain>
      <paraID>4B6CF6CD</paraID>
      <start>18</start>
      <end>19</end>
      <status>modified</status>
      <modifiedWord>（</modifiedWord>
      <trackRevisions>false</trackRevisions>
    </reviewItem>
    <reviewItem>
      <errorID>8c4c8b8b-2e82-4b3e-8572-0d99123459b2</errorID>
      <errorWord>)</errorWord>
      <group>L1_Format</group>
      <groupName>格式问题</groupName>
      <ability>L2_HalfPunc</ability>
      <abilityName>全半角检查</abilityName>
      <candidateList>
        <item>）</item>
      </candidateList>
      <explain>文本全半角错误。</explain>
      <paraID>4B6CF6CD</paraID>
      <start>21</start>
      <end>22</end>
      <status>modified</status>
      <modifiedWord>）</modifiedWord>
      <trackRevisions>false</trackRevisions>
    </reviewItem>
    <reviewItem>
      <errorID>3699ac0d-4f93-4f77-b36e-2c2a5f47c26f</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28B5532A</paraID>
      <start>14</start>
      <end>17</end>
      <status>ignored</status>
      <modifiedWord/>
      <trackRevisions>false</trackRevisions>
    </reviewItem>
    <reviewItem>
      <errorID>8ef3b85e-41e2-4c74-b60c-8717f6ba7fb1</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4B147471</paraID>
      <start>0</start>
      <end>3</end>
      <status>ignored</status>
      <modifiedWord/>
      <trackRevisions>false</trackRevisions>
    </reviewItem>
    <reviewItem>
      <errorID>19e62bcf-6fdf-423a-bcb3-ef685587dab0</errorID>
      <errorWord>《建设项目环境影响报告表编制技术指南  污染影响类》（试行）</errorWord>
      <group>L1_Knowledge</group>
      <groupName>知识性问题</groupName>
      <ability>L2_Knowledge</ability>
      <abilityName>其他知识</abilityName>
      <candidateList>
        <item>《建设项目环境影响报告表编制技术指南  污染影响类（试行）》</item>
      </candidateList>
      <explain>疑似政策文件、法律法规名称等书写不规范，请注意检查。</explain>
      <paraID>62B65A7F</paraID>
      <start>2</start>
      <end>32</end>
      <status>modified</status>
      <modifiedWord>《建设项目环境影响报告表编制技术指南  污染影响类（试行）》</modifiedWord>
      <trackRevisions>false</trackRevisions>
    </reviewItem>
    <reviewItem>
      <errorID>a68b470b-3dfa-44ca-91b5-37ae6918171e</errorID>
      <errorWord>《建设项目环境影响报告表编制技术指南  污染影响类》（试行）</errorWord>
      <group>L1_Knowledge</group>
      <groupName>知识性问题</groupName>
      <ability>L2_Knowledge</ability>
      <abilityName>其他知识</abilityName>
      <candidateList>
        <item>《建设项目环境影响报告表编制技术指南  污染影响类（试行）》</item>
      </candidateList>
      <explain>疑似政策文件、法律法规名称等书写不规范，请注意检查。</explain>
      <paraID>62B65A7F</paraID>
      <start>91</start>
      <end>121</end>
      <status>modified</status>
      <modifiedWord>《建设项目环境影响报告表编制技术指南  污染影响类（试行）》</modifiedWord>
      <trackRevisions>false</trackRevisions>
    </reviewItem>
    <reviewItem>
      <errorID>7e02902a-51ad-4699-b495-fc5d691b60dd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6BF9CA35</paraID>
      <start>0</start>
      <end>2</end>
      <status>ignored</status>
      <modifiedWord/>
      <trackRevisions>false</trackRevisions>
    </reviewItem>
    <reviewItem>
      <errorID>85b2f31a-5ab5-4e1b-b5b7-09c366e3590d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68CF50E8</paraID>
      <start>0</start>
      <end>2</end>
      <status>ignored</status>
      <modifiedWord/>
      <trackRevisions>false</trackRevisions>
    </reviewItem>
    <reviewItem>
      <errorID>f3476bd7-51e1-4afd-91c1-35f5c1084352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745FC5A5</paraID>
      <start>0</start>
      <end>2</end>
      <status>ignored</status>
      <modifiedWord/>
      <trackRevisions>false</trackRevisions>
    </reviewItem>
    <reviewItem>
      <errorID>43e2b2da-854d-4a29-aad9-a42177d3559d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2EA1BECE</paraID>
      <start>0</start>
      <end>2</end>
      <status>ignored</status>
      <modifiedWord/>
      <trackRevisions>false</trackRevisions>
    </reviewItem>
    <reviewItem>
      <errorID>127124cf-98f6-4288-860e-cea0889f455e</errorID>
      <errorWord>法律、法规</errorWord>
      <group>L1_Word</group>
      <groupName>字词问题</groupName>
      <ability>L2_Typo</ability>
      <abilityName>字词错误</abilityName>
      <candidateList>
        <item>法律法规</item>
      </candidateList>
      <explain/>
      <paraID>1B9439A4</paraID>
      <start>102</start>
      <end>106</end>
      <status>modified</status>
      <modifiedWord>法律法规</modifiedWord>
      <trackRevisions>false</trackRevisions>
    </reviewItem>
    <reviewItem>
      <errorID>13f9182c-1868-4a19-83eb-052a321b2b68</errorID>
      <errorWord>2026年01月12日</errorWord>
      <group>L1_Knowledge</group>
      <groupName>知识性问题</groupName>
      <ability>L2_Time</ability>
      <abilityName>日期时间</abilityName>
      <candidateList>
        <item>2026年1月12日</item>
      </candidateList>
      <explain>根据日常书写习惯，月份一般会省略前导零。</explain>
      <paraID>48E126A9</paraID>
      <start>3</start>
      <end>13</end>
      <status>modified</status>
      <modifiedWord>2026年1月12日</modifiedWord>
      <trackRevisions>false</trackRevisions>
    </reviewItem>
    <reviewItem>
      <errorID>95059bec-d67a-465f-968f-f3a0fda9eb65</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48E126A9</paraID>
      <start>16</start>
      <end>19</end>
      <status>ignored</status>
      <modifiedWord/>
      <trackRevisions>false</trackRevisions>
    </reviewItem>
    <reviewItem>
      <errorID>3bc8fa41-7a95-4995-a3bd-aeaaf79ef719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3CAEADEB</paraID>
      <start>0</start>
      <end>2</end>
      <status>ignored</status>
      <modifiedWord/>
      <trackRevisions>false</trackRevisions>
    </reviewItem>
    <reviewItem>
      <errorID>d943fa40-8a89-4e5b-af7f-94cfc40733aa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3CAEADEB</paraID>
      <start>20</start>
      <end>21</end>
      <status>ignored</status>
      <modifiedWord/>
      <trackRevisions>false</trackRevisions>
    </reviewItem>
    <reviewItem>
      <errorID>efba3b63-80ab-4474-82eb-7876d9f357c5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3D4AEB0C</paraID>
      <start>17</start>
      <end>18</end>
      <status>ignored</status>
      <modifiedWord/>
      <trackRevisions>false</trackRevisions>
    </reviewItem>
    <reviewItem>
      <errorID>37256e36-2da2-4f1e-ad13-b7b0ef83522b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3D4AEB0C</paraID>
      <start>85</start>
      <end>86</end>
      <status>ignored</status>
      <modifiedWord/>
      <trackRevisions>false</trackRevisions>
    </reviewItem>
    <reviewItem>
      <errorID>e83d9995-913e-4799-8e26-33fb44aeded8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3D4AEB0C</paraID>
      <start>227</start>
      <end>228</end>
      <status>ignored</status>
      <modifiedWord/>
      <trackRevisions>false</trackRevisions>
    </reviewItem>
    <reviewItem>
      <errorID>dbce1d3b-3a30-42e7-9dbe-8aea12cb6a5e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53AE4F9</paraID>
      <start>17</start>
      <end>18</end>
      <status>ignored</status>
      <modifiedWord/>
      <trackRevisions>false</trackRevisions>
    </reviewItem>
    <reviewItem>
      <errorID>b8be0955-678a-4e42-9fd1-e11829dbfdb7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B634559</paraID>
      <start>157</start>
      <end>164</end>
      <status>ignored</status>
      <modifiedWord/>
      <trackRevisions>false</trackRevisions>
    </reviewItem>
    <reviewItem>
      <errorID>1772a954-fc6e-4a35-bf0e-b7fe6bbebfd4</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6694D44F</paraID>
      <start>6</start>
      <end>10</end>
      <status>ignored</status>
      <modifiedWord/>
      <trackRevisions>false</trackRevisions>
    </reviewItem>
    <reviewItem>
      <errorID>089ea826-a32f-4fcb-ac81-beaca72912cf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4E75F3B1</paraID>
      <start>32</start>
      <end>33</end>
      <status>ignored</status>
      <modifiedWord/>
      <trackRevisions>false</trackRevisions>
    </reviewItem>
    <reviewItem>
      <errorID>b6816c7d-82b1-4cb3-9c3c-ec0034846adf</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4E75F3B1</paraID>
      <start>102</start>
      <end>112</end>
      <status>ignored</status>
      <modifiedWord/>
      <trackRevisions>false</trackRevisions>
    </reviewItem>
    <reviewItem>
      <errorID>368d8c7d-141d-4b11-a802-38cbe8a4703c</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28C34D9D</paraID>
      <start>33</start>
      <end>40</end>
      <status>ignored</status>
      <modifiedWord/>
      <trackRevisions>false</trackRevisions>
    </reviewItem>
    <reviewItem>
      <errorID>0b17ab08-d67e-4d13-9220-7c52117a7b9f</errorID>
      <errorWord>(</errorWord>
      <group>L1_Format</group>
      <groupName>格式问题</groupName>
      <ability>L2_HalfPunc</ability>
      <abilityName>全半角检查</abilityName>
      <candidateList>
        <item>（</item>
      </candidateList>
      <explain>文本全半角错误。</explain>
      <paraID>28C34D9D</paraID>
      <start>224</start>
      <end>225</end>
      <status>modified</status>
      <modifiedWord>（</modifiedWord>
      <trackRevisions>false</trackRevisions>
    </reviewItem>
    <reviewItem>
      <errorID>0df0f947-335b-459a-9f41-6c7df01fbf70</errorID>
      <errorWord>)</errorWord>
      <group>L1_Format</group>
      <groupName>格式问题</groupName>
      <ability>L2_HalfPunc</ability>
      <abilityName>全半角检查</abilityName>
      <candidateList>
        <item>）</item>
      </candidateList>
      <explain>文本全半角错误。</explain>
      <paraID>28C34D9D</paraID>
      <start>227</start>
      <end>228</end>
      <status>modified</status>
      <modifiedWord>）</modifiedWord>
      <trackRevisions>false</trackRevisions>
    </reviewItem>
    <reviewItem>
      <errorID>b5fd1d36-c9d1-4da9-ba18-b395ce581f52</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7FC2BEA4</paraID>
      <start>12</start>
      <end>15</end>
      <status>ignored</status>
      <modifiedWord/>
      <trackRevisions>false</trackRevisions>
    </reviewItem>
    <reviewItem>
      <errorID>d8d0f2a3-257e-4118-8535-3c99101ba476</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7FC2BEA4</paraID>
      <start>32</start>
      <end>35</end>
      <status>ignored</status>
      <modifiedWord/>
      <trackRevisions>false</trackRevisions>
    </reviewItem>
    <reviewItem>
      <errorID>d0f0e9c3-3b06-4b88-8c34-f978aa54c494</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7FC2BEA4</paraID>
      <start>83</start>
      <end>86</end>
      <status>ignored</status>
      <modifiedWord/>
      <trackRevisions>false</trackRevisions>
    </reviewItem>
    <reviewItem>
      <errorID>9d3563bb-b435-4ff5-9b3b-471afda8f7bb</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7FC2BEA4</paraID>
      <start>156</start>
      <end>159</end>
      <status>ignored</status>
      <modifiedWord/>
      <trackRevisions>false</trackRevisions>
    </reviewItem>
    <reviewItem>
      <errorID>29916df3-f431-45b3-ac92-c1944eac7182</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56BBDB60</paraID>
      <start>8</start>
      <end>11</end>
      <status>ignored</status>
      <modifiedWord/>
      <trackRevisions>false</trackRevisions>
    </reviewItem>
    <reviewItem>
      <errorID>4bf12660-681f-47b5-bdad-837e8c7599db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56BBDB60</paraID>
      <start>57</start>
      <end>58</end>
      <status>ignored</status>
      <modifiedWord/>
      <trackRevisions>false</trackRevisions>
    </reviewItem>
    <reviewItem>
      <errorID>1290e8b7-888a-475c-b2b8-ba33eac9ea9f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24BBD865</paraID>
      <start>18</start>
      <end>19</end>
      <status>ignored</status>
      <modifiedWord/>
      <trackRevisions>false</trackRevisions>
    </reviewItem>
    <reviewItem>
      <errorID>f383c618-1097-4256-8589-cc9fdea4c168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1584863A</paraID>
      <start>17</start>
      <end>18</end>
      <status>ignored</status>
      <modifiedWord/>
      <trackRevisions>false</trackRevisions>
    </reviewItem>
    <reviewItem>
      <errorID>96e858eb-a4b0-4303-bfe8-2e1bd55a4bda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1584863A</paraID>
      <start>35</start>
      <end>36</end>
      <status>ignored</status>
      <modifiedWord/>
      <trackRevisions>false</trackRevisions>
    </reviewItem>
    <reviewItem>
      <errorID>9869b7f2-7db1-47f7-b22c-d863b5b8bb6f</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1584863A</paraID>
      <start>82</start>
      <end>85</end>
      <status>ignored</status>
      <modifiedWord/>
      <trackRevisions>false</trackRevisions>
    </reviewItem>
    <reviewItem>
      <errorID>a5cb05dd-2fde-45e6-9598-8518f70f65f8</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308B15FF</paraID>
      <start>12</start>
      <end>15</end>
      <status>ignored</status>
      <modifiedWord/>
      <trackRevisions>false</trackRevisions>
    </reviewItem>
    <reviewItem>
      <errorID>fe7f6261-f9c1-4d61-b00c-f8912dbb9bb6</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308B15FF</paraID>
      <start>32</start>
      <end>35</end>
      <status>ignored</status>
      <modifiedWord/>
      <trackRevisions>false</trackRevisions>
    </reviewItem>
    <reviewItem>
      <errorID>ec487fad-1490-465a-a6c1-6e0da1ef3435</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308B15FF</paraID>
      <start>83</start>
      <end>86</end>
      <status>ignored</status>
      <modifiedWord/>
      <trackRevisions>false</trackRevisions>
    </reviewItem>
    <reviewItem>
      <errorID>e5e27854-2afd-441d-99ee-9459c7442f5b</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308B15FF</paraID>
      <start>156</start>
      <end>159</end>
      <status>ignored</status>
      <modifiedWord/>
      <trackRevisions>false</trackRevisions>
    </reviewItem>
    <reviewItem>
      <errorID>5f583b52-c291-4889-acf5-a96e3a89048d</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5757B123</paraID>
      <start>8</start>
      <end>11</end>
      <status>ignored</status>
      <modifiedWord/>
      <trackRevisions>false</trackRevisions>
    </reviewItem>
    <reviewItem>
      <errorID>4a9b8818-b222-4ab8-b794-29d150d54b31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5757B123</paraID>
      <start>57</start>
      <end>58</end>
      <status>ignored</status>
      <modifiedWord/>
      <trackRevisions>false</trackRevisions>
    </reviewItem>
    <reviewItem>
      <errorID>37265f42-427f-4a78-87e4-43688c8a630c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6E6F7C19</paraID>
      <start>0</start>
      <end>2</end>
      <status>ignored</status>
      <modifiedWord/>
      <trackRevisions>false</trackRevisions>
    </reviewItem>
    <reviewItem>
      <errorID>42147a1f-7a3b-4503-8d2c-c05c5a20ceab</errorID>
      <errorWord>III</errorWord>
      <group>L1_Word</group>
      <groupName>字词问题</groupName>
      <ability>L2_Typo</ability>
      <abilityName>字词错误</abilityName>
      <candidateList>
        <item>Ⅲ</item>
      </candidateList>
      <explain/>
      <paraID>45F8BF4C</paraID>
      <start>23</start>
      <end>26</end>
      <status>ignored</status>
      <modifiedWord/>
      <trackRevisions>false</trackRevisions>
    </reviewItem>
    <reviewItem>
      <errorID>4fe51c94-f2fd-45ba-8ee4-ade33883ac2e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45F8BF4C</paraID>
      <start>111</start>
      <end>112</end>
      <status>ignored</status>
      <modifiedWord/>
      <trackRevisions>false</trackRevisions>
    </reviewItem>
    <reviewItem>
      <errorID>03c0534f-7d9f-4149-a371-1b3ad71e9b7a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20B8BF8F</paraID>
      <start>0</start>
      <end>2</end>
      <status>ignored</status>
      <modifiedWord/>
      <trackRevisions>false</trackRevisions>
    </reviewItem>
    <reviewItem>
      <errorID>d018efd3-dc92-488d-9121-cf52e9d47b1f</errorID>
      <errorWord>上线</errorWord>
      <group>L1_Word</group>
      <groupName>字词问题</groupName>
      <ability>L2_Typo</ability>
      <abilityName>字词错误</abilityName>
      <candidateList>
        <item>上限</item>
      </candidateList>
      <explain/>
      <paraID>54E07C1E</paraID>
      <start>7</start>
      <end>9</end>
      <status>ignored</status>
      <modifiedWord/>
      <trackRevisions>false</trackRevisions>
    </reviewItem>
    <reviewItem>
      <errorID>a3685330-a3e5-43a7-abef-26c2108e7791</errorID>
      <errorWord>上线</errorWord>
      <group>L1_Word</group>
      <groupName>字词问题</groupName>
      <ability>L2_Typo</ability>
      <abilityName>字词错误</abilityName>
      <candidateList>
        <item>上限</item>
      </candidateList>
      <explain/>
      <paraID> 20B0DA7</paraID>
      <start>74</start>
      <end>76</end>
      <status>ignored</status>
      <modifiedWord/>
      <trackRevisions>false</trackRevisions>
    </reviewItem>
    <reviewItem>
      <errorID>8c557082-3985-431e-be6f-df59020df535</errorID>
      <errorWord>上线</errorWord>
      <group>L1_Word</group>
      <groupName>字词问题</groupName>
      <ability>L2_Typo</ability>
      <abilityName>字词错误</abilityName>
      <candidateList>
        <item>上限</item>
      </candidateList>
      <explain/>
      <paraID> 8B47818</paraID>
      <start>136</start>
      <end>138</end>
      <status>ignored</status>
      <modifiedWord/>
      <trackRevisions>false</trackRevisions>
    </reviewItem>
    <reviewItem>
      <errorID>bf6bca45-0a35-4be7-a015-ed8461d175ba</errorID>
      <errorWord>上线</errorWord>
      <group>L1_Word</group>
      <groupName>字词问题</groupName>
      <ability>L2_Typo</ability>
      <abilityName>字词错误</abilityName>
      <candidateList>
        <item>上限</item>
      </candidateList>
      <explain/>
      <paraID> E6FD4C3</paraID>
      <start>5</start>
      <end>7</end>
      <status>ignored</status>
      <modifiedWord/>
      <trackRevisions>false</trackRevisions>
    </reviewItem>
    <reviewItem>
      <errorID>2b869756-0958-41db-97fa-1cd84cbaae2c</errorID>
      <errorWord>上线</errorWord>
      <group>L1_Word</group>
      <groupName>字词问题</groupName>
      <ability>L2_Typo</ability>
      <abilityName>字词错误</abilityName>
      <candidateList>
        <item>上限</item>
      </candidateList>
      <explain/>
      <paraID>7341FE79</paraID>
      <start>116</start>
      <end>118</end>
      <status>ignored</status>
      <modifiedWord/>
      <trackRevisions>false</trackRevisions>
    </reviewItem>
    <reviewItem>
      <errorID>8834b972-fc95-475a-bd62-3ce1b4696a58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2C2E1486</paraID>
      <start>0</start>
      <end>2</end>
      <status>ignored</status>
      <modifiedWord/>
      <trackRevisions>false</trackRevisions>
    </reviewItem>
    <reviewItem>
      <errorID>9ea4ea91-2db8-4fed-852f-dc1acd7be209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7ED61F55</paraID>
      <start>0</start>
      <end>2</end>
      <status>ignored</status>
      <modifiedWord/>
      <trackRevisions>false</trackRevisions>
    </reviewItem>
    <reviewItem>
      <errorID>df463bf5-6e27-409b-8f32-52a5892dfb07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131F8471</paraID>
      <start>0</start>
      <end>2</end>
      <status>ignored</status>
      <modifiedWord/>
      <trackRevisions>false</trackRevisions>
    </reviewItem>
    <reviewItem>
      <errorID>73c1c4c6-4a17-40a6-9253-64fd16033727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3B28AC1B</paraID>
      <start>0</start>
      <end>2</end>
      <status>ignored</status>
      <modifiedWord/>
      <trackRevisions>false</trackRevisions>
    </reviewItem>
    <reviewItem>
      <errorID>6811d308-8f23-4f3d-8db2-687c73eb2bb5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225F6579</paraID>
      <start>0</start>
      <end>2</end>
      <status>ignored</status>
      <modifiedWord/>
      <trackRevisions>false</trackRevisions>
    </reviewItem>
    <reviewItem>
      <errorID>570cdabb-de15-4262-b336-2ae2ad31c6c8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40C48862</paraID>
      <start>0</start>
      <end>2</end>
      <status>ignored</status>
      <modifiedWord/>
      <trackRevisions>false</trackRevisions>
    </reviewItem>
    <reviewItem>
      <errorID>6e0c29d5-c48e-4f8f-978e-368e9175ee35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4EB0DEA2</paraID>
      <start>0</start>
      <end>2</end>
      <status>ignored</status>
      <modifiedWord/>
      <trackRevisions>false</trackRevisions>
    </reviewItem>
    <reviewItem>
      <errorID>f6136424-143e-4f69-9881-e1df59ed66fc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EE07927</paraID>
      <start>0</start>
      <end>2</end>
      <status>ignored</status>
      <modifiedWord/>
      <trackRevisions>false</trackRevisions>
    </reviewItem>
    <reviewItem>
      <errorID>82982c7a-5c04-4357-b02a-ee98c06adef3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28B4B047</paraID>
      <start>0</start>
      <end>2</end>
      <status>ignored</status>
      <modifiedWord/>
      <trackRevisions>false</trackRevisions>
    </reviewItem>
    <reviewItem>
      <errorID>1a609de3-47b5-46ff-95dc-c83f9ed6ee3e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5D8898BD</paraID>
      <start>0</start>
      <end>2</end>
      <status>ignored</status>
      <modifiedWord/>
      <trackRevisions>false</trackRevisions>
    </reviewItem>
    <reviewItem>
      <errorID>05aafd4f-2987-4884-8807-bbbc02097238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5C586AA4</paraID>
      <start>0</start>
      <end>2</end>
      <status>ignored</status>
      <modifiedWord/>
      <trackRevisions>false</trackRevisions>
    </reviewItem>
    <reviewItem>
      <errorID>e04669a9-f63e-4ba5-968e-20df74d5531e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47000991</paraID>
      <start>0</start>
      <end>2</end>
      <status>ignored</status>
      <modifiedWord/>
      <trackRevisions>false</trackRevisions>
    </reviewItem>
    <reviewItem>
      <errorID>7a5e0f32-ceb8-4b60-a311-11767b34b7c5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677BE068</paraID>
      <start>0</start>
      <end>2</end>
      <status>ignored</status>
      <modifiedWord/>
      <trackRevisions>false</trackRevisions>
    </reviewItem>
    <reviewItem>
      <errorID>d9ba5948-fb0e-4263-98b8-276e934a2c45</errorID>
      <errorWord>，</errorWord>
      <group>L1_Word</group>
      <groupName>字词问题</groupName>
      <ability>L2_Typo</ability>
      <abilityName>字词错误</abilityName>
      <candidateList>
        <item>，在</item>
      </candidateList>
      <explain/>
      <paraID>677BE068</paraID>
      <start>97</start>
      <end>98</end>
      <status>ignored</status>
      <modifiedWord/>
      <trackRevisions>false</trackRevisions>
    </reviewItem>
    <reviewItem>
      <errorID>d11f590e-0a39-4bad-a775-1ae330c7dba7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165CE2BB</paraID>
      <start>0</start>
      <end>2</end>
      <status>ignored</status>
      <modifiedWord/>
      <trackRevisions>false</trackRevisions>
    </reviewItem>
    <reviewItem>
      <errorID>55eee395-444b-43b7-8b96-1858f783abdb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472D776</paraID>
      <start>0</start>
      <end>2</end>
      <status>ignored</status>
      <modifiedWord/>
      <trackRevisions>false</trackRevisions>
    </reviewItem>
    <reviewItem>
      <errorID>e09431f0-fbe3-4545-ab2c-99d92e3c459b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44C06DD5</paraID>
      <start>0</start>
      <end>2</end>
      <status>ignored</status>
      <modifiedWord/>
      <trackRevisions>false</trackRevisions>
    </reviewItem>
    <reviewItem>
      <errorID>209e0530-568f-41a8-9182-dd346c5c3b66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2542656A</paraID>
      <start>0</start>
      <end>2</end>
      <status>ignored</status>
      <modifiedWord/>
      <trackRevisions>false</trackRevisions>
    </reviewItem>
    <reviewItem>
      <errorID>80167155-8a63-4d5d-9313-8b52bcc54f08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7F394F99</paraID>
      <start>0</start>
      <end>2</end>
      <status>ignored</status>
      <modifiedWord/>
      <trackRevisions>false</trackRevisions>
    </reviewItem>
    <reviewItem>
      <errorID>8aa35265-c746-46c1-833e-9342f8fd5b28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54AF9458</paraID>
      <start>0</start>
      <end>2</end>
      <status>ignored</status>
      <modifiedWord/>
      <trackRevisions>false</trackRevisions>
    </reviewItem>
    <reviewItem>
      <errorID>2c98e847-60a5-4f72-82f7-09d530560af9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6EDAE63B</paraID>
      <start>0</start>
      <end>2</end>
      <status>ignored</status>
      <modifiedWord/>
      <trackRevisions>false</trackRevisions>
    </reviewItem>
    <reviewItem>
      <errorID>6753ee14-aa49-49b5-848d-de1ab27064f0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6FADCFC1</paraID>
      <start>0</start>
      <end>2</end>
      <status>ignored</status>
      <modifiedWord/>
      <trackRevisions>false</trackRevisions>
    </reviewItem>
    <reviewItem>
      <errorID>4b8bd559-1a1b-4577-bff5-8939ed6204f4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3FF0B777</paraID>
      <start>0</start>
      <end>2</end>
      <status>ignored</status>
      <modifiedWord/>
      <trackRevisions>false</trackRevisions>
    </reviewItem>
    <reviewItem>
      <errorID>a836f73f-e386-4089-bfc3-51beffe86a4d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10BB2F9E</paraID>
      <start>0</start>
      <end>2</end>
      <status>ignored</status>
      <modifiedWord/>
      <trackRevisions>false</trackRevisions>
    </reviewItem>
    <reviewItem>
      <errorID>31ac1466-c218-46ce-a982-a07288ac320c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5398E0A3</paraID>
      <start>0</start>
      <end>2</end>
      <status>ignored</status>
      <modifiedWord/>
      <trackRevisions>false</trackRevisions>
    </reviewItem>
    <reviewItem>
      <errorID>7f9cd7dd-0bd6-4889-8552-fd0adf6a4b18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2AEE9FB6</paraID>
      <start>0</start>
      <end>2</end>
      <status>ignored</status>
      <modifiedWord/>
      <trackRevisions>false</trackRevisions>
    </reviewItem>
    <reviewItem>
      <errorID>4bac17cd-d33d-42eb-90b6-e226a8ce9101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1F71E26F</paraID>
      <start>0</start>
      <end>2</end>
      <status>ignored</status>
      <modifiedWord/>
      <trackRevisions>false</trackRevisions>
    </reviewItem>
    <reviewItem>
      <errorID>e00fd270-d54e-4f7f-9983-1ab493d39ce9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6F088394</paraID>
      <start>0</start>
      <end>2</end>
      <status>ignored</status>
      <modifiedWord/>
      <trackRevisions>false</trackRevisions>
    </reviewItem>
    <reviewItem>
      <errorID>83eff549-24ed-432d-bde1-5e2317627ca0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34ACBB01</paraID>
      <start>0</start>
      <end>2</end>
      <status>ignored</status>
      <modifiedWord/>
      <trackRevisions>false</trackRevisions>
    </reviewItem>
    <reviewItem>
      <errorID>6c5d4290-ecd1-499a-b564-e6fb19c3786e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618EE11D</paraID>
      <start>0</start>
      <end>2</end>
      <status>ignored</status>
      <modifiedWord/>
      <trackRevisions>false</trackRevisions>
    </reviewItem>
    <reviewItem>
      <errorID>64565ef5-8868-4594-b02c-d0137bd4fcf7</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1CF15167</paraID>
      <start>13</start>
      <end>16</end>
      <status>ignored</status>
      <modifiedWord/>
      <trackRevisions>false</trackRevisions>
    </reviewItem>
    <reviewItem>
      <errorID>471703b1-fcdd-45ee-aace-5f33284aaad3</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1CF15167</paraID>
      <start>60</start>
      <end>63</end>
      <status>ignored</status>
      <modifiedWord/>
      <trackRevisions>false</trackRevisions>
    </reviewItem>
    <reviewItem>
      <errorID>169a8e27-c987-46e5-b378-3fad7e240269</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263FD803</paraID>
      <start>0</start>
      <end>3</end>
      <status>ignored</status>
      <modifiedWord/>
      <trackRevisions>false</trackRevisions>
    </reviewItem>
    <reviewItem>
      <errorID>79ebd8be-753f-4d3f-ab43-17fe7ca9dc81</errorID>
      <errorWord>历史遗留矿山生态修复</errorWord>
      <group>L1_Political</group>
      <groupName>政治性问题</groupName>
      <ability>L2_Keyword</ability>
      <abilityName>固定表述</abilityName>
      <candidateList>
        <item>历史遗留废弃矿山生态修复</item>
      </candidateList>
      <explain>词汇“历史遗留废弃矿山生态修复”在特定场景下为固定表述形式，请确认此处的“历史遗留矿山生态修复”是否存在不当。</explain>
      <paraID> 71287ED</paraID>
      <start>6</start>
      <end>16</end>
      <status>ignored</status>
      <modifiedWord/>
      <trackRevisions>false</trackRevisions>
    </reviewItem>
    <reviewItem>
      <errorID>7f1933c6-56b8-433c-887a-212e8167e103</errorID>
      <errorWord>历史遗留露天矿山生态修复</errorWord>
      <group>L1_Political</group>
      <groupName>政治性问题</groupName>
      <ability>L2_Keyword</ability>
      <abilityName>固定表述</abilityName>
      <candidateList>
        <item>历史遗留废弃矿山生态修复</item>
      </candidateList>
      <explain>词汇“历史遗留废弃矿山生态修复”在特定场景下为固定表述形式，请确认此处的“历史遗留露天矿山生态修复”是否存在不当。</explain>
      <paraID> 71287ED</paraID>
      <start>32</start>
      <end>44</end>
      <status>ignored</status>
      <modifiedWord/>
      <trackRevisions>false</trackRevisions>
    </reviewItem>
    <reviewItem>
      <errorID>eafbe118-125e-4007-ab00-bdab898b31a2</errorID>
      <errorWord>历史遗留矿山生态修复</errorWord>
      <group>L1_Political</group>
      <groupName>政治性问题</groupName>
      <ability>L2_Keyword</ability>
      <abilityName>固定表述</abilityName>
      <candidateList>
        <item>历史遗留废弃矿山生态修复</item>
      </candidateList>
      <explain>词汇“历史遗留废弃矿山生态修复”在特定场景下为固定表述形式，请确认此处的“历史遗留矿山生态修复”是否存在不当。</explain>
      <paraID>7AD97D1C</paraID>
      <start>57</start>
      <end>67</end>
      <status>ignored</status>
      <modifiedWord/>
      <trackRevisions>false</trackRevisions>
    </reviewItem>
    <reviewItem>
      <errorID>baf712d5-61d1-4cdf-8c5c-b4426c2cd120</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12A01BD4</paraID>
      <start>68</start>
      <end>71</end>
      <status>ignored</status>
      <modifiedWord/>
      <trackRevisions>false</trackRevisions>
    </reviewItem>
    <reviewItem>
      <errorID>1eecbaba-e5d3-4822-acff-6ee36ded8aa0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7FEAF83C</paraID>
      <start>0</start>
      <end>2</end>
      <status>ignored</status>
      <modifiedWord/>
      <trackRevisions>false</trackRevisions>
    </reviewItem>
    <reviewItem>
      <errorID>34ccaa35-8047-48b3-bdd7-f05808418378</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7FEAF83C</paraID>
      <start>5</start>
      <end>8</end>
      <status>ignored</status>
      <modifiedWord/>
      <trackRevisions>false</trackRevisions>
    </reviewItem>
    <reviewItem>
      <errorID>2bfce5cf-5591-4d67-b8ff-11c3212d0e46</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1BC331B2</paraID>
      <start>2</start>
      <end>5</end>
      <status>ignored</status>
      <modifiedWord/>
      <trackRevisions>false</trackRevisions>
    </reviewItem>
    <reviewItem>
      <errorID>a56bd0e5-195e-40a5-9594-faea3bf90316</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3D11DFF0</paraID>
      <start>2</start>
      <end>5</end>
      <status>ignored</status>
      <modifiedWord/>
      <trackRevisions>false</trackRevisions>
    </reviewItem>
    <reviewItem>
      <errorID>7dc40f7f-b429-42cc-ad08-92018c58e5e1</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3D11DFF0</paraID>
      <start>75</start>
      <end>78</end>
      <status>ignored</status>
      <modifiedWord/>
      <trackRevisions>false</trackRevisions>
    </reviewItem>
    <reviewItem>
      <errorID>5245e5f4-5d43-4e44-a19b-c6a220d59685</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16CBF41E</paraID>
      <start>8</start>
      <end>11</end>
      <status>ignored</status>
      <modifiedWord/>
      <trackRevisions>false</trackRevisions>
    </reviewItem>
    <reviewItem>
      <errorID>e81ba30c-9f32-4fa9-859b-958788bc0edb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24382D9E</paraID>
      <start>0</start>
      <end>2</end>
      <status>ignored</status>
      <modifiedWord/>
      <trackRevisions>false</trackRevisions>
    </reviewItem>
    <reviewItem>
      <errorID>005fd424-e768-4274-8c0a-51b5ba261f56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281252B0</paraID>
      <start>0</start>
      <end>2</end>
      <status>ignored</status>
      <modifiedWord/>
      <trackRevisions>false</trackRevisions>
    </reviewItem>
    <reviewItem>
      <errorID>f2d36b41-f532-434d-b894-cdc91c07e63b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281252B0</paraID>
      <start>28</start>
      <end>29</end>
      <status>ignored</status>
      <modifiedWord/>
      <trackRevisions>false</trackRevisions>
    </reviewItem>
    <reviewItem>
      <errorID>7218ca29-da8f-4d32-9241-0dd349146688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61FAF012</paraID>
      <start>45</start>
      <end>46</end>
      <status>ignored</status>
      <modifiedWord/>
      <trackRevisions>false</trackRevisions>
    </reviewItem>
    <reviewItem>
      <errorID>af8e8dc1-b1ff-41b8-a266-2d7d1c9d6c7f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758002EF</paraID>
      <start>32</start>
      <end>33</end>
      <status>ignored</status>
      <modifiedWord/>
      <trackRevisions>false</trackRevisions>
    </reviewItem>
    <reviewItem>
      <errorID>f2896ccf-a314-41f6-baec-f9c6c7016894</errorID>
      <errorWord>工业和信息化委</errorWord>
      <group>L1_Knowledge</group>
      <groupName>知识性问题</groupName>
      <ability>L2_Organization</ability>
      <abilityName>机构检查</abilityName>
      <candidateList>
        <item>工业和信息化部党委</item>
      </candidateList>
      <explain>机关单位全简称表述错误</explain>
      <paraID>2777B7EB</paraID>
      <start>21</start>
      <end>28</end>
      <status>ignored</status>
      <modifiedWord/>
      <trackRevisions>false</trackRevisions>
    </reviewItem>
    <reviewItem>
      <errorID>6f47aca1-459b-499a-a18f-2068990b1132</errorID>
      <errorWord>工地</errorWord>
      <group>L1_Word</group>
      <groupName>字词问题</groupName>
      <ability>L2_Typo</ability>
      <abilityName>字词错误</abilityName>
      <candidateList>
        <item>场地</item>
      </candidateList>
      <explain/>
      <paraID>44F97BB0</paraID>
      <start>122</start>
      <end>124</end>
      <status>ignored</status>
      <modifiedWord/>
      <trackRevisions>false</trackRevisions>
    </reviewItem>
    <reviewItem>
      <errorID>7464e8f2-7b3d-43cf-80dd-62d065435a49</errorID>
      <errorWord>程</errorWord>
      <group>L1_Word</group>
      <groupName>字词问题</groupName>
      <ability>L2_Typo</ability>
      <abilityName>字词错误</abilityName>
      <candidateList>
        <item>程中</item>
      </candidateList>
      <explain/>
      <paraID>44F97BB0</paraID>
      <start>133</start>
      <end>134</end>
      <status>ignored</status>
      <modifiedWord/>
      <trackRevisions>false</trackRevisions>
    </reviewItem>
    <reviewItem>
      <errorID>1a4f6729-01f6-4128-b295-e739590ca2c4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5A88E59F</paraID>
      <start>34</start>
      <end>35</end>
      <status>ignored</status>
      <modifiedWord/>
      <trackRevisions>false</trackRevisions>
    </reviewItem>
    <reviewItem>
      <errorID>03edde87-7708-4f22-bae7-4056d0796f0c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43C4B2EB</paraID>
      <start>0</start>
      <end>2</end>
      <status>ignored</status>
      <modifiedWord/>
      <trackRevisions>false</trackRevisions>
    </reviewItem>
    <reviewItem>
      <errorID>911f88c2-1d15-4061-8d93-7aa5361f6826</errorID>
      <errorWord>建设的</errorWord>
      <group>L1_Word</group>
      <groupName>字词问题</groupName>
      <ability>L2_Typo</ability>
      <abilityName>字词错误</abilityName>
      <candidateList>
        <item>建设</item>
      </candidateList>
      <explain>〈动〉创立新事业；增加新设施：经济～｜～家园｜～现代化强国◇组织～｜思想～。</explain>
      <paraID>74B6BC46</paraID>
      <start>14</start>
      <end>16</end>
      <status>modified</status>
      <modifiedWord>建设</modifiedWord>
      <trackRevisions>false</trackRevisions>
    </reviewItem>
    <reviewItem>
      <errorID>8646264e-40ce-4a7f-aaec-40bb40dca753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21A7EFBC</paraID>
      <start>0</start>
      <end>3</end>
      <status>ignored</status>
      <modifiedWord/>
      <trackRevisions>false</trackRevisions>
    </reviewItem>
    <reviewItem>
      <errorID>9e7b1fe0-ff02-4594-8a83-07ad1921276d</errorID>
      <errorWord>安全教育、法制教育</errorWord>
      <group>L1_Word</group>
      <groupName>字词问题</groupName>
      <ability>L2_Typo</ability>
      <abilityName>字词错误</abilityName>
      <candidateList>
        <item>安全教育、法治教育</item>
      </candidateList>
      <explain/>
      <paraID>1CE749E1</paraID>
      <start>23</start>
      <end>32</end>
      <status>modified</status>
      <modifiedWord>安全教育、法治教育</modifiedWord>
      <trackRevisions>false</trackRevisions>
    </reviewItem>
    <reviewItem>
      <errorID>acddf980-88b8-4541-b8d3-fcc0a52f6658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5F70E182</paraID>
      <start>47</start>
      <end>50</end>
      <status>ignored</status>
      <modifiedWord/>
      <trackRevisions>false</trackRevisions>
    </reviewItem>
    <reviewItem>
      <errorID>693ccef0-0c11-40a6-a10f-e6bc3930882d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5F70E182</paraID>
      <start>61</start>
      <end>64</end>
      <status>ignored</status>
      <modifiedWord/>
      <trackRevisions>false</trackRevisions>
    </reviewItem>
    <reviewItem>
      <errorID>1d8d59a9-e71c-4a46-80e1-551f01fb8597</errorID>
      <errorWord>2024年03月15日</errorWord>
      <group>L1_Knowledge</group>
      <groupName>知识性问题</groupName>
      <ability>L2_Time</ability>
      <abilityName>日期时间</abilityName>
      <candidateList>
        <item>2024年3月15日</item>
      </candidateList>
      <explain>根据日常书写习惯，月份一般会省略前导零。</explain>
      <paraID>67F7C39C</paraID>
      <start>19</start>
      <end>30</end>
      <status>ignored</status>
      <modifiedWord/>
      <trackRevisions>false</trackRevisions>
    </reviewItem>
    <reviewItem>
      <errorID>b8322d8c-bf6b-4271-8a31-1cc27ef9ed32</errorID>
      <errorWord>拣拾</errorWord>
      <group>L1_Word</group>
      <groupName>字词问题</groupName>
      <ability>L2_Typo</ability>
      <abilityName>字词错误</abilityName>
      <candidateList>
        <item>捡拾</item>
      </candidateList>
      <explain/>
      <paraID>5E16E185</paraID>
      <start>3</start>
      <end>5</end>
      <status>ignored</status>
      <modifiedWord/>
      <trackRevisions>false</trackRevisions>
    </reviewItem>
    <reviewItem>
      <errorID>04f5cc4c-bec1-4b87-b805-1b51f6c4bb15</errorID>
      <errorWord>：</errorWord>
      <group>L1_Format</group>
      <groupName>格式问题</groupName>
      <ability>L2_HalfPunc</ability>
      <abilityName>全半角检查</abilityName>
      <candidateList>
        <item>:</item>
      </candidateList>
      <explain>文本全半角错误。</explain>
      <paraID>269E5D6A</paraID>
      <start>18</start>
      <end>19</end>
      <status>modified</status>
      <modifiedWord>:</modifiedWord>
      <trackRevisions>false</trackRevisions>
    </reviewItem>
    <reviewItem>
      <errorID>190b839b-7450-48cb-b506-9457c97f4c61</errorID>
      <errorWord>危险品</errorWord>
      <group>L1_Word</group>
      <groupName>字词问题</groupName>
      <ability>L2_Typo</ability>
      <abilityName>字词错误</abilityName>
      <candidateList>
        <item>危险</item>
      </candidateList>
      <explain/>
      <paraID>5D51150A</paraID>
      <start>5</start>
      <end>7</end>
      <status>modified</status>
      <modifiedWord>危险</modifiedWord>
      <trackRevisions>false</trackRevisions>
    </reviewItem>
    <reviewItem>
      <errorID>3692fdaf-ad90-48af-ac31-640eca510e5f</errorID>
      <errorWord>其相</errorWord>
      <group>L1_Word</group>
      <groupName>字词问题</groupName>
      <ability>L2_Typo</ability>
      <abilityName>字词错误</abilityName>
      <candidateList>
        <item>其他</item>
      </candidateList>
      <explain>〈代〉指示代词。别的：今天的文娱晚会，除了京剧、曲艺以外，还有～精彩节目。</explain>
      <paraID>2E6DCD5C</paraID>
      <start>10</start>
      <end>12</end>
      <status>modified</status>
      <modifiedWord>其他</modifiedWord>
      <trackRevisions>false</trackRevisions>
    </reviewItem>
    <reviewItem>
      <errorID>e2bb39ad-2ffe-4f42-9bff-59a01b21bc11</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1D640BC9</paraID>
      <start>10</start>
      <end>13</end>
      <status>ignored</status>
      <modifiedWord/>
      <trackRevisions>false</trackRevisions>
    </reviewItem>
    <reviewItem>
      <errorID>cd982e0b-132c-443b-995a-cbb4190d0392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343EBA49</paraID>
      <start>0</start>
      <end>3</end>
      <status>ignored</status>
      <modifiedWord/>
      <trackRevisions>false</trackRevisions>
    </reviewItem>
    <reviewItem>
      <errorID>eddef7db-9b75-496c-a451-076e7c3d3285</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 41C16BC</paraID>
      <start>10</start>
      <end>13</end>
      <status>ignored</status>
      <modifiedWord/>
      <trackRevisions>false</trackRevisions>
    </reviewItem>
    <reviewItem>
      <errorID>9ad8322c-e2d0-4f08-915b-deb66e1e3005</errorID>
      <errorWord>方向上</errorWord>
      <group>L1_Word</group>
      <groupName>字词问题</groupName>
      <ability>L2_Typo</ability>
      <abilityName>字词错误</abilityName>
      <candidateList>
        <item>方向</item>
      </candidateList>
      <explain/>
      <paraID> 41C16BC</paraID>
      <start>62</start>
      <end>65</end>
      <status>ignored</status>
      <modifiedWord/>
      <trackRevisions>false</trackRevisions>
    </reviewItem>
    <reviewItem>
      <errorID>addc2969-ff02-4827-b930-68e0c852e0fd</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7F0B5800</paraID>
      <start>0</start>
      <end>3</end>
      <status>ignored</status>
      <modifiedWord/>
      <trackRevisions>false</trackRevisions>
    </reviewItem>
    <reviewItem>
      <errorID>c9bb4f48-a6bd-4d7a-8107-124989207cd0</errorID>
      <errorWord>厂家</errorWord>
      <group>L1_Word</group>
      <groupName>字词问题</groupName>
      <ability>L2_Typo</ability>
      <abilityName>字词错误</abilityName>
      <candidateList>
        <item>厂</item>
      </candidateList>
      <explain/>
      <paraID>1FDB930C</paraID>
      <start>66</start>
      <end>68</end>
      <status>ignored</status>
      <modifiedWord/>
      <trackRevisions>false</trackRevisions>
    </reviewItem>
    <reviewItem>
      <errorID>48f3e6c4-87f6-4a8e-a55b-acf9eef6bc09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4F84BC6D</paraID>
      <start>0</start>
      <end>3</end>
      <status>ignored</status>
      <modifiedWord/>
      <trackRevisions>false</trackRevisions>
    </reviewItem>
    <reviewItem>
      <errorID>7bd087d3-4ccf-4c31-a00c-ca2f67123a47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40B206E1</paraID>
      <start>0</start>
      <end>2</end>
      <status>ignored</status>
      <modifiedWord/>
      <trackRevisions>false</trackRevisions>
    </reviewItem>
    <reviewItem>
      <errorID>c8fd414f-2658-4498-91a7-37344e27586e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77C795B6</paraID>
      <start>0</start>
      <end>2</end>
      <status>ignored</status>
      <modifiedWord/>
      <trackRevisions>false</trackRevisions>
    </reviewItem>
    <reviewItem>
      <errorID>3d023ac3-89bc-44e4-8b5e-c76c7ef246c6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3CBFE667</paraID>
      <start>0</start>
      <end>2</end>
      <status>ignored</status>
      <modifiedWord/>
      <trackRevisions>false</trackRevisions>
    </reviewItem>
    <reviewItem>
      <errorID>d25f737c-13ef-4b59-a0ee-20510dab6d01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6228C12A</paraID>
      <start>0</start>
      <end>2</end>
      <status>ignored</status>
      <modifiedWord/>
      <trackRevisions>false</trackRevisions>
    </reviewItem>
    <reviewItem>
      <errorID>59a9fe11-dedc-4020-bad5-be91a4b4ab44</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668637F9</paraID>
      <start>59</start>
      <end>62</end>
      <status>ignored</status>
      <modifiedWord/>
      <trackRevisions>false</trackRevisions>
    </reviewItem>
    <reviewItem>
      <errorID>c165d9ad-1015-4282-a212-6a9d25ae634b</errorID>
      <errorWord>2024年03月15日</errorWord>
      <group>L1_Knowledge</group>
      <groupName>知识性问题</groupName>
      <ability>L2_Time</ability>
      <abilityName>日期时间</abilityName>
      <candidateList>
        <item>2024年3月15日</item>
      </candidateList>
      <explain>根据日常书写习惯，月份一般会省略前导零。</explain>
      <paraID>6DFDBF04</paraID>
      <start>19</start>
      <end>30</end>
      <status>ignored</status>
      <modifiedWord/>
      <trackRevisions>false</trackRevisions>
    </reviewItem>
    <reviewItem>
      <errorID>54feaddb-28a4-49e3-88df-56f27673c855</errorID>
      <errorWord>2024年03月25日</errorWord>
      <group>L1_Knowledge</group>
      <groupName>知识性问题</groupName>
      <ability>L2_Time</ability>
      <abilityName>日期时间</abilityName>
      <candidateList>
        <item>2024年3月25日</item>
      </candidateList>
      <explain>根据日常书写习惯，月份一般会省略前导零。</explain>
      <paraID>6DFDBF04</paraID>
      <start>104</start>
      <end>115</end>
      <status>ignored</status>
      <modifiedWord/>
      <trackRevisions>false</trackRevisions>
    </reviewItem>
    <reviewItem>
      <errorID>fb761f1d-48b5-46a6-a65e-c7f7019c2a6e</errorID>
      <errorWord>2027年03月24日</errorWord>
      <group>L1_Knowledge</group>
      <groupName>知识性问题</groupName>
      <ability>L2_Time</ability>
      <abilityName>日期时间</abilityName>
      <candidateList>
        <item>2027年3月24日</item>
      </candidateList>
      <explain>根据日常书写习惯，月份一般会省略前导零。</explain>
      <paraID>6DFDBF04</paraID>
      <start>116</start>
      <end>127</end>
      <status>ignored</status>
      <modifiedWord/>
      <trackRevisions>false</trackRevisions>
    </reviewItem>
    <reviewItem>
      <errorID>3ed32d29-d6be-4e16-a52f-231e14d79041</errorID>
      <errorWord>2026年01月12日</errorWord>
      <group>L1_Knowledge</group>
      <groupName>知识性问题</groupName>
      <ability>L2_Time</ability>
      <abilityName>日期时间</abilityName>
      <candidateList>
        <item>2026年1月12日</item>
      </candidateList>
      <explain>根据日常书写习惯，月份一般会省略前导零。</explain>
      <paraID>2F1BCC20</paraID>
      <start>3</start>
      <end>13</end>
      <status>modified</status>
      <modifiedWord>2026年1月12日</modifiedWord>
      <trackRevisions>false</trackRevisions>
    </reviewItem>
    <reviewItem>
      <errorID>61367d39-a349-4767-b09a-ce12704934a7</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2F1BCC20</paraID>
      <start>16</start>
      <end>19</end>
      <status>ignored</status>
      <modifiedWord/>
      <trackRevisions>false</trackRevisions>
    </reviewItem>
    <reviewItem>
      <errorID>c7964016-c0de-4a08-ae01-30ab7498fa3c</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161D6CAC</paraID>
      <start>33</start>
      <end>35</end>
      <status>ignored</status>
      <modifiedWord/>
      <trackRevisions>false</trackRevisions>
    </reviewItem>
    <reviewItem>
      <errorID>7ec52486-56ab-4cdd-858a-fe7aefbc043e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6411A25C</paraID>
      <start>0</start>
      <end>2</end>
      <status>ignored</status>
      <modifiedWord/>
      <trackRevisions>false</trackRevisions>
    </reviewItem>
    <reviewItem>
      <errorID>72fab860-541c-4820-87ab-e0c22bffd6e5</errorID>
      <errorWord>(</errorWord>
      <group>L1_Format</group>
      <groupName>格式问题</groupName>
      <ability>L2_HalfPunc</ability>
      <abilityName>全半角检查</abilityName>
      <candidateList>
        <item>（</item>
      </candidateList>
      <explain>文本全半角错误。</explain>
      <paraID>394BAD7F</paraID>
      <start>13</start>
      <end>14</end>
      <status>modified</status>
      <modifiedWord>（</modifiedWord>
      <trackRevisions>false</trackRevisions>
    </reviewItem>
    <reviewItem>
      <errorID>c6d370ff-5838-4e90-8ccc-5a143c44ae1b</errorID>
      <errorWord>)</errorWord>
      <group>L1_Format</group>
      <groupName>格式问题</groupName>
      <ability>L2_HalfPunc</ability>
      <abilityName>全半角检查</abilityName>
      <candidateList>
        <item>）</item>
      </candidateList>
      <explain>文本全半角错误。</explain>
      <paraID>394BAD7F</paraID>
      <start>16</start>
      <end>17</end>
      <status>modified</status>
      <modifiedWord>）</modifiedWord>
      <trackRevisions>false</trackRevisions>
    </reviewItem>
    <reviewItem>
      <errorID>aacfd401-87c4-4dfd-8193-b6ecce7c15e1</errorID>
      <errorWord>2026年01月12日</errorWord>
      <group>L1_Knowledge</group>
      <groupName>知识性问题</groupName>
      <ability>L2_Time</ability>
      <abilityName>日期时间</abilityName>
      <candidateList>
        <item>2026年1月12日</item>
      </candidateList>
      <explain>根据日常书写习惯，月份一般会省略前导零。</explain>
      <paraID>7DD8377A</paraID>
      <start>8</start>
      <end>18</end>
      <status>modified</status>
      <modifiedWord>2026年1月12日</modifiedWord>
      <trackRevisions>false</trackRevisions>
    </reviewItem>
    <reviewItem>
      <errorID>86f730b2-30f6-4f25-8711-0b360bf904f5</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7DD8377A</paraID>
      <start>20</start>
      <end>23</end>
      <status>ignored</status>
      <modifiedWord/>
      <trackRevisions>false</trackRevisions>
    </reviewItem>
    <reviewItem>
      <errorID>c2057cae-2032-41c9-a06c-7d557e84b480</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1A1364BD</paraID>
      <start>11</start>
      <end>14</end>
      <status>ignored</status>
      <modifiedWord/>
      <trackRevisions>false</trackRevisions>
    </reviewItem>
    <reviewItem>
      <errorID>d95a95b4-96c6-4d35-b92f-3ce9b323f679</errorID>
      <errorWord>（</errorWord>
      <group>L1_Punc</group>
      <groupName>标点问题</groupName>
      <ability>L2_Punc</ability>
      <abilityName>标点符号检查</abilityName>
      <candidateList/>
      <explain>同一形式括号套用。</explain>
      <paraID>5E94C6D6</paraID>
      <start>58</start>
      <end>59</end>
      <status>ignored</status>
      <modifiedWord/>
      <trackRevisions>false</trackRevisions>
    </reviewItem>
    <reviewItem>
      <errorID>4202bc0c-9b61-4c6a-bfdc-606b44411f2d</errorID>
      <errorWord>）</errorWord>
      <group>L1_Punc</group>
      <groupName>标点问题</groupName>
      <ability>L2_Punc</ability>
      <abilityName>标点符号检查</abilityName>
      <candidateList/>
      <explain>同一形式括号套用。</explain>
      <paraID>5E94C6D6</paraID>
      <start>63</start>
      <end>64</end>
      <status>ignored</status>
      <modifiedWord/>
      <trackRevisions>false</trackRevisions>
    </reviewItem>
    <reviewItem>
      <errorID>bb043475-0098-4c2f-8778-49248cc70803</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5E94C6D6</paraID>
      <start>64</start>
      <end>67</end>
      <status>ignored</status>
      <modifiedWord/>
      <trackRevisions>false</trackRevisions>
    </reviewItem>
    <reviewItem>
      <errorID>fb2ce4ce-d2cd-4f48-a9a4-110d8ded663c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5AFF31B7</paraID>
      <start>0</start>
      <end>2</end>
      <status>ignored</status>
      <modifiedWord/>
      <trackRevisions>false</trackRevisions>
    </reviewItem>
    <reviewItem>
      <errorID>e59203f4-4fe7-4084-887e-177b533f73f4</errorID>
      <errorWord>(</errorWord>
      <group>L1_Format</group>
      <groupName>格式问题</groupName>
      <ability>L2_HalfPunc</ability>
      <abilityName>全半角检查</abilityName>
      <candidateList>
        <item>（</item>
      </candidateList>
      <explain>文本全半角错误。</explain>
      <paraID>2DE567A2</paraID>
      <start>73</start>
      <end>74</end>
      <status>modified</status>
      <modifiedWord>（</modifiedWord>
      <trackRevisions>false</trackRevisions>
    </reviewItem>
    <reviewItem>
      <errorID>2df17939-9694-4fc2-b733-404e47e21f10</errorID>
      <errorWord>)</errorWord>
      <group>L1_Format</group>
      <groupName>格式问题</groupName>
      <ability>L2_HalfPunc</ability>
      <abilityName>全半角检查</abilityName>
      <candidateList>
        <item>）</item>
      </candidateList>
      <explain>文本全半角错误。</explain>
      <paraID>2DE567A2</paraID>
      <start>86</start>
      <end>87</end>
      <status>modified</status>
      <modifiedWord>）</modifiedWord>
      <trackRevisions>false</trackRevisions>
    </reviewItem>
    <reviewItem>
      <errorID>5590f76b-2e71-4ec8-88a9-028cac79d2fb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7D26B0E6</paraID>
      <start>118</start>
      <end>119</end>
      <status>ignored</status>
      <modifiedWord/>
      <trackRevisions>false</trackRevisions>
    </reviewItem>
    <reviewItem>
      <errorID>831224d7-aeb5-411e-ba86-09dc8b01f1ed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5E115BF4</paraID>
      <start>0</start>
      <end>2</end>
      <status>ignored</status>
      <modifiedWord/>
      <trackRevisions>false</trackRevisions>
    </reviewItem>
    <reviewItem>
      <errorID>396c1b1a-10c8-44a6-8819-dcfd0dbaa10f</errorID>
      <errorWord>，</errorWord>
      <group>L1_Format</group>
      <groupName>格式问题</groupName>
      <ability>L2_HalfPunc</ability>
      <abilityName>全半角检查</abilityName>
      <candidateList>
        <item>,</item>
      </candidateList>
      <explain>文本全半角错误。</explain>
      <paraID>3C456D3E</paraID>
      <start>17</start>
      <end>18</end>
      <status>ignored</status>
      <modifiedWord/>
      <trackRevisions>false</trackRevisions>
    </reviewItem>
    <reviewItem>
      <errorID>fed2c1f3-47c8-42d7-99cc-ad1889455f89</errorID>
      <errorWord>(</errorWord>
      <group>L1_Format</group>
      <groupName>格式问题</groupName>
      <ability>L2_HalfPunc</ability>
      <abilityName>全半角检查</abilityName>
      <candidateList>
        <item>（</item>
      </candidateList>
      <explain>文本全半角错误。</explain>
      <paraID>7D9EE839</paraID>
      <start>9</start>
      <end>10</end>
      <status>modified</status>
      <modifiedWord>（</modifiedWord>
      <trackRevisions>false</trackRevisions>
    </reviewItem>
    <reviewItem>
      <errorID>434c9031-586e-46a4-83a3-ae345f4c2591</errorID>
      <errorWord>)</errorWord>
      <group>L1_Format</group>
      <groupName>格式问题</groupName>
      <ability>L2_HalfPunc</ability>
      <abilityName>全半角检查</abilityName>
      <candidateList>
        <item>）</item>
      </candidateList>
      <explain>文本全半角错误。</explain>
      <paraID>7D9EE839</paraID>
      <start>22</start>
      <end>23</end>
      <status>modified</status>
      <modifiedWord>）</modifiedWord>
      <trackRevisions>false</trackRevisions>
    </reviewItem>
    <reviewItem>
      <errorID>a91e99fa-df31-4cb2-a0f2-4fa3744fb344</errorID>
      <errorWord>剌激</errorWord>
      <group>L1_Word</group>
      <groupName>字词问题</groupName>
      <ability>L2_Typo</ability>
      <abilityName>字词错误</abilityName>
      <candidateList>
        <item>刺激</item>
      </candidateList>
      <explain>〈动〉❶现实的物体和现象作用于感觉器官；声、光、热等引起生物体活动或变化。❷推动事物，使起积极的变化：～食欲｜～生产力的发展。❸使人激动；使人精神上受到挫折或打击；多年的收藏毁于一旦，对他～很大。</explain>
      <paraID> FDBA3AF</paraID>
      <start>28</start>
      <end>30</end>
      <status>modified</status>
      <modifiedWord>刺激</modifiedWord>
      <trackRevisions>false</trackRevisions>
    </reviewItem>
    <reviewItem>
      <errorID>c002c782-c16b-4a50-9de2-6ccc7f3b0586</errorID>
      <errorWord>作功</errorWord>
      <group>L1_Word</group>
      <groupName>字词问题</groupName>
      <ability>L2_Typo</ability>
      <abilityName>字词错误</abilityName>
      <candidateList>
        <item>做功</item>
      </candidateList>
      <explain>存在发音相同字词的误用。</explain>
      <paraID>78DEBD18</paraID>
      <start>16</start>
      <end>18</end>
      <status>modified</status>
      <modifiedWord>做功</modifiedWord>
      <trackRevisions>false</trackRevisions>
    </reviewItem>
    <reviewItem>
      <errorID>3827bc0d-af5a-4959-b3aa-3968d30f773d</errorID>
      <errorWord>0~10%</errorWord>
      <group>L1_Knowledge</group>
      <groupName>知识性问题</groupName>
      <ability>L2_Knowledge</ability>
      <abilityName>其他知识</abilityName>
      <candidateList>
        <item>0～10%</item>
      </candidateList>
      <explain>1. “0~10%”中的单位“%”仅出现在后一个数字上，容易引起歧义；根据《现代汉语标点符号数字用法规范手册》，数字表示范围两边需要使用统一的格式。2. 根据标点国标 4.13 中的规则，数字、时间或地域连接符应使用（视觉上更长的）“—”或“～”。</explain>
      <paraID>78DEBD18</paraID>
      <start>58</start>
      <end>63</end>
      <status>ignored</status>
      <modifiedWord/>
      <trackRevisions>false</trackRevisions>
    </reviewItem>
    <reviewItem>
      <errorID>961e30c3-0ca5-4744-a0ec-131416c670e0</errorID>
      <errorWord>0~20%</errorWord>
      <group>L1_Knowledge</group>
      <groupName>知识性问题</groupName>
      <ability>L2_Knowledge</ability>
      <abilityName>其他知识</abilityName>
      <candidateList>
        <item>0～20%</item>
      </candidateList>
      <explain>1. “0~20%”中的单位“%”仅出现在后一个数字上，容易引起歧义；根据《现代汉语标点符号数字用法规范手册》，数字表示范围两边需要使用统一的格式。2. 根据标点国标 4.13 中的规则，数字、时间或地域连接符应使用（视觉上更长的）“—”或“～”。</explain>
      <paraID>78DEBD18</paraID>
      <start>69</start>
      <end>74</end>
      <status>ignored</status>
      <modifiedWord/>
      <trackRevisions>false</trackRevisions>
    </reviewItem>
    <reviewItem>
      <errorID>d730c34f-872c-46fc-9737-d67029874fa8</errorID>
      <errorWord>0~3%</errorWord>
      <group>L1_Knowledge</group>
      <groupName>知识性问题</groupName>
      <ability>L2_Knowledge</ability>
      <abilityName>其他知识</abilityName>
      <candidateList>
        <item>0～3%</item>
      </candidateList>
      <explain>1. “0~3%”中的单位“%”仅出现在后一个数字上，容易引起歧义；根据《现代汉语标点符号数字用法规范手册》，数字表示范围两边需要使用统一的格式。2. 根据标点国标 4.13 中的规则，数字、时间或地域连接符应使用（视觉上更长的）“—”或“～”。</explain>
      <paraID>78DEBD18</paraID>
      <start>78</start>
      <end>82</end>
      <status>ignored</status>
      <modifiedWord/>
      <trackRevisions>false</trackRevisions>
    </reviewItem>
    <reviewItem>
      <errorID>0cf64cc4-44ab-47c0-b2fb-11902f1d9c1a</errorID>
      <errorWord>(</errorWord>
      <group>L1_Format</group>
      <groupName>格式问题</groupName>
      <ability>L2_HalfPunc</ability>
      <abilityName>全半角检查</abilityName>
      <candidateList>
        <item>（</item>
      </candidateList>
      <explain>文本全半角错误。</explain>
      <paraID>456DE7EA</paraID>
      <start>51</start>
      <end>52</end>
      <status>modified</status>
      <modifiedWord>（</modifiedWord>
      <trackRevisions>false</trackRevisions>
    </reviewItem>
    <reviewItem>
      <errorID>b3a9c207-d670-44ed-b1ac-815849a0621b</errorID>
      <errorWord>)</errorWord>
      <group>L1_Format</group>
      <groupName>格式问题</groupName>
      <ability>L2_HalfPunc</ability>
      <abilityName>全半角检查</abilityName>
      <candidateList>
        <item>）</item>
      </candidateList>
      <explain>文本全半角错误。</explain>
      <paraID>456DE7EA</paraID>
      <start>61</start>
      <end>62</end>
      <status>modified</status>
      <modifiedWord>）</modifiedWord>
      <trackRevisions>false</trackRevisions>
    </reviewItem>
    <reviewItem>
      <errorID>8012a43b-26d0-42a4-a1cb-47c1ed6e2ad9</errorID>
      <errorWord>(</errorWord>
      <group>L1_Format</group>
      <groupName>格式问题</groupName>
      <ability>L2_HalfPunc</ability>
      <abilityName>全半角检查</abilityName>
      <candidateList>
        <item>（</item>
      </candidateList>
      <explain>文本全半角错误。</explain>
      <paraID>549ED019</paraID>
      <start>12</start>
      <end>13</end>
      <status>modified</status>
      <modifiedWord>（</modifiedWord>
      <trackRevisions>false</trackRevisions>
    </reviewItem>
    <reviewItem>
      <errorID>281bf6cd-f11f-41ba-bb18-0331ac38712c</errorID>
      <errorWord>)</errorWord>
      <group>L1_Format</group>
      <groupName>格式问题</groupName>
      <ability>L2_HalfPunc</ability>
      <abilityName>全半角检查</abilityName>
      <candidateList>
        <item>）</item>
      </candidateList>
      <explain>文本全半角错误。</explain>
      <paraID>549ED019</paraID>
      <start>16</start>
      <end>17</end>
      <status>modified</status>
      <modifiedWord>）</modifiedWord>
      <trackRevisions>false</trackRevisions>
    </reviewItem>
    <reviewItem>
      <errorID>862450a0-5c84-4c8f-9699-d19ed23faee7</errorID>
      <errorWord>~</errorWord>
      <group>L1_Format</group>
      <groupName>格式问题</groupName>
      <ability>L2_HalfPunc</ability>
      <abilityName>全半角检查</abilityName>
      <candidateList>
        <item>～</item>
      </candidateList>
      <explain>文本全半角错误。</explain>
      <paraID>549ED019</paraID>
      <start>49</start>
      <end>50</end>
      <status>ignored</status>
      <modifiedWord/>
      <trackRevisions>false</trackRevisions>
    </reviewItem>
    <reviewItem>
      <errorID>49e5ad49-f2ad-4d4e-831e-aaa3cff7dcf0</errorID>
      <errorWord>;</errorWord>
      <group>L1_Format</group>
      <groupName>格式问题</groupName>
      <ability>L2_HalfPunc</ability>
      <abilityName>全半角检查</abilityName>
      <candidateList>
        <item>；</item>
      </candidateList>
      <explain>文本全半角错误。</explain>
      <paraID>1D3B3190</paraID>
      <start>46</start>
      <end>47</end>
      <status>modified</status>
      <modifiedWord>；</modifiedWord>
      <trackRevisions>false</trackRevisions>
    </reviewItem>
    <reviewItem>
      <errorID>619182b4-35bf-4087-a3ef-64ed6c7ef055</errorID>
      <errorWord>电</errorWord>
      <group>L1_Word</group>
      <groupName>字词问题</groupName>
      <ability>L2_Typo</ability>
      <abilityName>字词错误</abilityName>
      <candidateList>
        <item>电子</item>
      </candidateList>
      <explain/>
      <paraID>37521985</paraID>
      <start>27</start>
      <end>28</end>
      <status>ignored</status>
      <modifiedWord/>
      <trackRevisions>false</trackRevisions>
    </reviewItem>
    <reviewItem>
      <errorID>99d80354-3da7-4664-bf4d-20f636503cd6</errorID>
      <errorWord>发</errorWord>
      <group>L1_Knowledge</group>
      <groupName>知识性问题</groupName>
      <ability>L2_Knowledge</ability>
      <abilityName>其他知识</abilityName>
      <candidateList>
        <item>根</item>
      </candidateList>
      <explain/>
      <paraID>37521985</paraID>
      <start>197</start>
      <end>198</end>
      <status>unmodified</status>
      <modifiedWord/>
      <trackRevisions>false</trackRevisions>
    </reviewItem>
    <reviewItem>
      <errorID>d06dda8c-75f8-4f1d-b108-0b21ae4e0eb1</errorID>
      <errorWord>网路</errorWord>
      <group>L1_Word</group>
      <groupName>字词问题</groupName>
      <ability>L2_Alias</ability>
      <abilityName>也作/曾用词</abilityName>
      <candidateList>
        <item>网络</item>
      </candidateList>
      <explain>词汇[网路]为不规范表述或旧称，其规范书面表述为[网络]。</explain>
      <paraID>37521985</paraID>
      <start>220</start>
      <end>222</end>
      <status>unmodified</status>
      <modifiedWord/>
      <trackRevisions>false</trackRevisions>
    </reviewItem>
    <reviewItem>
      <errorID>942c0302-0b28-43c5-aad6-8ffc0a5c742e</errorID>
      <errorWord>、</errorWord>
      <group>L1_Punc</group>
      <groupName>标点问题</groupName>
      <ability>L2_Punc</ability>
      <abilityName>标点符号检查</abilityName>
      <candidateList>
        <item>.</item>
      </candidateList>
      <explain/>
      <paraID>3DC46D88</paraID>
      <start>1</start>
      <end>2</end>
      <status>unmodified</status>
      <modifiedWord/>
      <trackRevisions>false</trackRevisions>
    </reviewItem>
    <reviewItem>
      <errorID>b6ba0932-7385-4607-9087-cc6f8e43b60c</errorID>
      <errorWord>、</errorWord>
      <group>L1_Punc</group>
      <groupName>标点问题</groupName>
      <ability>L2_Punc</ability>
      <abilityName>标点符号检查</abilityName>
      <candidateList>
        <item>.</item>
      </candidateList>
      <explain/>
      <paraID>51716119</paraID>
      <start>1</start>
      <end>2</end>
      <status>unmodified</status>
      <modifiedWord/>
      <trackRevisions>false</trackRevisions>
    </reviewItem>
    <reviewItem>
      <errorID>e9690364-f8dd-4d0a-a78b-a2d2cdb7243c</errorID>
      <errorWord>、</errorWord>
      <group>L1_Punc</group>
      <groupName>标点问题</groupName>
      <ability>L2_Punc</ability>
      <abilityName>标点符号检查</abilityName>
      <candidateList>
        <item>.</item>
      </candidateList>
      <explain/>
      <paraID>5B80AF12</paraID>
      <start>1</start>
      <end>2</end>
      <status>unmodified</status>
      <modifiedWord/>
      <trackRevisions>false</trackRevisions>
    </reviewItem>
    <reviewItem>
      <errorID>88dd8a4f-7761-41cc-bd81-10f97af31bd1</errorID>
      <errorWord>、</errorWord>
      <group>L1_Punc</group>
      <groupName>标点问题</groupName>
      <ability>L2_Punc</ability>
      <abilityName>标点符号检查</abilityName>
      <candidateList>
        <item>.</item>
      </candidateList>
      <explain/>
      <paraID> 6A4F239</paraID>
      <start>1</start>
      <end>2</end>
      <status>unmodified</status>
      <modifiedWord/>
      <trackRevisions>false</trackRevisions>
    </reviewItem>
    <reviewItem>
      <errorID>839d2180-5ab5-4d6b-a934-a626a3bf91eb</errorID>
      <errorWord>、</errorWord>
      <group>L1_Punc</group>
      <groupName>标点问题</groupName>
      <ability>L2_Punc</ability>
      <abilityName>标点符号检查</abilityName>
      <candidateList>
        <item>.</item>
      </candidateList>
      <explain/>
      <paraID>2BA1A7EC</paraID>
      <start>1</start>
      <end>2</end>
      <status>unmodified</status>
      <modifiedWord/>
      <trackRevisions>false</trackRevisions>
    </reviewItem>
    <reviewItem>
      <errorID>5391491a-0368-4d25-9316-68ca049d2790</errorID>
      <errorWord>、</errorWord>
      <group>L1_Punc</group>
      <groupName>标点问题</groupName>
      <ability>L2_Punc</ability>
      <abilityName>标点符号检查</abilityName>
      <candidateList>
        <item>.</item>
      </candidateList>
      <explain/>
      <paraID>33594618</paraID>
      <start>1</start>
      <end>2</end>
      <status>unmodified</status>
      <modifiedWord/>
      <trackRevisions>false</trackRevisions>
    </reviewItem>
    <reviewItem>
      <errorID>eed19430-7872-459a-b6c9-343a8a358ef7</errorID>
      <errorWord>、</errorWord>
      <group>L1_Punc</group>
      <groupName>标点问题</groupName>
      <ability>L2_Punc</ability>
      <abilityName>标点符号检查</abilityName>
      <candidateList>
        <item>.</item>
      </candidateList>
      <explain/>
      <paraID> A845C4F</paraID>
      <start>1</start>
      <end>2</end>
      <status>unmodified</status>
      <modifiedWord/>
      <trackRevisions>false</trackRevisions>
    </reviewItem>
    <reviewItem>
      <errorID>3176239f-1ef5-482e-a1d3-3e168eafbaa4</errorID>
      <errorWord>、</errorWord>
      <group>L1_Punc</group>
      <groupName>标点问题</groupName>
      <ability>L2_Punc</ability>
      <abilityName>标点符号检查</abilityName>
      <candidateList>
        <item>.</item>
      </candidateList>
      <explain/>
      <paraID> 377BEC2</paraID>
      <start>1</start>
      <end>2</end>
      <status>unmodified</status>
      <modifiedWord/>
      <trackRevisions>false</trackRevisions>
    </reviewItem>
    <reviewItem>
      <errorID>48df549b-d04f-4072-91e4-539c83254d40</errorID>
      <errorWord>、</errorWord>
      <group>L1_Punc</group>
      <groupName>标点问题</groupName>
      <ability>L2_Punc</ability>
      <abilityName>标点符号检查</abilityName>
      <candidateList>
        <item>.</item>
      </candidateList>
      <explain/>
      <paraID>2585D7F9</paraID>
      <start>1</start>
      <end>2</end>
      <status>unmodified</status>
      <modifiedWord/>
      <trackRevisions>false</trackRevisions>
    </reviewItem>
    <reviewItem>
      <errorID>2ca1fa9b-f4d0-4a73-9fcc-eba5c65ce70c</errorID>
      <errorWord>、</errorWord>
      <group>L1_Punc</group>
      <groupName>标点问题</groupName>
      <ability>L2_Punc</ability>
      <abilityName>标点符号检查</abilityName>
      <candidateList>
        <item>.</item>
      </candidateList>
      <explain/>
      <paraID>29183521</paraID>
      <start>1</start>
      <end>2</end>
      <status>unmodified</status>
      <modifiedWord/>
      <trackRevisions>false</trackRevisions>
    </reviewItem>
    <reviewItem>
      <errorID>511469fb-7be9-44e3-ad95-6a763e2381a9</errorID>
      <errorWord>~</errorWord>
      <group>L1_Format</group>
      <groupName>格式问题</groupName>
      <ability>L2_HalfPunc</ability>
      <abilityName>全半角检查</abilityName>
      <candidateList>
        <item>～</item>
      </candidateList>
      <explain>文本全半角错误。</explain>
      <paraID>29183521</paraID>
      <start>32</start>
      <end>33</end>
      <status>ignored</status>
      <modifiedWord/>
      <trackRevisions>false</trackRevisions>
    </reviewItem>
    <reviewItem>
      <errorID>c40acaff-42c8-41f3-9781-d805fb1ab3fd</errorID>
      <errorWord>、</errorWord>
      <group>L1_Punc</group>
      <groupName>标点问题</groupName>
      <ability>L2_Punc</ability>
      <abilityName>标点符号检查</abilityName>
      <candidateList>
        <item>.</item>
      </candidateList>
      <explain/>
      <paraID>346551A6</paraID>
      <start>1</start>
      <end>2</end>
      <status>unmodified</status>
      <modifiedWord/>
      <trackRevisions>false</trackRevisions>
    </reviewItem>
    <reviewItem>
      <errorID>89573401-bd24-4e3b-b147-c5aa2414054b</errorID>
      <errorWord>、</errorWord>
      <group>L1_Punc</group>
      <groupName>标点问题</groupName>
      <ability>L2_Punc</ability>
      <abilityName>标点符号检查</abilityName>
      <candidateList>
        <item>.</item>
      </candidateList>
      <explain/>
      <paraID>41A589F8</paraID>
      <start>1</start>
      <end>2</end>
      <status>unmodified</status>
      <modifiedWord/>
      <trackRevisions>false</trackRevisions>
    </reviewItem>
    <reviewItem>
      <errorID>6207be0c-203d-4f45-bb98-390136f2cbbf</errorID>
      <errorWord>、</errorWord>
      <group>L1_Punc</group>
      <groupName>标点问题</groupName>
      <ability>L2_Punc</ability>
      <abilityName>标点符号检查</abilityName>
      <candidateList>
        <item>.</item>
      </candidateList>
      <explain/>
      <paraID>4ABDCB16</paraID>
      <start>1</start>
      <end>2</end>
      <status>unmodified</status>
      <modifiedWord/>
      <trackRevisions>false</trackRevisions>
    </reviewItem>
    <reviewItem>
      <errorID>61e9a709-5f34-4613-8cc8-7d27264341b3</errorID>
      <errorWord>、</errorWord>
      <group>L1_Punc</group>
      <groupName>标点问题</groupName>
      <ability>L2_Punc</ability>
      <abilityName>标点符号检查</abilityName>
      <candidateList>
        <item>.</item>
      </candidateList>
      <explain/>
      <paraID> 952B066</paraID>
      <start>1</start>
      <end>2</end>
      <status>unmodified</status>
      <modifiedWord/>
      <trackRevisions>false</trackRevisions>
    </reviewItem>
    <reviewItem>
      <errorID>5333cb6b-647f-447e-9361-19ae00f2395e</errorID>
      <errorWord>、</errorWord>
      <group>L1_Punc</group>
      <groupName>标点问题</groupName>
      <ability>L2_Punc</ability>
      <abilityName>标点符号检查</abilityName>
      <candidateList>
        <item>.</item>
      </candidateList>
      <explain/>
      <paraID>78406784</paraID>
      <start>1</start>
      <end>2</end>
      <status>unmodified</status>
      <modifiedWord/>
      <trackRevisions>false</trackRevisions>
    </reviewItem>
    <reviewItem>
      <errorID>87b5939d-e88c-44c1-bb73-044eea5ea994</errorID>
      <errorWord>、</errorWord>
      <group>L1_Punc</group>
      <groupName>标点问题</groupName>
      <ability>L2_Punc</ability>
      <abilityName>标点符号检查</abilityName>
      <candidateList>
        <item>.</item>
      </candidateList>
      <explain/>
      <paraID>4BDD77ED</paraID>
      <start>1</start>
      <end>2</end>
      <status>unmodified</status>
      <modifiedWord/>
      <trackRevisions>false</trackRevisions>
    </reviewItem>
    <reviewItem>
      <errorID>031f53e1-8d15-456c-8101-6e6c21978ef5</errorID>
      <errorWord>、</errorWord>
      <group>L1_Punc</group>
      <groupName>标点问题</groupName>
      <ability>L2_Punc</ability>
      <abilityName>标点符号检查</abilityName>
      <candidateList>
        <item>.</item>
      </candidateList>
      <explain/>
      <paraID>6D559BBF</paraID>
      <start>1</start>
      <end>2</end>
      <status>unmodified</status>
      <modifiedWord/>
      <trackRevisions>false</trackRevisions>
    </reviewItem>
    <reviewItem>
      <errorID>00d47345-2af0-4c78-8cd9-e1ec53708ad6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3548701</paraID>
      <start>0</start>
      <end>2</end>
      <status>ignored</status>
      <modifiedWord/>
      <trackRevisions>false</trackRevisions>
    </reviewItem>
    <reviewItem>
      <errorID>738e452a-83f3-4819-b6c1-7897d1f51c8e</errorID>
      <errorWord>使用</errorWord>
      <group>L1_Word</group>
      <groupName>字词问题</groupName>
      <ability>L2_Typo</ability>
      <abilityName>字词错误</abilityName>
      <candidateList>
        <item>适用</item>
      </candidateList>
      <explain>存在发音相同字词的误用。</explain>
      <paraID> 1CBC9F8</paraID>
      <start>4</start>
      <end>6</end>
      <status>unmodified</status>
      <modifiedWord/>
      <trackRevisions>false</trackRevisions>
    </reviewItem>
    <reviewItem>
      <errorID>ab8efa55-46f7-4693-9f45-786383c3b2e7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6E258A73</paraID>
      <start>0</start>
      <end>2</end>
      <status>ignored</status>
      <modifiedWord/>
      <trackRevisions>false</trackRevisions>
    </reviewItem>
    <reviewItem>
      <errorID>a9777ab6-a889-4309-a2f1-c7de3959e5bd</errorID>
      <errorWord>~</errorWord>
      <group>L1_Format</group>
      <groupName>格式问题</groupName>
      <ability>L2_HalfPunc</ability>
      <abilityName>全半角检查</abilityName>
      <candidateList>
        <item>～</item>
      </candidateList>
      <explain>文本全半角错误。</explain>
      <paraID>6C4C2962</paraID>
      <start>66</start>
      <end>67</end>
      <status>ignored</status>
      <modifiedWord/>
      <trackRevisions>false</trackRevisions>
    </reviewItem>
    <reviewItem>
      <errorID>0434757d-f2f7-46a1-adb6-4330fbce4232</errorID>
      <errorWord>种草</errorWord>
      <group>L1_Official</group>
      <groupName>公文问题</groupName>
      <ability>L2_Official</ability>
      <abilityName>公文问题</abilityName>
      <candidateList/>
      <explain>公文中禁止出现该词语</explain>
      <paraID>6C4C2962</paraID>
      <start>125</start>
      <end>127</end>
      <status>unmodified</status>
      <modifiedWord/>
      <trackRevisions>false</trackRevisions>
    </reviewItem>
    <reviewItem>
      <errorID>111c78dd-6e26-4ea2-942f-f0b03f7c3382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7FE6E976</paraID>
      <start>0</start>
      <end>2</end>
      <status>ignored</status>
      <modifiedWord/>
      <trackRevisions>false</trackRevisions>
    </reviewItem>
    <reviewItem>
      <errorID>90dffacc-1ec2-45e4-9e0f-946c35723a7a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C0459F2</paraID>
      <start>0</start>
      <end>2</end>
      <status>ignored</status>
      <modifiedWord/>
      <trackRevisions>false</trackRevisions>
    </reviewItem>
    <reviewItem>
      <errorID>7be3c85b-ea3a-4c16-91dd-f223febfb530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37708F06</paraID>
      <start>0</start>
      <end>2</end>
      <status>ignored</status>
      <modifiedWord/>
      <trackRevisions>false</trackRevisions>
    </reviewItem>
    <reviewItem>
      <errorID>475e52b6-945a-42dc-ae8f-d8f464e1d43b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32C7CF7</paraID>
      <start>0</start>
      <end>3</end>
      <status>ignored</status>
      <modifiedWord/>
      <trackRevisions>false</trackRevisions>
    </reviewItem>
    <reviewItem>
      <errorID>14f5c032-a787-4749-b029-7dfdc9ef030a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73696269</paraID>
      <start>0</start>
      <end>3</end>
      <status>unmodified</status>
      <modifiedWord/>
      <trackRevisions>false</trackRevisions>
    </reviewItem>
    <reviewItem>
      <errorID>92fe96ae-3e7c-45d6-aea7-057c54288c1d</errorID>
      <errorWord>防直</errorWord>
      <group>L1_Word</group>
      <groupName>字词问题</groupName>
      <ability>L2_Typo</ability>
      <abilityName>字词错误</abilityName>
      <candidateList>
        <item>防止</item>
      </candidateList>
      <explain>〈动〉预先设法制止（坏事发生）：～煤气中毒｜～交通事故。</explain>
      <paraID>6D6B25B8</paraID>
      <start>36</start>
      <end>38</end>
      <status>unmodified</status>
      <modifiedWord/>
      <trackRevisions>false</trackRevisions>
    </reviewItem>
    <reviewItem>
      <errorID>57d39a0a-cf2f-4b1b-a547-f0219526d3e5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232BA0E6</paraID>
      <start>0</start>
      <end>3</end>
      <status>unmodified</status>
      <modifiedWord/>
      <trackRevisions>false</trackRevisions>
    </reviewItem>
    <reviewItem>
      <errorID>63153dd1-c05e-44b4-a67d-fc82a136831f</errorID>
      <errorWord>程</errorWord>
      <group>L1_Word</group>
      <groupName>字词问题</groupName>
      <ability>L2_Typo</ability>
      <abilityName>字词错误</abilityName>
      <candidateList>
        <item>程中</item>
      </candidateList>
      <explain/>
      <paraID>67FBCD46</paraID>
      <start>34</start>
      <end>35</end>
      <status>ignored</status>
      <modifiedWord/>
      <trackRevisions>false</trackRevisions>
    </reviewItem>
    <reviewItem>
      <errorID>4ce846ba-0e85-49a2-ad50-75d0424871c0</errorID>
      <errorWord>密</errorWord>
      <group>L1_Word</group>
      <groupName>字词问题</groupName>
      <ability>L2_Typo</ability>
      <abilityName>字词错误</abilityName>
      <candidateList>
        <item>集</item>
      </candidateList>
      <explain/>
      <paraID>67FBCD46</paraID>
      <start>186</start>
      <end>187</end>
      <status>unmodified</status>
      <modifiedWord/>
      <trackRevisions>false</trackRevisions>
    </reviewItem>
    <reviewItem>
      <errorID>756f1aa2-c345-4a0d-8c87-65e8f5416516</errorID>
      <errorWord>厂家</errorWord>
      <group>L1_Word</group>
      <groupName>字词问题</groupName>
      <ability>L2_Typo</ability>
      <abilityName>字词错误</abilityName>
      <candidateList>
        <item>厂</item>
      </candidateList>
      <explain/>
      <paraID>2F3745AD</paraID>
      <start>66</start>
      <end>68</end>
      <status>ignored</status>
      <modifiedWord/>
      <trackRevisions>false</trackRevisions>
    </reviewItem>
    <reviewItem>
      <errorID>0a4c6ad9-fd3a-4ad9-9fb1-ca506d10891c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FE88616</paraID>
      <start>0</start>
      <end>3</end>
      <status>ignored</status>
      <modifiedWord/>
      <trackRevisions>false</trackRevisions>
    </reviewItem>
    <reviewItem>
      <errorID>0537e019-4ff1-4fa9-8a2a-a666ebf53521</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20AC4BA4</paraID>
      <start>10</start>
      <end>13</end>
      <status>ignored</status>
      <modifiedWord/>
      <trackRevisions>false</trackRevisions>
    </reviewItem>
    <reviewItem>
      <errorID>66b87ff0-4eee-437e-b002-615d721b2fab</errorID>
      <errorWord>方向上</errorWord>
      <group>L1_Word</group>
      <groupName>字词问题</groupName>
      <ability>L2_Typo</ability>
      <abilityName>字词错误</abilityName>
      <candidateList>
        <item>方向</item>
      </candidateList>
      <explain/>
      <paraID>20AC4BA4</paraID>
      <start>62</start>
      <end>65</end>
      <status>unmodified</status>
      <modifiedWord/>
      <trackRevisions>false</trackRevisions>
    </reviewItem>
    <reviewItem>
      <errorID>7504a3d0-420b-4ad2-a6ce-5de0dcad89c4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703C38D7</paraID>
      <start>0</start>
      <end>3</end>
      <status>ignored</status>
      <modifiedWord/>
      <trackRevisions>false</trackRevisions>
    </reviewItem>
    <reviewItem>
      <errorID>f3fcfa22-e0e2-486b-af63-1444ebc28b99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8E6EA0B</paraID>
      <start>0</start>
      <end>2</end>
      <status>ignored</status>
      <modifiedWord/>
      <trackRevisions>false</trackRevisions>
    </reviewItem>
    <reviewItem>
      <errorID>b967bfe0-f5ea-4264-9e50-1d74eb345258</errorID>
      <errorWord>程</errorWord>
      <group>L1_Word</group>
      <groupName>字词问题</groupName>
      <ability>L2_Typo</ability>
      <abilityName>字词错误</abilityName>
      <candidateList>
        <item>程中</item>
      </candidateList>
      <explain/>
      <paraID>3DAD0533</paraID>
      <start>12</start>
      <end>13</end>
      <status>ignored</status>
      <modifiedWord/>
      <trackRevisions>false</trackRevisions>
    </reviewItem>
    <reviewItem>
      <errorID>2aed6572-268a-4b00-9757-4e81acf3aa43</errorID>
      <errorWord>拌合</errorWord>
      <group>L1_Word</group>
      <groupName>字词问题</groupName>
      <ability>L2_Typo</ability>
      <abilityName>字词错误</abilityName>
      <candidateList>
        <item>拌和</item>
      </candidateList>
      <explain/>
      <paraID>329F175B</paraID>
      <start>38</start>
      <end>40</end>
      <status>unmodified</status>
      <modifiedWord/>
      <trackRevisions>false</trackRevisions>
    </reviewItem>
    <reviewItem>
      <errorID>cc9a6def-742f-4f30-ae4d-144ab4b894e1</errorID>
      <errorWord>位于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329F175B</paraID>
      <start>90</start>
      <end>92</end>
      <status>unmodified</status>
      <modifiedWord/>
      <trackRevisions>false</trackRevisions>
    </reviewItem>
    <reviewItem>
      <errorID>4397a120-5edb-4fc2-8fa2-700b621d50ca</errorID>
      <errorWord>设施</errorWord>
      <group>L1_Word</group>
      <groupName>字词问题</groupName>
      <ability>L2_Typo</ability>
      <abilityName>字词错误</abilityName>
      <candidateList>
        <item>设置</item>
      </candidateList>
      <explain>〈动〉❶设立：这座剧院是为儿童～的。❷安放；安装：～障碍。</explain>
      <paraID>6F4B0B47</paraID>
      <start>7</start>
      <end>9</end>
      <status>unmodified</status>
      <modifiedWord/>
      <trackRevisions>false</trackRevisions>
    </reviewItem>
    <reviewItem>
      <errorID>f8b67b71-4ded-45e8-b5da-787dafc9b63b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6C40E067</paraID>
      <start>0</start>
      <end>2</end>
      <status>ignored</status>
      <modifiedWord/>
      <trackRevisions>false</trackRevisions>
    </reviewItem>
    <reviewItem>
      <errorID>4fbc9d87-1b4b-406f-9d0e-11323499300e</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7A72CD71</paraID>
      <start>11</start>
      <end>14</end>
      <status>ignored</status>
      <modifiedWord/>
      <trackRevisions>false</trackRevisions>
    </reviewItem>
    <reviewItem>
      <errorID>2822cdf6-bf86-4c8f-8777-e8084e6abed9</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63864FB3</paraID>
      <start>98</start>
      <end>101</end>
      <status>ignored</status>
      <modifiedWord/>
      <trackRevisions>false</trackRevisions>
    </reviewItem>
    <reviewItem>
      <errorID>c6927050-d667-4002-9b20-8549ce58260f</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32509F5B</paraID>
      <start>6</start>
      <end>9</end>
      <status>ignored</status>
      <modifiedWord/>
      <trackRevisions>false</trackRevisions>
    </reviewItem>
    <reviewItem>
      <errorID>4e809344-8831-4133-a0dc-69fdba7348f4</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41103F75</paraID>
      <start>11</start>
      <end>14</end>
      <status>ignored</status>
      <modifiedWord/>
      <trackRevisions>false</trackRevisions>
    </reviewItem>
    <reviewItem>
      <errorID>d562c81f-54d6-4810-a0ec-7bd90c926bac</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49A5EE1D</paraID>
      <start>14</start>
      <end>17</end>
      <status>ignored</status>
      <modifiedWord/>
      <trackRevisions>false</trackRevisions>
    </reviewItem>
    <reviewItem>
      <errorID>6ed3f632-3d59-4db7-982e-5ac15444a438</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772CB1D1</paraID>
      <start>11</start>
      <end>14</end>
      <status>ignored</status>
      <modifiedWord/>
      <trackRevisions>false</trackRevisions>
    </reviewItem>
    <reviewItem>
      <errorID>3507dccc-b902-43b7-9950-042f69479980</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7EDEF72A</paraID>
      <start>14</start>
      <end>17</end>
      <status>ignored</status>
      <modifiedWord/>
      <trackRevisions>false</trackRevisions>
    </reviewItem>
    <reviewItem>
      <errorID>30faa7f0-62a7-44a0-80ae-9e0198ab085d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7E3ADB88</paraID>
      <start>67</start>
      <end>68</end>
      <status>unmodified</status>
      <modifiedWord/>
      <trackRevisions>false</trackRevisions>
    </reviewItem>
    <reviewItem>
      <errorID>eeb5b9fa-18b5-47d2-a5d3-1c45ac7ba50e</errorID>
      <errorWord>～</errorWord>
      <group>L1_Format</group>
      <groupName>格式问题</groupName>
      <ability>L2_HalfPunc</ability>
      <abilityName>全半角检查</abilityName>
      <candidateList>
        <item>~</item>
      </candidateList>
      <explain>文本全半角错误。</explain>
      <paraID>3D520115</paraID>
      <start>10</start>
      <end>11</end>
      <status>unmodified</status>
      <modifiedWord/>
      <trackRevisions>false</trackRevisions>
    </reviewItem>
    <reviewItem>
      <errorID>fd80864b-1af3-4512-b6c8-7d3d6de532ea</errorID>
      <errorWord>～</errorWord>
      <group>L1_Format</group>
      <groupName>格式问题</groupName>
      <ability>L2_HalfPunc</ability>
      <abilityName>全半角检查</abilityName>
      <candidateList>
        <item>~</item>
      </candidateList>
      <explain>文本全半角错误。</explain>
      <paraID>4CE70C2E</paraID>
      <start>10</start>
      <end>11</end>
      <status>unmodified</status>
      <modifiedWord/>
      <trackRevisions>false</trackRevisions>
    </reviewItem>
    <reviewItem>
      <errorID>3935c3df-b162-40ea-9933-bad3de3c86bc</errorID>
      <errorWord>～</errorWord>
      <group>L1_Format</group>
      <groupName>格式问题</groupName>
      <ability>L2_HalfPunc</ability>
      <abilityName>全半角检查</abilityName>
      <candidateList>
        <item>~</item>
      </candidateList>
      <explain>文本全半角错误。</explain>
      <paraID>3CA63325</paraID>
      <start>10</start>
      <end>11</end>
      <status>unmodified</status>
      <modifiedWord/>
      <trackRevisions>false</trackRevisions>
    </reviewItem>
    <reviewItem>
      <errorID>52e914e1-4a72-4081-94b8-829bcc42cf82</errorID>
      <errorWord>的的</errorWord>
      <group>L1_Word</group>
      <groupName>字词问题</groupName>
      <ability>L2_Typo</ability>
      <abilityName>字词错误</abilityName>
      <candidateList>
        <item>的</item>
      </candidateList>
      <explain>“的”常用于连接修饰语与名词性中心语，表示属性、所属或描述。</explain>
      <paraID>6A11D687</paraID>
      <start>55</start>
      <end>57</end>
      <status>unmodified</status>
      <modifiedWord/>
      <trackRevisions>false</trackRevisions>
    </reviewItem>
    <reviewItem>
      <errorID>c9ae5594-1861-4983-8c9a-07992ee20ee0</errorID>
      <errorWord>巍山县</errorWord>
      <group>L1_Knowledge</group>
      <groupName>知识性问题</groupName>
      <ability>L2_Location</ability>
      <abilityName>地名检查</abilityName>
      <candidateList>
        <item>巍山彝族回族自治县</item>
      </candidateList>
      <explain>自治区州县缩写不规范。《地名管理条例》第十八条规定，标识牌、公共平台发布的信息、各类公文证件、学习类公开出版物、地图、法律法规规定等场景范围内必须使用标准地名。</explain>
      <paraID>7378537A</paraID>
      <start>61</start>
      <end>64</end>
      <status>unmodified</status>
      <modifiedWord/>
      <trackRevisions>false</trackRevisions>
    </reviewItem>
    <reviewItem>
      <errorID>67f95155-8a02-41d7-ac2b-ba7c32cd9577</errorID>
      <errorWord>III类</errorWord>
      <group>L1_Knowledge</group>
      <groupName>知识性问题</groupName>
      <ability>L2_Knowledge</ability>
      <abilityName>其他知识</abilityName>
      <candidateList>
        <item>Ⅲ类</item>
      </candidateList>
      <explain/>
      <paraID>56AB1CD7</paraID>
      <start>0</start>
      <end>4</end>
      <status>unmodified</status>
      <modifiedWord/>
      <trackRevisions>false</trackRevisions>
    </reviewItem>
    <reviewItem>
      <errorID>9639aae0-f6b4-423d-a350-8192c95524c8</errorID>
      <errorWord>～</errorWord>
      <group>L1_Format</group>
      <groupName>格式问题</groupName>
      <ability>L2_HalfPunc</ability>
      <abilityName>全半角检查</abilityName>
      <candidateList>
        <item>~</item>
      </candidateList>
      <explain>文本全半角错误。</explain>
      <paraID>32B3A555</paraID>
      <start>1</start>
      <end>2</end>
      <status>unmodified</status>
      <modifiedWord/>
      <trackRevisions>false</trackRevisions>
    </reviewItem>
    <reviewItem>
      <errorID>073000ed-9581-4de4-b163-625e17506dd8</errorID>
      <errorWord>III类</errorWord>
      <group>L1_Knowledge</group>
      <groupName>知识性问题</groupName>
      <ability>L2_Knowledge</ability>
      <abilityName>其他知识</abilityName>
      <candidateList>
        <item>Ⅲ类</item>
      </candidateList>
      <explain/>
      <paraID>3F53297A</paraID>
      <start>0</start>
      <end>4</end>
      <status>unmodified</status>
      <modifiedWord/>
      <trackRevisions>false</trackRevisions>
    </reviewItem>
    <reviewItem>
      <errorID>d7404b27-eaf9-4992-aa7d-48b9246adb27</errorID>
      <errorWord>[2025]</errorWord>
      <group>L1_Punc</group>
      <groupName>标点问题</groupName>
      <ability>L2_Punc</ability>
      <abilityName>标点符号检查</abilityName>
      <candidateList>
        <item>〔2025〕</item>
      </candidateList>
      <explain/>
      <paraID>6F5557E9</paraID>
      <start>66</start>
      <end>72</end>
      <status>unmodified</status>
      <modifiedWord/>
      <trackRevisions>false</trackRevisions>
    </reviewItem>
    <reviewItem>
      <errorID>87ade80f-a697-4a1a-9fc6-7a4765333cb5</errorID>
      <errorWord>[2025]</errorWord>
      <group>L1_Punc</group>
      <groupName>标点问题</groupName>
      <ability>L2_Punc</ability>
      <abilityName>标点符号检查</abilityName>
      <candidateList>
        <item>〔2025〕</item>
      </candidateList>
      <explain/>
      <paraID>6F5557E9</paraID>
      <start>112</start>
      <end>118</end>
      <status>unmodified</status>
      <modifiedWord/>
      <trackRevisions>false</trackRevisions>
    </reviewItem>
    <reviewItem>
      <errorID>f32eb719-8187-45f2-9bd6-0d177b3bb16c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28DB7A20</paraID>
      <start>0</start>
      <end>2</end>
      <status>ignored</status>
      <modifiedWord/>
      <trackRevisions>false</trackRevisions>
    </reviewItem>
    <reviewItem>
      <errorID>eb1f004d-267f-42d2-8e38-cb7bbf128dc4</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1604A2E3</paraID>
      <start>11</start>
      <end>14</end>
      <status>ignored</status>
      <modifiedWord/>
      <trackRevisions>false</trackRevisions>
    </reviewItem>
    <reviewItem>
      <errorID>3f1370bc-2174-42cb-bebb-1553bc44a020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3714800E</paraID>
      <start>0</start>
      <end>2</end>
      <status>ignored</status>
      <modifiedWord/>
      <trackRevisions>false</trackRevisions>
    </reviewItem>
    <reviewItem>
      <errorID>5186d1f9-039e-434f-bd2b-95d1c50471d2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705FE4AC</paraID>
      <start>0</start>
      <end>2</end>
      <status>ignored</status>
      <modifiedWord/>
      <trackRevisions>false</trackRevisions>
    </reviewItem>
    <reviewItem>
      <errorID>f78b3223-9458-429a-8b61-986d9bb6840a</errorID>
      <errorWord>)</errorWord>
      <group>L1_Format</group>
      <groupName>格式问题</groupName>
      <ability>L2_HalfPunc</ability>
      <abilityName>全半角检查</abilityName>
      <candidateList>
        <item>）</item>
      </candidateList>
      <explain>文本全半角错误。</explain>
      <paraID>29D792DA</paraID>
      <start>45</start>
      <end>46</end>
      <status>modified</status>
      <modifiedWord>）</modifiedWord>
      <trackRevisions>false</trackRevisions>
    </reviewItem>
    <reviewItem>
      <errorID>f2e583dd-fdfa-46f5-922d-0d50bc348215</errorID>
      <errorWord>~</errorWord>
      <group>L1_Format</group>
      <groupName>格式问题</groupName>
      <ability>L2_HalfPunc</ability>
      <abilityName>全半角检查</abilityName>
      <candidateList>
        <item>～</item>
      </candidateList>
      <explain>文本全半角错误。</explain>
      <paraID>29D792DA</paraID>
      <start>86</start>
      <end>87</end>
      <status>ignored</status>
      <modifiedWord/>
      <trackRevisions>false</trackRevisions>
    </reviewItem>
    <reviewItem>
      <errorID>b81bc3d0-f1f4-488c-bd3f-0510db63b60e</errorID>
      <errorWord>40%~60%</errorWord>
      <group>L1_Knowledge</group>
      <groupName>知识性问题</groupName>
      <ability>L2_Knowledge</ability>
      <abilityName>其他知识</abilityName>
      <candidateList>
        <item>40%～60%</item>
      </candidateList>
      <explain>1. “40%~60%”中的单位“%”仅出现在后一个数字上，容易引起歧义；根据《现代汉语标点符号数字用法规范手册》，数字表示范围两边需要使用统一的格式。2. 根据标点国标 4.13 中的规则，数字、时间或地域连接符应使用（视觉上更长的）“—”或“～”。</explain>
      <paraID>29D792DA</paraID>
      <start>95</start>
      <end>102</end>
      <status>unmodified</status>
      <modifiedWord/>
      <trackRevisions>false</trackRevisions>
    </reviewItem>
    <reviewItem>
      <errorID>21d555aa-732d-4be2-954f-78a8f54535d9</errorID>
      <errorWord>)</errorWord>
      <group>L1_Format</group>
      <groupName>格式问题</groupName>
      <ability>L2_HalfPunc</ability>
      <abilityName>全半角检查</abilityName>
      <candidateList>
        <item>）</item>
      </candidateList>
      <explain>文本全半角错误。</explain>
      <paraID>29D792DA</paraID>
      <start>157</start>
      <end>158</end>
      <status>modified</status>
      <modifiedWord>）</modifiedWord>
      <trackRevisions>false</trackRevisions>
    </reviewItem>
    <reviewItem>
      <errorID>d69d0330-dd3e-4867-ac09-24d89e1ab7c4</errorID>
      <errorWord>)</errorWord>
      <group>L1_Format</group>
      <groupName>格式问题</groupName>
      <ability>L2_HalfPunc</ability>
      <abilityName>全半角检查</abilityName>
      <candidateList>
        <item>）</item>
      </candidateList>
      <explain>文本全半角错误。</explain>
      <paraID>29D792DA</paraID>
      <start>182</start>
      <end>183</end>
      <status>modified</status>
      <modifiedWord>）</modifiedWord>
      <trackRevisions>false</trackRevisions>
    </reviewItem>
    <reviewItem>
      <errorID>61d92d02-5a52-468f-8866-8cafccdd2437</errorID>
      <errorWord>)</errorWord>
      <group>L1_Format</group>
      <groupName>格式问题</groupName>
      <ability>L2_HalfPunc</ability>
      <abilityName>全半角检查</abilityName>
      <candidateList>
        <item>）</item>
      </candidateList>
      <explain>文本全半角错误。</explain>
      <paraID>29D792DA</paraID>
      <start>211</start>
      <end>212</end>
      <status>modified</status>
      <modifiedWord>）</modifiedWord>
      <trackRevisions>false</trackRevisions>
    </reviewItem>
    <reviewItem>
      <errorID>08a2d22c-e92c-483b-a386-f0dcfe5cd7aa</errorID>
      <errorWord>)</errorWord>
      <group>L1_Format</group>
      <groupName>格式问题</groupName>
      <ability>L2_HalfPunc</ability>
      <abilityName>全半角检查</abilityName>
      <candidateList>
        <item>）</item>
      </candidateList>
      <explain>文本全半角错误。</explain>
      <paraID>29D792DA</paraID>
      <start>228</start>
      <end>229</end>
      <status>modified</status>
      <modifiedWord>）</modifiedWord>
      <trackRevisions>false</trackRevisions>
    </reviewItem>
    <reviewItem>
      <errorID>f8cf830c-5de0-4c4c-bbf3-341549034a89</errorID>
      <errorWord>)</errorWord>
      <group>L1_Format</group>
      <groupName>格式问题</groupName>
      <ability>L2_HalfPunc</ability>
      <abilityName>全半角检查</abilityName>
      <candidateList>
        <item>）</item>
      </candidateList>
      <explain>文本全半角错误。</explain>
      <paraID>29D792DA</paraID>
      <start>247</start>
      <end>248</end>
      <status>modified</status>
      <modifiedWord>）</modifiedWord>
      <trackRevisions>false</trackRevisions>
    </reviewItem>
    <reviewItem>
      <errorID>1fd444d4-9dd5-4d4c-93d6-59c1eba67c7a</errorID>
      <errorWord>)</errorWord>
      <group>L1_Format</group>
      <groupName>格式问题</groupName>
      <ability>L2_HalfPunc</ability>
      <abilityName>全半角检查</abilityName>
      <candidateList>
        <item>）</item>
      </candidateList>
      <explain>文本全半角错误。</explain>
      <paraID>29D792DA</paraID>
      <start>277</start>
      <end>278</end>
      <status>modified</status>
      <modifiedWord>）</modifiedWord>
      <trackRevisions>false</trackRevisions>
    </reviewItem>
    <reviewItem>
      <errorID>cd9771c3-5a62-4436-8b87-7903aeeed5d4</errorID>
      <errorWord>)</errorWord>
      <group>L1_Format</group>
      <groupName>格式问题</groupName>
      <ability>L2_HalfPunc</ability>
      <abilityName>全半角检查</abilityName>
      <candidateList>
        <item>）</item>
      </candidateList>
      <explain>文本全半角错误。</explain>
      <paraID>29D792DA</paraID>
      <start>300</start>
      <end>301</end>
      <status>modified</status>
      <modifiedWord>）</modifiedWord>
      <trackRevisions>false</trackRevisions>
    </reviewItem>
    <reviewItem>
      <errorID>c499d34a-e4c2-4bdb-9472-286e20cad947</errorID>
      <errorWord>~</errorWord>
      <group>L1_Format</group>
      <groupName>格式问题</groupName>
      <ability>L2_HalfPunc</ability>
      <abilityName>全半角检查</abilityName>
      <candidateList>
        <item>～</item>
      </candidateList>
      <explain>文本全半角错误。</explain>
      <paraID>29D792DA</paraID>
      <start>335</start>
      <end>336</end>
      <status>ignored</status>
      <modifiedWord/>
      <trackRevisions>false</trackRevisions>
    </reviewItem>
    <reviewItem>
      <errorID>69003395-e673-42ab-aa4b-b28d5271d376</errorID>
      <errorWord>10%~40%</errorWord>
      <group>L1_Knowledge</group>
      <groupName>知识性问题</groupName>
      <ability>L2_Knowledge</ability>
      <abilityName>其他知识</abilityName>
      <candidateList>
        <item>10%～40%</item>
      </candidateList>
      <explain>1. “10%~40%”中的单位“%”仅出现在后一个数字上，容易引起歧义；根据《现代汉语标点符号数字用法规范手册》，数字表示范围两边需要使用统一的格式。2. 根据标点国标 4.13 中的规则，数字、时间或地域连接符应使用（视觉上更长的）“—”或“～”。</explain>
      <paraID>29D792DA</paraID>
      <start>343</start>
      <end>350</end>
      <status>unmodified</status>
      <modifiedWord/>
      <trackRevisions>false</trackRevisions>
    </reviewItem>
    <reviewItem>
      <errorID>7573a4a5-77fe-4b9d-8568-c8134537a48e</errorID>
      <errorWord>)</errorWord>
      <group>L1_Format</group>
      <groupName>格式问题</groupName>
      <ability>L2_HalfPunc</ability>
      <abilityName>全半角检查</abilityName>
      <candidateList>
        <item>）</item>
      </candidateList>
      <explain>文本全半角错误。</explain>
      <paraID>29D792DA</paraID>
      <start>376</start>
      <end>377</end>
      <status>modified</status>
      <modifiedWord>）</modifiedWord>
      <trackRevisions>false</trackRevisions>
    </reviewItem>
    <reviewItem>
      <errorID>37807638-abee-4e0f-803e-34e48b9f191a</errorID>
      <errorWord>)</errorWord>
      <group>L1_Format</group>
      <groupName>格式问题</groupName>
      <ability>L2_HalfPunc</ability>
      <abilityName>全半角检查</abilityName>
      <candidateList>
        <item>）</item>
      </candidateList>
      <explain>文本全半角错误。</explain>
      <paraID>29D792DA</paraID>
      <start>400</start>
      <end>401</end>
      <status>modified</status>
      <modifiedWord>）</modifiedWord>
      <trackRevisions>false</trackRevisions>
    </reviewItem>
    <reviewItem>
      <errorID>c3104e9d-b015-42ba-a38a-f81ee721c2a0</errorID>
      <errorWord>)</errorWord>
      <group>L1_Format</group>
      <groupName>格式问题</groupName>
      <ability>L2_HalfPunc</ability>
      <abilityName>全半角检查</abilityName>
      <candidateList>
        <item>）</item>
      </candidateList>
      <explain>文本全半角错误。</explain>
      <paraID>29D792DA</paraID>
      <start>424</start>
      <end>425</end>
      <status>modified</status>
      <modifiedWord>）</modifiedWord>
      <trackRevisions>false</trackRevisions>
    </reviewItem>
    <reviewItem>
      <errorID>bad409c8-f5b7-4f6c-9408-89f546003fd7</errorID>
      <errorWord>)</errorWord>
      <group>L1_Format</group>
      <groupName>格式问题</groupName>
      <ability>L2_HalfPunc</ability>
      <abilityName>全半角检查</abilityName>
      <candidateList>
        <item>）</item>
      </candidateList>
      <explain>文本全半角错误。</explain>
      <paraID>29D792DA</paraID>
      <start>453</start>
      <end>454</end>
      <status>modified</status>
      <modifiedWord>）</modifiedWord>
      <trackRevisions>false</trackRevisions>
    </reviewItem>
    <reviewItem>
      <errorID>56aed757-8309-4867-8889-dcc926f63be9</errorID>
      <errorWord>)</errorWord>
      <group>L1_Format</group>
      <groupName>格式问题</groupName>
      <ability>L2_HalfPunc</ability>
      <abilityName>全半角检查</abilityName>
      <candidateList>
        <item>）</item>
      </candidateList>
      <explain>文本全半角错误。</explain>
      <paraID>29D792DA</paraID>
      <start>482</start>
      <end>483</end>
      <status>modified</status>
      <modifiedWord>）</modifiedWord>
      <trackRevisions>false</trackRevisions>
    </reviewItem>
    <reviewItem>
      <errorID>e274f1f4-f662-49cd-8697-ea9499e6df8c</errorID>
      <errorWord>)</errorWord>
      <group>L1_Format</group>
      <groupName>格式问题</groupName>
      <ability>L2_HalfPunc</ability>
      <abilityName>全半角检查</abilityName>
      <candidateList>
        <item>）</item>
      </candidateList>
      <explain>文本全半角错误。</explain>
      <paraID>29D792DA</paraID>
      <start>544</start>
      <end>545</end>
      <status>modified</status>
      <modifiedWord>）</modifiedWord>
      <trackRevisions>false</trackRevisions>
    </reviewItem>
    <reviewItem>
      <errorID>f9a912eb-ed95-4966-b95a-ccff25358861</errorID>
      <errorWord>)</errorWord>
      <group>L1_Format</group>
      <groupName>格式问题</groupName>
      <ability>L2_HalfPunc</ability>
      <abilityName>全半角检查</abilityName>
      <candidateList>
        <item>）</item>
      </candidateList>
      <explain>文本全半角错误。</explain>
      <paraID>29D792DA</paraID>
      <start>570</start>
      <end>571</end>
      <status>modified</status>
      <modifiedWord>）</modifiedWord>
      <trackRevisions>false</trackRevisions>
    </reviewItem>
    <reviewItem>
      <errorID>56ccebd0-af55-4bf0-acad-f3c4f6fb4a16</errorID>
      <errorWord>)</errorWord>
      <group>L1_Format</group>
      <groupName>格式问题</groupName>
      <ability>L2_HalfPunc</ability>
      <abilityName>全半角检查</abilityName>
      <candidateList>
        <item>）</item>
      </candidateList>
      <explain>文本全半角错误。</explain>
      <paraID>29D792DA</paraID>
      <start>595</start>
      <end>596</end>
      <status>modified</status>
      <modifiedWord>）</modifiedWord>
      <trackRevisions>false</trackRevisions>
    </reviewItem>
    <reviewItem>
      <errorID>a94f8835-eafa-413f-8692-901c835ce26e</errorID>
      <errorWord>)</errorWord>
      <group>L1_Format</group>
      <groupName>格式问题</groupName>
      <ability>L2_HalfPunc</ability>
      <abilityName>全半角检查</abilityName>
      <candidateList>
        <item>）</item>
      </candidateList>
      <explain>文本全半角错误。</explain>
      <paraID>29D792DA</paraID>
      <start>618</start>
      <end>619</end>
      <status>modified</status>
      <modifiedWord>）</modifiedWord>
      <trackRevisions>false</trackRevisions>
    </reviewItem>
    <reviewItem>
      <errorID>1f3503a9-5a24-4148-bbda-45865b47afa3</errorID>
      <errorWord>)</errorWord>
      <group>L1_Format</group>
      <groupName>格式问题</groupName>
      <ability>L2_HalfPunc</ability>
      <abilityName>全半角检查</abilityName>
      <candidateList>
        <item>）</item>
      </candidateList>
      <explain>文本全半角错误。</explain>
      <paraID>29D792DA</paraID>
      <start>636</start>
      <end>637</end>
      <status>modified</status>
      <modifiedWord>）</modifiedWord>
      <trackRevisions>false</trackRevisions>
    </reviewItem>
    <reviewItem>
      <errorID>79c726d7-8b01-4796-a352-3e936e2aadb3</errorID>
      <errorWord>)</errorWord>
      <group>L1_Format</group>
      <groupName>格式问题</groupName>
      <ability>L2_HalfPunc</ability>
      <abilityName>全半角检查</abilityName>
      <candidateList>
        <item>）</item>
      </candidateList>
      <explain>文本全半角错误。</explain>
      <paraID>29D792DA</paraID>
      <start>659</start>
      <end>660</end>
      <status>modified</status>
      <modifiedWord>）</modifiedWord>
      <trackRevisions>false</trackRevisions>
    </reviewItem>
    <reviewItem>
      <errorID>f03b4e2b-5e5b-4789-bf0a-1e1e06afb969</errorID>
      <errorWord>)</errorWord>
      <group>L1_Format</group>
      <groupName>格式问题</groupName>
      <ability>L2_HalfPunc</ability>
      <abilityName>全半角检查</abilityName>
      <candidateList>
        <item>）</item>
      </candidateList>
      <explain>文本全半角错误。</explain>
      <paraID>29D792DA</paraID>
      <start>684</start>
      <end>685</end>
      <status>modified</status>
      <modifiedWord>）</modifiedWord>
      <trackRevisions>false</trackRevisions>
    </reviewItem>
    <reviewItem>
      <errorID>205b25e3-5417-443f-9a80-15ccf043c275</errorID>
      <errorWord>)</errorWord>
      <group>L1_Format</group>
      <groupName>格式问题</groupName>
      <ability>L2_HalfPunc</ability>
      <abilityName>全半角检查</abilityName>
      <candidateList>
        <item>）</item>
      </candidateList>
      <explain>文本全半角错误。</explain>
      <paraID>29D792DA</paraID>
      <start>702</start>
      <end>703</end>
      <status>modified</status>
      <modifiedWord>）</modifiedWord>
      <trackRevisions>false</trackRevisions>
    </reviewItem>
    <reviewItem>
      <errorID>4fd3f93b-295e-4c2f-b6cf-6e35647bb380</errorID>
      <errorWord>)</errorWord>
      <group>L1_Format</group>
      <groupName>格式问题</groupName>
      <ability>L2_HalfPunc</ability>
      <abilityName>全半角检查</abilityName>
      <candidateList>
        <item>）</item>
      </candidateList>
      <explain>文本全半角错误。</explain>
      <paraID>29D792DA</paraID>
      <start>727</start>
      <end>728</end>
      <status>modified</status>
      <modifiedWord>）</modifiedWord>
      <trackRevisions>false</trackRevisions>
    </reviewItem>
    <reviewItem>
      <errorID>cd79561d-e4f2-4809-8eaa-0aab3d766f1e</errorID>
      <errorWord>)</errorWord>
      <group>L1_Format</group>
      <groupName>格式问题</groupName>
      <ability>L2_HalfPunc</ability>
      <abilityName>全半角检查</abilityName>
      <candidateList>
        <item>）</item>
      </candidateList>
      <explain>文本全半角错误。</explain>
      <paraID>29D792DA</paraID>
      <start>747</start>
      <end>748</end>
      <status>modified</status>
      <modifiedWord>）</modifiedWord>
      <trackRevisions>false</trackRevisions>
    </reviewItem>
    <reviewItem>
      <errorID>a2f29b2a-2b15-4cac-852e-b3c838d4b365</errorID>
      <errorWord>)</errorWord>
      <group>L1_Format</group>
      <groupName>格式问题</groupName>
      <ability>L2_HalfPunc</ability>
      <abilityName>全半角检查</abilityName>
      <candidateList>
        <item>）</item>
      </candidateList>
      <explain>文本全半角错误。</explain>
      <paraID>29D792DA</paraID>
      <start>765</start>
      <end>766</end>
      <status>modified</status>
      <modifiedWord>）</modifiedWord>
      <trackRevisions>false</trackRevisions>
    </reviewItem>
    <reviewItem>
      <errorID>180ee350-e432-4c57-9818-3f1a0882026c</errorID>
      <errorWord>)</errorWord>
      <group>L1_Format</group>
      <groupName>格式问题</groupName>
      <ability>L2_HalfPunc</ability>
      <abilityName>全半角检查</abilityName>
      <candidateList>
        <item>）</item>
      </candidateList>
      <explain>文本全半角错误。</explain>
      <paraID>29D792DA</paraID>
      <start>817</start>
      <end>818</end>
      <status>modified</status>
      <modifiedWord>）</modifiedWord>
      <trackRevisions>false</trackRevisions>
    </reviewItem>
    <reviewItem>
      <errorID>8b46f1b5-1e6f-4b2a-abe5-d8aa9ed4aa82</errorID>
      <errorWord>)</errorWord>
      <group>L1_Format</group>
      <groupName>格式问题</groupName>
      <ability>L2_HalfPunc</ability>
      <abilityName>全半角检查</abilityName>
      <candidateList>
        <item>）</item>
      </candidateList>
      <explain>文本全半角错误。</explain>
      <paraID> 338067A</paraID>
      <start>61</start>
      <end>62</end>
      <status>modified</status>
      <modifiedWord>）</modifiedWord>
      <trackRevisions>false</trackRevisions>
    </reviewItem>
    <reviewItem>
      <errorID>6ad563d6-d2c8-4cf1-9af1-a69b2f3e667e</errorID>
      <errorWord>)</errorWord>
      <group>L1_Format</group>
      <groupName>格式问题</groupName>
      <ability>L2_HalfPunc</ability>
      <abilityName>全半角检查</abilityName>
      <candidateList>
        <item>）</item>
      </candidateList>
      <explain>文本全半角错误。</explain>
      <paraID> 338067A</paraID>
      <start>86</start>
      <end>87</end>
      <status>modified</status>
      <modifiedWord>）</modifiedWord>
      <trackRevisions>false</trackRevisions>
    </reviewItem>
    <reviewItem>
      <errorID>3f254cd8-2734-4c87-9505-79cf8070c6ae</errorID>
      <errorWord>)</errorWord>
      <group>L1_Format</group>
      <groupName>格式问题</groupName>
      <ability>L2_HalfPunc</ability>
      <abilityName>全半角检查</abilityName>
      <candidateList>
        <item>）</item>
      </candidateList>
      <explain>文本全半角错误。</explain>
      <paraID> 338067A</paraID>
      <start>126</start>
      <end>127</end>
      <status>modified</status>
      <modifiedWord>）</modifiedWord>
      <trackRevisions>false</trackRevisions>
    </reviewItem>
    <reviewItem>
      <errorID>e5f18d0f-9324-4eb2-b249-1c0d9f64f394</errorID>
      <errorWord>)</errorWord>
      <group>L1_Format</group>
      <groupName>格式问题</groupName>
      <ability>L2_HalfPunc</ability>
      <abilityName>全半角检查</abilityName>
      <candidateList>
        <item>）</item>
      </candidateList>
      <explain>文本全半角错误。</explain>
      <paraID> 338067A</paraID>
      <start>169</start>
      <end>170</end>
      <status>modified</status>
      <modifiedWord>）</modifiedWord>
      <trackRevisions>false</trackRevisions>
    </reviewItem>
    <reviewItem>
      <errorID>f4c4fb08-205c-49a1-9e61-d05444c3b2c2</errorID>
      <errorWord>(</errorWord>
      <group>L1_Format</group>
      <groupName>格式问题</groupName>
      <ability>L2_HalfPunc</ability>
      <abilityName>全半角检查</abilityName>
      <candidateList>
        <item>（</item>
      </candidateList>
      <explain>文本全半角错误。</explain>
      <paraID> 338067A</paraID>
      <start>173</start>
      <end>174</end>
      <status>modified</status>
      <modifiedWord>（</modifiedWord>
      <trackRevisions>false</trackRevisions>
    </reviewItem>
    <reviewItem>
      <errorID>1cd4eada-bad8-4436-aecb-7da4d87f3134</errorID>
      <errorWord>)</errorWord>
      <group>L1_Format</group>
      <groupName>格式问题</groupName>
      <ability>L2_HalfPunc</ability>
      <abilityName>全半角检查</abilityName>
      <candidateList>
        <item>）</item>
      </candidateList>
      <explain>文本全半角错误。</explain>
      <paraID> 338067A</paraID>
      <start>212</start>
      <end>213</end>
      <status>modified</status>
      <modifiedWord>）</modifiedWord>
      <trackRevisions>false</trackRevisions>
    </reviewItem>
    <reviewItem>
      <errorID>a414409a-b2d2-429e-9eea-95ee1f9fcb8a</errorID>
      <errorWord>)</errorWord>
      <group>L1_Format</group>
      <groupName>格式问题</groupName>
      <ability>L2_HalfPunc</ability>
      <abilityName>全半角检查</abilityName>
      <candidateList>
        <item>）</item>
      </candidateList>
      <explain>文本全半角错误。</explain>
      <paraID> 338067A</paraID>
      <start>261</start>
      <end>262</end>
      <status>modified</status>
      <modifiedWord>）</modifiedWord>
      <trackRevisions>false</trackRevisions>
    </reviewItem>
    <reviewItem>
      <errorID>1e8b46ed-1984-49ca-9311-9fac8ece7022</errorID>
      <errorWord>~</errorWord>
      <group>L1_Format</group>
      <groupName>格式问题</groupName>
      <ability>L2_HalfPunc</ability>
      <abilityName>全半角检查</abilityName>
      <candidateList>
        <item>～</item>
      </candidateList>
      <explain>文本全半角错误。</explain>
      <paraID> 338067A</paraID>
      <start>275</start>
      <end>276</end>
      <status>ignored</status>
      <modifiedWord/>
      <trackRevisions>false</trackRevisions>
    </reviewItem>
    <reviewItem>
      <errorID>e482e7b9-1d6b-4feb-ae42-d9714b449bf6</errorID>
      <errorWord>)</errorWord>
      <group>L1_Format</group>
      <groupName>格式问题</groupName>
      <ability>L2_HalfPunc</ability>
      <abilityName>全半角检查</abilityName>
      <candidateList>
        <item>）</item>
      </candidateList>
      <explain>文本全半角错误。</explain>
      <paraID> 338067A</paraID>
      <start>343</start>
      <end>344</end>
      <status>modified</status>
      <modifiedWord>）</modifiedWord>
      <trackRevisions>false</trackRevisions>
    </reviewItem>
    <reviewItem>
      <errorID>fe930e11-6229-44c2-99f5-124cdbcceb1d</errorID>
      <errorWord>)</errorWord>
      <group>L1_Format</group>
      <groupName>格式问题</groupName>
      <ability>L2_HalfPunc</ability>
      <abilityName>全半角检查</abilityName>
      <candidateList>
        <item>）</item>
      </candidateList>
      <explain>文本全半角错误。</explain>
      <paraID>20F6A964</paraID>
      <start>73</start>
      <end>74</end>
      <status>modified</status>
      <modifiedWord>）</modifiedWord>
      <trackRevisions>false</trackRevisions>
    </reviewItem>
    <reviewItem>
      <errorID>4406fdeb-b5cd-46bf-9ac1-f6765f67e833</errorID>
      <errorWord>)</errorWord>
      <group>L1_Format</group>
      <groupName>格式问题</groupName>
      <ability>L2_HalfPunc</ability>
      <abilityName>全半角检查</abilityName>
      <candidateList>
        <item>）</item>
      </candidateList>
      <explain>文本全半角错误。</explain>
      <paraID>20F6A964</paraID>
      <start>97</start>
      <end>98</end>
      <status>modified</status>
      <modifiedWord>）</modifiedWord>
      <trackRevisions>false</trackRevisions>
    </reviewItem>
    <reviewItem>
      <errorID>ceea59cb-ea29-46e4-a764-476c01f9aa77</errorID>
      <errorWord>)</errorWord>
      <group>L1_Format</group>
      <groupName>格式问题</groupName>
      <ability>L2_HalfPunc</ability>
      <abilityName>全半角检查</abilityName>
      <candidateList>
        <item>）</item>
      </candidateList>
      <explain>文本全半角错误。</explain>
      <paraID>20F6A964</paraID>
      <start>123</start>
      <end>124</end>
      <status>modified</status>
      <modifiedWord>）</modifiedWord>
      <trackRevisions>false</trackRevisions>
    </reviewItem>
    <reviewItem>
      <errorID>ae65b964-77c5-48b2-95af-8aa9546040f4</errorID>
      <errorWord>)</errorWord>
      <group>L1_Format</group>
      <groupName>格式问题</groupName>
      <ability>L2_HalfPunc</ability>
      <abilityName>全半角检查</abilityName>
      <candidateList>
        <item>）</item>
      </candidateList>
      <explain>文本全半角错误。</explain>
      <paraID>20F6A964</paraID>
      <start>148</start>
      <end>149</end>
      <status>modified</status>
      <modifiedWord>）</modifiedWord>
      <trackRevisions>false</trackRevisions>
    </reviewItem>
    <reviewItem>
      <errorID>cea4eac2-3567-41a6-a757-470ad959d319</errorID>
      <errorWord>~</errorWord>
      <group>L1_Format</group>
      <groupName>格式问题</groupName>
      <ability>L2_HalfPunc</ability>
      <abilityName>全半角检查</abilityName>
      <candidateList>
        <item>～</item>
      </candidateList>
      <explain>文本全半角错误。</explain>
      <paraID>20F6A964</paraID>
      <start>235</start>
      <end>236</end>
      <status>ignored</status>
      <modifiedWord/>
      <trackRevisions>false</trackRevisions>
    </reviewItem>
    <reviewItem>
      <errorID>27c428a9-f13e-44d4-88ca-c736a489189a</errorID>
      <errorWord>)</errorWord>
      <group>L1_Format</group>
      <groupName>格式问题</groupName>
      <ability>L2_HalfPunc</ability>
      <abilityName>全半角检查</abilityName>
      <candidateList>
        <item>）</item>
      </candidateList>
      <explain>文本全半角错误。</explain>
      <paraID>20F6A964</paraID>
      <start>279</start>
      <end>280</end>
      <status>modified</status>
      <modifiedWord>）</modifiedWord>
      <trackRevisions>false</trackRevisions>
    </reviewItem>
    <reviewItem>
      <errorID>fe378bc6-0a83-4c44-b87f-a001979b10b8</errorID>
      <errorWord>~</errorWord>
      <group>L1_Format</group>
      <groupName>格式问题</groupName>
      <ability>L2_HalfPunc</ability>
      <abilityName>全半角检查</abilityName>
      <candidateList>
        <item>～</item>
      </candidateList>
      <explain>文本全半角错误。</explain>
      <paraID>71CE4DE3</paraID>
      <start>5</start>
      <end>6</end>
      <status>ignored</status>
      <modifiedWord/>
      <trackRevisions>false</trackRevisions>
    </reviewItem>
    <reviewItem>
      <errorID>0f645ba4-9ecb-432c-9313-bd43cc68cfcb</errorID>
      <errorWord>杆</errorWord>
      <group>L1_Word</group>
      <groupName>字词问题</groupName>
      <ability>L2_Typo</ability>
      <abilityName>字词错误</abilityName>
      <candidateList>
        <item>秆</item>
      </candidateList>
      <explain/>
      <paraID>71CE4DE3</paraID>
      <start>68</start>
      <end>69</end>
      <status>unmodified</status>
      <modifiedWord/>
      <trackRevisions>false</trackRevisions>
    </reviewItem>
    <reviewItem>
      <errorID>bddfaf9e-445b-4a8e-9555-960216ea4326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71CE4DE3</paraID>
      <start>71</start>
      <end>72</end>
      <status>ignored</status>
      <modifiedWord/>
      <trackRevisions>false</trackRevisions>
    </reviewItem>
    <reviewItem>
      <errorID>72f038c5-c26d-4646-bd25-3aa3c1ba1216</errorID>
      <errorWord>)</errorWord>
      <group>L1_Format</group>
      <groupName>格式问题</groupName>
      <ability>L2_HalfPunc</ability>
      <abilityName>全半角检查</abilityName>
      <candidateList>
        <item>）</item>
      </candidateList>
      <explain>文本全半角错误。</explain>
      <paraID>71CE4DE3</paraID>
      <start>129</start>
      <end>130</end>
      <status>modified</status>
      <modifiedWord>）</modifiedWord>
      <trackRevisions>false</trackRevisions>
    </reviewItem>
    <reviewItem>
      <errorID>3d43be0f-0ee4-4597-99ce-d2c407e532e1</errorID>
      <errorWord>)</errorWord>
      <group>L1_Format</group>
      <groupName>格式问题</groupName>
      <ability>L2_HalfPunc</ability>
      <abilityName>全半角检查</abilityName>
      <candidateList>
        <item>）</item>
      </candidateList>
      <explain>文本全半角错误。</explain>
      <paraID>71CE4DE3</paraID>
      <start>146</start>
      <end>147</end>
      <status>modified</status>
      <modifiedWord>）</modifiedWord>
      <trackRevisions>false</trackRevisions>
    </reviewItem>
    <reviewItem>
      <errorID>9002ca02-95f0-407c-9b1e-039dff2ab8b7</errorID>
      <errorWord>III类</errorWord>
      <group>L1_Knowledge</group>
      <groupName>知识性问题</groupName>
      <ability>L2_Knowledge</ability>
      <abilityName>其他知识</abilityName>
      <candidateList>
        <item>Ⅲ类</item>
      </candidateList>
      <explain/>
      <paraID>3E36BA4D</paraID>
      <start>80</start>
      <end>84</end>
      <status>unmodified</status>
      <modifiedWord/>
      <trackRevisions>false</trackRevisions>
    </reviewItem>
    <reviewItem>
      <errorID>557f3256-400a-4376-b4d8-83a87a54e77d</errorID>
      <errorWord>III类</errorWord>
      <group>L1_Knowledge</group>
      <groupName>知识性问题</groupName>
      <ability>L2_Knowledge</ability>
      <abilityName>其他知识</abilityName>
      <candidateList>
        <item>Ⅲ类</item>
      </candidateList>
      <explain/>
      <paraID>7719AFD3</paraID>
      <start>24</start>
      <end>28</end>
      <status>unmodified</status>
      <modifiedWord/>
      <trackRevisions>false</trackRevisions>
    </reviewItem>
    <reviewItem>
      <errorID>fd3a2965-5028-48e7-8e2d-0d2befb48c4d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408E5261</paraID>
      <start>0</start>
      <end>2</end>
      <status>ignored</status>
      <modifiedWord/>
      <trackRevisions>false</trackRevisions>
    </reviewItem>
    <reviewItem>
      <errorID>247a6a1e-b468-4851-86d1-6c5f64bbb19d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2039D854</paraID>
      <start>0</start>
      <end>2</end>
      <status>ignored</status>
      <modifiedWord/>
      <trackRevisions>false</trackRevisions>
    </reviewItem>
    <reviewItem>
      <errorID>52cee99c-acd5-413d-a3c6-12ec125f8f37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7B685764</paraID>
      <start>0</start>
      <end>2</end>
      <status>ignored</status>
      <modifiedWord/>
      <trackRevisions>false</trackRevisions>
    </reviewItem>
    <reviewItem>
      <errorID>1043380f-a69e-409c-a7e3-0e3aecf3a3e9</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6C7AEBC7</paraID>
      <start>10</start>
      <end>13</end>
      <status>ignored</status>
      <modifiedWord/>
      <trackRevisions>false</trackRevisions>
    </reviewItem>
    <reviewItem>
      <errorID>deefce58-bafc-47ce-931a-a15e952c1b1a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3CCFBC88</paraID>
      <start>0</start>
      <end>2</end>
      <status>ignored</status>
      <modifiedWord/>
      <trackRevisions>false</trackRevisions>
    </reviewItem>
    <reviewItem>
      <errorID>ba494c4b-8b09-4dbe-bfd1-c566d03ba3ea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4366AF2F</paraID>
      <start>0</start>
      <end>2</end>
      <status>ignored</status>
      <modifiedWord/>
      <trackRevisions>false</trackRevisions>
    </reviewItem>
    <reviewItem>
      <errorID>a8144a09-59c1-4f2b-ade5-cc84daed454c</errorID>
      <errorWord>小</errorWord>
      <group>L1_Word</group>
      <groupName>字词问题</groupName>
      <ability>L2_Typo</ability>
      <abilityName>字词错误</abilityName>
      <candidateList>
        <item>少</item>
      </candidateList>
      <explain/>
      <paraID>1A62BAFB</paraID>
      <start>81</start>
      <end>82</end>
      <status>unmodified</status>
      <modifiedWord/>
      <trackRevisions>false</trackRevisions>
    </reviewItem>
    <reviewItem>
      <errorID>da606d0b-15f0-4890-8b0f-ea08d86903f4</errorID>
      <errorWord>措施后</errorWord>
      <group>L1_Word</group>
      <groupName>字词问题</groupName>
      <ability>L2_Typo</ability>
      <abilityName>字词错误</abilityName>
      <candidateList>
        <item>措施</item>
      </candidateList>
      <explain>〈名〉针对某种情况而采取的处理办法（用于较大的事情）：计划已经订出，～应该跟上。</explain>
      <paraID>1A62BAFB</paraID>
      <start>171</start>
      <end>174</end>
      <status>unmodified</status>
      <modifiedWord/>
      <trackRevisions>false</trackRevisions>
    </reviewItem>
    <reviewItem>
      <errorID>9cf5c9e1-7a0d-499b-a783-19ae23940ee5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1E9ABC09</paraID>
      <start>0</start>
      <end>2</end>
      <status>ignored</status>
      <modifiedWord/>
      <trackRevisions>false</trackRevisions>
    </reviewItem>
    <reviewItem>
      <errorID>f481ba0a-c44e-4759-a361-bff9a5ea2618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32F7C485</paraID>
      <start>0</start>
      <end>2</end>
      <status>ignored</status>
      <modifiedWord/>
      <trackRevisions>false</trackRevisions>
    </reviewItem>
    <reviewItem>
      <errorID>e0345255-f4a0-4973-a1d9-fa8a9e0dd06c</errorID>
      <errorWord>最大限度的减少</errorWord>
      <group>L1_Word</group>
      <groupName>字词问题</groupName>
      <ability>L2_Typo</ability>
      <abilityName>字词错误</abilityName>
      <candidateList>
        <item>最大限度地减少</item>
      </candidateList>
      <explain/>
      <paraID> 3B6AC98</paraID>
      <start>12</start>
      <end>19</end>
      <status>unmodified</status>
      <modifiedWord/>
      <trackRevisions>false</trackRevisions>
    </reviewItem>
    <reviewItem>
      <errorID>48eb8ece-087a-4654-9879-ffadd2201108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7FA07F6F</paraID>
      <start>0</start>
      <end>2</end>
      <status>ignored</status>
      <modifiedWord/>
      <trackRevisions>false</trackRevisions>
    </reviewItem>
    <reviewItem>
      <errorID>0171c092-fc61-46a6-b589-f77630978883</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1F5B285B</paraID>
      <start>82</start>
      <end>84</end>
      <status>unmodified</status>
      <modifiedWord/>
      <trackRevisions>false</trackRevisions>
    </reviewItem>
    <reviewItem>
      <errorID>f127d8e2-0c15-4376-90b1-b418fd35c78e</errorID>
      <errorWord>房屋量</errorWord>
      <group>L1_Word</group>
      <groupName>字词问题</groupName>
      <ability>L2_Typo</ability>
      <abilityName>字词错误</abilityName>
      <candidateList>
        <item>房屋</item>
      </candidateList>
      <explain/>
      <paraID>60F87EC5</paraID>
      <start>28</start>
      <end>31</end>
      <status>unmodified</status>
      <modifiedWord/>
      <trackRevisions>false</trackRevisions>
    </reviewItem>
    <reviewItem>
      <errorID>b4aac4ea-a996-4271-a231-647bc351d003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10D549E4</paraID>
      <start>0</start>
      <end>2</end>
      <status>ignored</status>
      <modifiedWord/>
      <trackRevisions>false</trackRevisions>
    </reviewItem>
    <reviewItem>
      <errorID>7039ab54-b828-4272-b353-48da49c23912</errorID>
      <errorWord>期</errorWord>
      <group>L1_Word</group>
      <groupName>字词问题</groupName>
      <ability>L2_Typo</ability>
      <abilityName>字词错误</abilityName>
      <candidateList>
        <item>期间</item>
      </candidateList>
      <explain>〈名〉某个时期里面：农忙～｜春节～｜抗战～。</explain>
      <paraID>32BC5902</paraID>
      <start>3</start>
      <end>4</end>
      <status>unmodified</status>
      <modifiedWord/>
      <trackRevisions>false</trackRevisions>
    </reviewItem>
    <reviewItem>
      <errorID>79f812c9-fc79-4e2b-b8e9-68b2a9ff722e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32BC5902</paraID>
      <start>17</start>
      <end>20</end>
      <status>ignored</status>
      <modifiedWord/>
      <trackRevisions>false</trackRevisions>
    </reviewItem>
    <reviewItem>
      <errorID>8009e8cb-71ad-45c3-8905-dc793dc96cb0</errorID>
      <errorWord>》</errorWord>
      <group>L1_Word</group>
      <groupName>字词问题</groupName>
      <ability>L2_Typo</ability>
      <abilityName>字词错误</abilityName>
      <candidateList>
        <item>》等</item>
      </candidateList>
      <explain/>
      <paraID>32BC5902</paraID>
      <start>35</start>
      <end>36</end>
      <status>unmodified</status>
      <modifiedWord/>
      <trackRevisions>false</trackRevisions>
    </reviewItem>
    <reviewItem>
      <errorID>000c6d84-0fc3-457e-a829-380d45dc666e</errorID>
      <errorWord>有关对</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32BC5902</paraID>
      <start>36</start>
      <end>39</end>
      <status>unmodified</status>
      <modifiedWord/>
      <trackRevisions>false</trackRevisions>
    </reviewItem>
    <reviewItem>
      <errorID>2a1aa10b-0f73-4db5-b391-72630ade3f0d</errorID>
      <errorWord>挽救</errorWord>
      <group>L1_Word</group>
      <groupName>字词问题</groupName>
      <ability>L2_Typo</ability>
      <abilityName>字词错误</abilityName>
      <candidateList>
        <item>抢救</item>
      </candidateList>
      <explain>〈动〉在紧急危险的情况下迅速救护：～伤员｜～危险的堤防。</explain>
      <paraID>32BC5902</paraID>
      <start>133</start>
      <end>135</end>
      <status>unmodified</status>
      <modifiedWord/>
      <trackRevisions>false</trackRevisions>
    </reviewItem>
    <reviewItem>
      <errorID>8188d895-c94c-4a21-91eb-4ca36e77f017</errorID>
      <errorWord>减小</errorWord>
      <group>L1_Word</group>
      <groupName>字词问题</groupName>
      <ability>L2_Typo</ability>
      <abilityName>字词错误</abilityName>
      <candidateList>
        <item>减少</item>
      </candidateList>
      <explain>存在字形相近字词的误用。</explain>
      <paraID>202E910B</paraID>
      <start>70</start>
      <end>72</end>
      <status>unmodified</status>
      <modifiedWord/>
      <trackRevisions>false</trackRevisions>
    </reviewItem>
    <reviewItem>
      <errorID>a9b10a05-7af7-4fc3-be6e-d064a6ccd0f9</errorID>
      <errorWord>种的</errorWord>
      <group>L1_Word</group>
      <groupName>字词问题</groupName>
      <ability>L2_Typo</ability>
      <abilityName>字词错误</abilityName>
      <candidateList>
        <item>种</item>
      </candidateList>
      <explain>（種）zhònɡ〈动〉种植：～田｜～麦子｜～棉花◇～牛痘。</explain>
      <paraID>202E910B</paraID>
      <start>107</start>
      <end>109</end>
      <status>unmodified</status>
      <modifiedWord/>
      <trackRevisions>false</trackRevisions>
    </reviewItem>
    <reviewItem>
      <errorID>512e27ab-6ea5-46f8-bc8b-941272a6d7cc</errorID>
      <errorWord>种草</errorWord>
      <group>L1_Official</group>
      <groupName>公文问题</groupName>
      <ability>L2_Official</ability>
      <abilityName>公文问题</abilityName>
      <candidateList/>
      <explain>公文中禁止出现该词语</explain>
      <paraID>202E910B</paraID>
      <start>119</start>
      <end>121</end>
      <status>unmodified</status>
      <modifiedWord/>
      <trackRevisions>false</trackRevisions>
    </reviewItem>
    <reviewItem>
      <errorID>d2a380ae-5d82-400c-a192-fcb6b9d89528</errorID>
      <errorWord>种草</errorWord>
      <group>L1_Official</group>
      <groupName>公文问题</groupName>
      <ability>L2_Official</ability>
      <abilityName>公文问题</abilityName>
      <candidateList/>
      <explain>公文中禁止出现该词语</explain>
      <paraID>202E910B</paraID>
      <start>134</start>
      <end>136</end>
      <status>unmodified</status>
      <modifiedWord/>
      <trackRevisions>false</trackRevisions>
    </reviewItem>
    <reviewItem>
      <errorID>50194858-d8e6-4007-8eef-888c6dd3c4ac</errorID>
      <errorWord>造成的</errorWord>
      <group>L1_Word</group>
      <groupName>字词问题</groupName>
      <ability>L2_Typo</ability>
      <abilityName>字词错误</abilityName>
      <candidateList>
        <item>造成</item>
      </candidateList>
      <explain/>
      <paraID>1FC86216</paraID>
      <start>26</start>
      <end>29</end>
      <status>unmodified</status>
      <modifiedWord/>
      <trackRevisions>false</trackRevisions>
    </reviewItem>
    <reviewItem>
      <errorID>e1f7cf9a-b820-4c74-a0d6-055909f0d988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6D0CFE70</paraID>
      <start>0</start>
      <end>2</end>
      <status>ignored</status>
      <modifiedWord/>
      <trackRevisions>false</trackRevisions>
    </reviewItem>
    <reviewItem>
      <errorID>d4623f21-25bc-4a59-8544-21e9ed666966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3C8E91F7</paraID>
      <start>26</start>
      <end>29</end>
      <status>ignored</status>
      <modifiedWord/>
      <trackRevisions>false</trackRevisions>
    </reviewItem>
    <reviewItem>
      <errorID>3ee66554-8361-447c-a594-44e748a36a55</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7E86D94F</paraID>
      <start>15</start>
      <end>18</end>
      <status>ignored</status>
      <modifiedWord/>
      <trackRevisions>false</trackRevisions>
    </reviewItem>
    <reviewItem>
      <errorID>134b8bf6-d874-4998-ba13-552d87729957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164BA5E9</paraID>
      <start>0</start>
      <end>2</end>
      <status>ignored</status>
      <modifiedWord/>
      <trackRevisions>false</trackRevisions>
    </reviewItem>
    <reviewItem>
      <errorID>01fe5d77-1273-4c87-b6df-6334a0475b19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7E93CDCB</paraID>
      <start>26</start>
      <end>29</end>
      <status>ignored</status>
      <modifiedWord/>
      <trackRevisions>false</trackRevisions>
    </reviewItem>
    <reviewItem>
      <errorID>21d258d9-d6ae-4221-9a72-876cfea2ab8e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79A60B9C</paraID>
      <start>0</start>
      <end>2</end>
      <status>ignored</status>
      <modifiedWord/>
      <trackRevisions>false</trackRevisions>
    </reviewItem>
    <reviewItem>
      <errorID>5b3fd817-f9a7-46d1-be55-fa56a3eb0e24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2902ABCD</paraID>
      <start>9</start>
      <end>10</end>
      <status>unmodified</status>
      <modifiedWord/>
      <trackRevisions>false</trackRevisions>
    </reviewItem>
    <reviewItem>
      <errorID>aa1edf27-9737-4c4c-9440-36503ccc4fbf</errorID>
      <errorWord>［</errorWord>
      <group>L1_Format</group>
      <groupName>格式问题</groupName>
      <ability>L2_HalfPunc</ability>
      <abilityName>全半角检查</abilityName>
      <candidateList>
        <item>[</item>
      </candidateList>
      <explain>文本全半角错误。</explain>
      <paraID>70C28AB4</paraID>
      <start>7</start>
      <end>8</end>
      <status>unmodified</status>
      <modifiedWord/>
      <trackRevisions>false</trackRevisions>
    </reviewItem>
    <reviewItem>
      <errorID>32ca1d6d-1ce4-4e7b-9f44-5995f0562c84</errorID>
      <errorWord>］</errorWord>
      <group>L1_Format</group>
      <groupName>格式问题</groupName>
      <ability>L2_HalfPunc</ability>
      <abilityName>全半角检查</abilityName>
      <candidateList>
        <item>]</item>
      </candidateList>
      <explain>文本全半角错误。</explain>
      <paraID>70C28AB4</paraID>
      <start>35</start>
      <end>36</end>
      <status>unmodified</status>
      <modifiedWord/>
      <trackRevisions>false</trackRevisions>
    </reviewItem>
    <reviewItem>
      <errorID>f794248f-f644-4d9d-82df-f5a81ef3f090</errorID>
      <errorWord>）</errorWord>
      <group>L1_Format</group>
      <groupName>格式问题</groupName>
      <ability>L2_HalfPunc</ability>
      <abilityName>全半角检查</abilityName>
      <candidateList>
        <item>)</item>
      </candidateList>
      <explain>文本全半角错误。</explain>
      <paraID>2AB930C2</paraID>
      <start>16</start>
      <end>17</end>
      <status>unmodified</status>
      <modifiedWord/>
      <trackRevisions>false</trackRevisions>
    </reviewItem>
    <reviewItem>
      <errorID>8afb1b65-9c21-483a-aa40-67bf00e5af94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76F6BE26</paraID>
      <start>0</start>
      <end>2</end>
      <status>ignored</status>
      <modifiedWord/>
      <trackRevisions>false</trackRevisions>
    </reviewItem>
    <reviewItem>
      <errorID>dca1087f-f4e3-4cde-8b61-a61ff085d79c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4E405578</paraID>
      <start>0</start>
      <end>2</end>
      <status>ignored</status>
      <modifiedWord/>
      <trackRevisions>false</trackRevisions>
    </reviewItem>
    <reviewItem>
      <errorID>5277be03-4ab0-4fdc-aa06-c4d1abf44548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661CA02A</paraID>
      <start>0</start>
      <end>2</end>
      <status>ignored</status>
      <modifiedWord/>
      <trackRevisions>false</trackRevisions>
    </reviewItem>
    <reviewItem>
      <errorID>8a3724fd-9aca-40e1-89ca-5f6dc84c0b69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77E8B892</paraID>
      <start>0</start>
      <end>2</end>
      <status>ignored</status>
      <modifiedWord/>
      <trackRevisions>false</trackRevisions>
    </reviewItem>
    <reviewItem>
      <errorID>cfcf07f1-e206-47aa-923e-856a1381c8d6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34529AB5</paraID>
      <start>0</start>
      <end>2</end>
      <status>ignored</status>
      <modifiedWord/>
      <trackRevisions>false</trackRevisions>
    </reviewItem>
    <reviewItem>
      <errorID>757673cc-2eb2-4e41-8a07-8565f3d94adc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967CC12</paraID>
      <start>21</start>
      <end>24</end>
      <status>ignored</status>
      <modifiedWord/>
      <trackRevisions>false</trackRevisions>
    </reviewItem>
    <reviewItem>
      <errorID>2b1e33ce-e1fb-46c8-83d5-09d58f52c2e8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5B8B1FC0</paraID>
      <start>0</start>
      <end>2</end>
      <status>ignored</status>
      <modifiedWord/>
      <trackRevisions>false</trackRevisions>
    </reviewItem>
    <reviewItem>
      <errorID>2419350f-13e7-440e-a550-e3dee3355cbe</errorID>
      <errorWord>《建设项目环境影响报告表编制技术指南  污染影响类》（试行）</errorWord>
      <group>L1_Knowledge</group>
      <groupName>知识性问题</groupName>
      <ability>L2_Knowledge</ability>
      <abilityName>其他知识</abilityName>
      <candidateList>
        <item>《建设项目环境影响报告表编制技术指南  污染影响类（试行）》</item>
      </candidateList>
      <explain>疑似政策文件、法律法规名称等书写不规范，请注意检查。</explain>
      <paraID> 34DE25E</paraID>
      <start>2</start>
      <end>32</end>
      <status>modified</status>
      <modifiedWord>《建设项目环境影响报告表编制技术指南  污染影响类（试行）》</modifiedWord>
      <trackRevisions>false</trackRevisions>
    </reviewItem>
    <reviewItem>
      <errorID>71db387c-d4c5-4dd5-8ca8-04d0258c5af9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6859FA18</paraID>
      <start>85</start>
      <end>86</end>
      <status>ignored</status>
      <modifiedWord/>
      <trackRevisions>false</trackRevisions>
    </reviewItem>
    <reviewItem>
      <errorID>d7da64e8-702a-43c2-946b-2dbddce924ee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6B236BF1</paraID>
      <start>0</start>
      <end>2</end>
      <status>ignored</status>
      <modifiedWord/>
      <trackRevisions>false</trackRevisions>
    </reviewItem>
    <reviewItem>
      <errorID>8590d895-4b69-4133-aa93-9614f8179fef</errorID>
      <errorWord>位</errorWord>
      <group>L1_Word</group>
      <groupName>字词问题</groupName>
      <ability>L2_Typo</ability>
      <abilityName>字词错误</abilityName>
      <candidateList>
        <item>位要</item>
      </candidateList>
      <explain/>
      <paraID>155B10D4</paraID>
      <start>72</start>
      <end>73</end>
      <status>unmodified</status>
      <modifiedWord/>
      <trackRevisions>false</trackRevisions>
    </reviewItem>
    <reviewItem>
      <errorID>2a547c06-7738-43f8-9205-377f3e8cc2a9</errorID>
      <errorWord>提高</errorWord>
      <group>L1_Grammar</group>
      <groupName>语法问题</groupName>
      <ability>L2_Grammar</ability>
      <abilityName>语法错误</abilityName>
      <candidateList>
        <item>增强</item>
      </candidateList>
      <explain>“提高～意识”搭配不当，建议修改为“增强～意识”。</explain>
      <paraID>155B10D4</paraID>
      <start>78</start>
      <end>80</end>
      <status>unmodified</status>
      <modifiedWord/>
      <trackRevisions>false</trackRevisions>
    </reviewItem>
    <reviewItem>
      <errorID>226eb186-29e2-4b40-90de-b45fc9abecc2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5E5CDE09</paraID>
      <start>0</start>
      <end>2</end>
      <status>ignored</status>
      <modifiedWord/>
      <trackRevisions>false</trackRevisions>
    </reviewItem>
    <reviewItem>
      <errorID>07e2fa63-0b51-4bc5-91ab-cefaf8d31b59</errorID>
      <errorWord>（</errorWord>
      <group>L1_Punc</group>
      <groupName>标点问题</groupName>
      <ability>L2_Punc</ability>
      <abilityName>标点符号检查</abilityName>
      <candidateList/>
      <explain>同一形式括号套用。</explain>
      <paraID>7D2F043F</paraID>
      <start>152</start>
      <end>153</end>
      <status>unmodified</status>
      <modifiedWord/>
      <trackRevisions>false</trackRevisions>
    </reviewItem>
    <reviewItem>
      <errorID>25299f0b-7364-43bc-88fa-31671db6a1fa</errorID>
      <errorWord>）</errorWord>
      <group>L1_Punc</group>
      <groupName>标点问题</groupName>
      <ability>L2_Punc</ability>
      <abilityName>标点符号检查</abilityName>
      <candidateList/>
      <explain>同一形式括号套用。</explain>
      <paraID>7D2F043F</paraID>
      <start>158</start>
      <end>159</end>
      <status>unmodified</status>
      <modifiedWord/>
      <trackRevisions>false</trackRevisions>
    </reviewItem>
    <reviewItem>
      <errorID>d2abec39-7887-4c9a-93bb-b61573d2a407</errorID>
      <errorWord>~</errorWord>
      <group>L1_Format</group>
      <groupName>格式问题</groupName>
      <ability>L2_HalfPunc</ability>
      <abilityName>全半角检查</abilityName>
      <candidateList>
        <item>～</item>
      </candidateList>
      <explain>文本全半角错误。</explain>
      <paraID>135BEF0C</paraID>
      <start>100</start>
      <end>101</end>
      <status>ignored</status>
      <modifiedWord/>
      <trackRevisions>false</trackRevisions>
    </reviewItem>
    <reviewItem>
      <errorID>7f983c2b-ee16-42cd-9dde-f24430d6f30f</errorID>
      <errorWord>~</errorWord>
      <group>L1_Format</group>
      <groupName>格式问题</groupName>
      <ability>L2_HalfPunc</ability>
      <abilityName>全半角检查</abilityName>
      <candidateList>
        <item>～</item>
      </candidateList>
      <explain>文本全半角错误。</explain>
      <paraID>135BEF0C</paraID>
      <start>238</start>
      <end>239</end>
      <status>ignored</status>
      <modifiedWord/>
      <trackRevisions>false</trackRevisions>
    </reviewItem>
    <reviewItem>
      <errorID>ab956d29-a888-4177-a731-af17710a3692</errorID>
      <errorWord>~</errorWord>
      <group>L1_Format</group>
      <groupName>格式问题</groupName>
      <ability>L2_HalfPunc</ability>
      <abilityName>全半角检查</abilityName>
      <candidateList>
        <item>～</item>
      </candidateList>
      <explain>文本全半角错误。</explain>
      <paraID>135BEF0C</paraID>
      <start>261</start>
      <end>262</end>
      <status>ignored</status>
      <modifiedWord/>
      <trackRevisions>false</trackRevisions>
    </reviewItem>
    <reviewItem>
      <errorID>5a2556d5-a415-42ac-bcc4-575f8ab1be74</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56353F84</paraID>
      <start>61</start>
      <end>64</end>
      <status>ignored</status>
      <modifiedWord/>
      <trackRevisions>false</trackRevisions>
    </reviewItem>
    <reviewItem>
      <errorID>42c63721-754f-47a9-8b78-51bb32e75a23</errorID>
      <errorWord>法律、法规</errorWord>
      <group>L1_Word</group>
      <groupName>字词问题</groupName>
      <ability>L2_Typo</ability>
      <abilityName>字词错误</abilityName>
      <candidateList>
        <item>法律法规</item>
      </candidateList>
      <explain/>
      <paraID>56353F84</paraID>
      <start>265</start>
      <end>269</end>
      <status>modified</status>
      <modifiedWord>法律法规</modifiedWord>
      <trackRevisions>false</trackRevisions>
    </reviewItem>
    <reviewItem>
      <errorID>82a1c652-9e35-47e7-a62c-01e5904d77a2</errorID>
      <errorWord>）</errorWord>
      <group>L1_Word</group>
      <groupName>字词问题</groupName>
      <ability>L2_Typo</ability>
      <abilityName>字词错误</abilityName>
      <candidateList>
        <item>）将</item>
      </candidateList>
      <explain/>
      <paraID>3ABBD864</paraID>
      <start>29</start>
      <end>30</end>
      <status>unmodified</status>
      <modifiedWord/>
      <trackRevisions>false</trackRevisions>
    </reviewItem>
    <reviewItem>
      <errorID>31d4716d-ca21-4789-b57f-e3c1260a3034</errorID>
      <errorWord>…，</errorWord>
      <group>L1_Punc</group>
      <groupName>标点问题</groupName>
      <ability>L2_Punc</ability>
      <abilityName>标点符号检查</abilityName>
      <candidateList>
        <item>…</item>
      </candidateList>
      <explain/>
      <paraID>4858839C</paraID>
      <start>5</start>
      <end>7</end>
      <status>unmodified</status>
      <modifiedWord/>
      <trackRevisions>false</trackRevisions>
    </reviewItem>
    <reviewItem>
      <errorID>b0bd0730-17d5-49d4-bee7-b4b10e1b6af9</errorID>
      <errorWord>…，</errorWord>
      <group>L1_Punc</group>
      <groupName>标点问题</groupName>
      <ability>L2_Punc</ability>
      <abilityName>标点符号检查</abilityName>
      <candidateList>
        <item>…</item>
      </candidateList>
      <explain/>
      <paraID>412BE0B3</paraID>
      <start>5</start>
      <end>7</end>
      <status>unmodified</status>
      <modifiedWord/>
      <trackRevisions>false</trackRevisions>
    </reviewItem>
    <reviewItem>
      <errorID>a62791e2-a92d-476d-a0b2-937b571036e4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2E4D3619</paraID>
      <start>0</start>
      <end>2</end>
      <status>ignored</status>
      <modifiedWord/>
      <trackRevisions>false</trackRevisions>
    </reviewItem>
    <reviewItem>
      <errorID>514b85f4-245a-4421-a59c-c6633c8a4115</errorID>
      <errorWord>下于</errorWord>
      <group>L1_Word</group>
      <groupName>字词问题</groupName>
      <ability>L2_Typo</ability>
      <abilityName>字词错误</abilityName>
      <candidateList>
        <item>小于</item>
      </candidateList>
      <explain>存在发音相近字词的误用。</explain>
      <paraID>573295DB</paraID>
      <start>124</start>
      <end>126</end>
      <status>unmodified</status>
      <modifiedWord/>
      <trackRevisions>false</trackRevisions>
    </reviewItem>
    <reviewItem>
      <errorID>ac236d89-5085-4dc0-b10b-8f188a1679b6</errorID>
      <errorWord>-</errorWord>
      <group>L1_Format</group>
      <groupName>格式问题</groupName>
      <ability>L2_HalfPunc</ability>
      <abilityName>全半角检查</abilityName>
      <candidateList>
        <item>－</item>
      </candidateList>
      <explain>文本全半角错误。</explain>
      <paraID>2C881421</paraID>
      <start>71</start>
      <end>72</end>
      <status>unmodified</status>
      <modifiedWord/>
      <trackRevisions>false</trackRevisions>
    </reviewItem>
    <reviewItem>
      <errorID>c5c3785f-ad0f-42ea-a7b3-d77af50f2325</errorID>
      <errorWord>网路</errorWord>
      <group>L1_Word</group>
      <groupName>字词问题</groupName>
      <ability>L2_Alias</ability>
      <abilityName>也作/曾用词</abilityName>
      <candidateList>
        <item>网络</item>
      </candidateList>
      <explain>词汇[网路]为不规范表述或旧称，其规范书面表述为[网络]。</explain>
      <paraID>2C881421</paraID>
      <start>87</start>
      <end>89</end>
      <status>unmodified</status>
      <modifiedWord/>
      <trackRevisions>false</trackRevisions>
    </reviewItem>
    <reviewItem>
      <errorID>b8d18924-8a42-4e09-89c1-0ef230139fae</errorID>
      <errorWord>几率</errorWord>
      <group>L1_Word</group>
      <groupName>字词问题</groupName>
      <ability>L2_Typo</ability>
      <abilityName>字词错误</abilityName>
      <candidateList>
        <item>概率</item>
      </candidateList>
      <explain/>
      <paraID>2C881421</paraID>
      <start>147</start>
      <end>149</end>
      <status>unmodified</status>
      <modifiedWord/>
      <trackRevisions>false</trackRevisions>
    </reviewItem>
    <reviewItem>
      <errorID>e6657773-bb4e-4034-a55a-f57fd3c969b0</errorID>
      <errorWord>紫绀</errorWord>
      <group>L1_Knowledge</group>
      <groupName>知识性问题</groupName>
      <ability>L2_Term</ability>
      <abilityName>专业术语</abilityName>
      <candidateList>
        <item>发绀</item>
      </candidateList>
      <explain>医学名词[紫绀]为不规范表述或旧称，其规范书面表述为[发绀]。</explain>
      <paraID> 5EFDA0E</paraID>
      <start>72</start>
      <end>74</end>
      <status>unmodified</status>
      <modifiedWord/>
      <trackRevisions>false</trackRevisions>
    </reviewItem>
    <reviewItem>
      <errorID>96fb1f91-4890-4ab0-81a4-56ef3f45eae8</errorID>
      <errorWord>,</errorWord>
      <group>L1_Format</group>
      <groupName>格式问题</groupName>
      <ability>L2_HalfPunc</ability>
      <abilityName>全半角检查</abilityName>
      <candidateList>
        <item>，</item>
      </candidateList>
      <explain>文本全半角错误。</explain>
      <paraID>41B28BFE</paraID>
      <start>84</start>
      <end>85</end>
      <status>unmodified</status>
      <modifiedWord/>
      <trackRevisions>false</trackRevisions>
    </reviewItem>
    <reviewItem>
      <errorID>26df0a54-ef13-4d8a-b546-81bf52d50210</errorID>
      <errorWord>磨擦</errorWord>
      <group>L1_Word</group>
      <groupName>字词问题</groupName>
      <ability>L2_Variant</ability>
      <abilityName>异形词</abilityName>
      <candidateList>
        <item>摩擦</item>
      </candidateList>
      <explain>词汇[磨擦]的规范词形写作[摩擦]。</explain>
      <paraID>645A103B</paraID>
      <start>13</start>
      <end>15</end>
      <status>unmodified</status>
      <modifiedWord/>
      <trackRevisions>false</trackRevisions>
    </reviewItem>
    <reviewItem>
      <errorID>baa92183-50d4-4b9b-be9e-feffcec6c10e</errorID>
      <errorWord>：</errorWord>
      <group>L1_Format</group>
      <groupName>格式问题</groupName>
      <ability>L2_HalfPunc</ability>
      <abilityName>全半角检查</abilityName>
      <candidateList>
        <item>:</item>
      </candidateList>
      <explain>文本全半角错误。</explain>
      <paraID>16A54D65</paraID>
      <start>35</start>
      <end>36</end>
      <status>modified</status>
      <modifiedWord>:</modifiedWord>
      <trackRevisions>false</trackRevisions>
    </reviewItem>
    <reviewItem>
      <errorID>248e71a9-4149-4b0c-8e94-fc60ddcb5a40</errorID>
      <errorWord>定位</errorWord>
      <group>L1_Word</group>
      <groupName>字词问题</groupName>
      <ability>L2_Typo</ability>
      <abilityName>字词错误</abilityName>
      <candidateList>
        <item>定为</item>
      </candidateList>
      <explain/>
      <paraID>7B051511</paraID>
      <start>64</start>
      <end>66</end>
      <status>unmodified</status>
      <modifiedWord/>
      <trackRevisions>false</trackRevisions>
    </reviewItem>
    <reviewItem>
      <errorID>3a81a894-3a0c-44db-af78-06ef2dbafaf6</errorID>
      <errorWord>…，</errorWord>
      <group>L1_Punc</group>
      <groupName>标点问题</groupName>
      <ability>L2_Punc</ability>
      <abilityName>标点符号检查</abilityName>
      <candidateList>
        <item>…</item>
      </candidateList>
      <explain/>
      <paraID>272DCD97</paraID>
      <start>5</start>
      <end>7</end>
      <status>unmodified</status>
      <modifiedWord/>
      <trackRevisions>false</trackRevisions>
    </reviewItem>
    <reviewItem>
      <errorID>2b7d5e12-e1ab-425c-846c-bb276a45ff0c</errorID>
      <errorWord>（</errorWord>
      <group>L1_Format</group>
      <groupName>格式问题</groupName>
      <ability>L2_HalfPunc</ability>
      <abilityName>全半角检查</abilityName>
      <candidateList>
        <item>(</item>
      </candidateList>
      <explain>文本全半角错误。</explain>
      <paraID>4C5BAFA5</paraID>
      <start>0</start>
      <end>1</end>
      <status>unmodified</status>
      <modifiedWord/>
      <trackRevisions>false</trackRevisions>
    </reviewItem>
    <reviewItem>
      <errorID>7ba8d84c-b3e7-4bf4-ae9b-a166e1e4c1a9</errorID>
      <errorWord>）</errorWord>
      <group>L1_Format</group>
      <groupName>格式问题</groupName>
      <ability>L2_HalfPunc</ability>
      <abilityName>全半角检查</abilityName>
      <candidateList>
        <item>)</item>
      </candidateList>
      <explain>文本全半角错误。</explain>
      <paraID>4C5BAFA5</paraID>
      <start>2</start>
      <end>3</end>
      <status>unmodified</status>
      <modifiedWord/>
      <trackRevisions>false</trackRevisions>
    </reviewItem>
    <reviewItem>
      <errorID>a634f33e-552b-468e-9648-1a88adb301e2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1CDF104E</paraID>
      <start>0</start>
      <end>2</end>
      <status>ignored</status>
      <modifiedWord/>
      <trackRevisions>false</trackRevisions>
    </reviewItem>
    <reviewItem>
      <errorID>9af1ee33-dddc-446f-b83e-8f136c094aec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1DE1B03E</paraID>
      <start>0</start>
      <end>2</end>
      <status>ignored</status>
      <modifiedWord/>
      <trackRevisions>false</trackRevisions>
    </reviewItem>
    <reviewItem>
      <errorID>33355cac-9ef9-4e8d-8cd3-136b3e1cc5ee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34547340</paraID>
      <start>0</start>
      <end>2</end>
      <status>ignored</status>
      <modifiedWord/>
      <trackRevisions>false</trackRevisions>
    </reviewItem>
    <reviewItem>
      <errorID>5f720b6d-97e5-4245-a04e-a1e87fbb9986</errorID>
      <errorWord>私制</errorWord>
      <group>L1_Word</group>
      <groupName>字词问题</groupName>
      <ability>L2_Typo</ability>
      <abilityName>字词错误</abilityName>
      <candidateList>
        <item>私藏</item>
      </candidateList>
      <explain/>
      <paraID>477D6FFE</paraID>
      <start>204</start>
      <end>206</end>
      <status>unmodified</status>
      <modifiedWord/>
      <trackRevisions>false</trackRevisions>
    </reviewItem>
    <reviewItem>
      <errorID>a138202e-a443-4716-80f4-744354d2486e</errorID>
      <errorWord>糖元</errorWord>
      <group>L1_Word</group>
      <groupName>字词问题</groupName>
      <ability>L2_Alias</ability>
      <abilityName>也作/曾用词</abilityName>
      <candidateList>
        <item>糖原</item>
      </candidateList>
      <explain>词汇[糖元]为不规范表述或旧称，其规范书面表述为[糖原]。</explain>
      <paraID>66271EC1</paraID>
      <start>65</start>
      <end>67</end>
      <status>unmodified</status>
      <modifiedWord/>
      <trackRevisions>false</trackRevisions>
    </reviewItem>
    <reviewItem>
      <errorID>c5512d71-fae7-48f0-a0f4-01df2fe0d699</errorID>
      <errorWord>四迭体</errorWord>
      <group>L1_Word</group>
      <groupName>字词问题</groupName>
      <ability>L2_Typo</ability>
      <abilityName>字词错误</abilityName>
      <candidateList>
        <item>四叠体</item>
      </candidateList>
      <explain>存在发音相同字词的误用。</explain>
      <paraID>66271EC1</paraID>
      <start>168</start>
      <end>171</end>
      <status>unmodified</status>
      <modifiedWord/>
      <trackRevisions>false</trackRevisions>
    </reviewItem>
    <reviewItem>
      <errorID>c3344f19-7416-4ea9-ad81-a57f685117e6</errorID>
      <errorWord>肝糖元</errorWord>
      <group>L1_Word</group>
      <groupName>字词问题</groupName>
      <ability>L2_Alias</ability>
      <abilityName>也作/曾用词</abilityName>
      <candidateList>
        <item>肝糖原</item>
      </candidateList>
      <explain>词汇[肝糖元]为不规范表述或旧称，其规范书面表述为[肝糖原]。</explain>
      <paraID>66271EC1</paraID>
      <start>181</start>
      <end>184</end>
      <status>unmodified</status>
      <modifiedWord/>
      <trackRevisions>false</trackRevisions>
    </reviewItem>
    <reviewItem>
      <errorID>7aac217d-3953-4355-b6c9-a10707f459bd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774C167D</paraID>
      <start>17</start>
      <end>20</end>
      <status>unmodified</status>
      <modifiedWord/>
      <trackRevisions>false</trackRevisions>
    </reviewItem>
    <reviewItem>
      <errorID>4ec9f12f-d198-4efb-9430-3ec660ba2d52</errorID>
      <errorWord>~</errorWord>
      <group>L1_Format</group>
      <groupName>格式问题</groupName>
      <ability>L2_HalfPunc</ability>
      <abilityName>全半角检查</abilityName>
      <candidateList>
        <item>～</item>
      </candidateList>
      <explain>文本全半角错误。</explain>
      <paraID>774C167D</paraID>
      <start>35</start>
      <end>36</end>
      <status>ignored</status>
      <modifiedWord/>
      <trackRevisions>false</trackRevisions>
    </reviewItem>
    <reviewItem>
      <errorID>492068eb-16b5-4c96-8099-fb7f501cc0cb</errorID>
      <errorWord>及纵膈</errorWord>
      <group>L1_Word</group>
      <groupName>字词问题</groupName>
      <ability>L2_Alias</ability>
      <abilityName>也作/曾用词</abilityName>
      <candidateList>
        <item>及纵隔</item>
      </candidateList>
      <explain>词汇[及纵膈]为不规范表述或旧称，其规范书面表述为[及纵隔]。</explain>
      <paraID>774C167D</paraID>
      <start>67</start>
      <end>70</end>
      <status>unmodified</status>
      <modifiedWord/>
      <trackRevisions>false</trackRevisions>
    </reviewItem>
    <reviewItem>
      <errorID>0fcb3403-47e5-45ac-b3c8-de9e7afca144</errorID>
      <errorWord>阴塞性</errorWord>
      <group>L1_Word</group>
      <groupName>字词问题</groupName>
      <ability>L2_Typo</ability>
      <abilityName>字词错误</abilityName>
      <candidateList>
        <item>阻塞性</item>
      </candidateList>
      <explain/>
      <paraID>774C167D</paraID>
      <start>88</start>
      <end>91</end>
      <status>unmodified</status>
      <modifiedWord/>
      <trackRevisions>false</trackRevisions>
    </reviewItem>
    <reviewItem>
      <errorID>b3e20e47-d39e-44f1-bc42-ca20f754ee7a</errorID>
      <errorWord>紫绀</errorWord>
      <group>L1_Knowledge</group>
      <groupName>知识性问题</groupName>
      <ability>L2_Term</ability>
      <abilityName>专业术语</abilityName>
      <candidateList>
        <item>发绀</item>
      </candidateList>
      <explain>医学名词[紫绀]为不规范表述或旧称，其规范书面表述为[发绀]。</explain>
      <paraID>774C167D</paraID>
      <start>114</start>
      <end>116</end>
      <status>unmodified</status>
      <modifiedWord/>
      <trackRevisions>false</trackRevisions>
    </reviewItem>
    <reviewItem>
      <errorID>fc5e7d30-7c94-4510-94ed-7e064c35f843</errorID>
      <errorWord>是</errorWord>
      <group>L1_Word</group>
      <groupName>字词问题</groupName>
      <ability>L2_Typo</ability>
      <abilityName>字词错误</abilityName>
      <candidateList>
        <item>是一</item>
      </candidateList>
      <explain/>
      <paraID>3B96A1F2</paraID>
      <start>2</start>
      <end>3</end>
      <status>unmodified</status>
      <modifiedWord/>
      <trackRevisions>false</trackRevisions>
    </reviewItem>
    <reviewItem>
      <errorID>964f3806-8411-464f-a5e0-21df10f5efcf</errorID>
      <errorWord>、</errorWord>
      <group>L1_Punc</group>
      <groupName>标点问题</groupName>
      <ability>L2_Punc</ability>
      <abilityName>标点符号检查</abilityName>
      <candidateList>
        <item>.</item>
      </candidateList>
      <explain/>
      <paraID>55F0D12A</paraID>
      <start>1</start>
      <end>2</end>
      <status>unmodified</status>
      <modifiedWord/>
      <trackRevisions>false</trackRevisions>
    </reviewItem>
    <reviewItem>
      <errorID>7b398396-c256-4bfa-aa81-6ba96f6117d4</errorID>
      <errorWord>、</errorWord>
      <group>L1_Punc</group>
      <groupName>标点问题</groupName>
      <ability>L2_Punc</ability>
      <abilityName>标点符号检查</abilityName>
      <candidateList>
        <item>.</item>
      </candidateList>
      <explain/>
      <paraID>31293AC8</paraID>
      <start>1</start>
      <end>2</end>
      <status>unmodified</status>
      <modifiedWord/>
      <trackRevisions>false</trackRevisions>
    </reviewItem>
    <reviewItem>
      <errorID>90d5eb4e-5944-43f6-8134-077175fa9041</errorID>
      <errorWord>、</errorWord>
      <group>L1_Punc</group>
      <groupName>标点问题</groupName>
      <ability>L2_Punc</ability>
      <abilityName>标点符号检查</abilityName>
      <candidateList>
        <item>.</item>
      </candidateList>
      <explain/>
      <paraID>71F03F99</paraID>
      <start>1</start>
      <end>2</end>
      <status>unmodified</status>
      <modifiedWord/>
      <trackRevisions>false</trackRevisions>
    </reviewItem>
    <reviewItem>
      <errorID>a8d4860f-ada2-43ce-987d-22992c2fa3c3</errorID>
      <errorWord>：</errorWord>
      <group>L1_Format</group>
      <groupName>格式问题</groupName>
      <ability>L2_HalfPunc</ability>
      <abilityName>全半角检查</abilityName>
      <candidateList>
        <item>:</item>
      </candidateList>
      <explain>文本全半角错误。</explain>
      <paraID> 329D0D9</paraID>
      <start>13</start>
      <end>14</end>
      <status>modified</status>
      <modifiedWord>:</modifiedWord>
      <trackRevisions>false</trackRevisions>
    </reviewItem>
    <reviewItem>
      <errorID>a511fab7-657c-495e-8e22-b35b7807488a</errorID>
      <errorWord>：</errorWord>
      <group>L1_Format</group>
      <groupName>格式问题</groupName>
      <ability>L2_HalfPunc</ability>
      <abilityName>全半角检查</abilityName>
      <candidateList>
        <item>:</item>
      </candidateList>
      <explain>文本全半角错误。</explain>
      <paraID> 329D0D9</paraID>
      <start>26</start>
      <end>27</end>
      <status>modified</status>
      <modifiedWord>:</modifiedWord>
      <trackRevisions>false</trackRevisions>
    </reviewItem>
    <reviewItem>
      <errorID>d90b76c5-5bec-4e16-95aa-847ce5189532</errorID>
      <errorWord>：</errorWord>
      <group>L1_Format</group>
      <groupName>格式问题</groupName>
      <ability>L2_HalfPunc</ability>
      <abilityName>全半角检查</abilityName>
      <candidateList>
        <item>:</item>
      </candidateList>
      <explain>文本全半角错误。</explain>
      <paraID>7363B4B4</paraID>
      <start>13</start>
      <end>14</end>
      <status>modified</status>
      <modifiedWord>:</modifiedWord>
      <trackRevisions>false</trackRevisions>
    </reviewItem>
    <reviewItem>
      <errorID>5884091f-0f36-4a5a-b885-22cab72fb9cf</errorID>
      <errorWord>：</errorWord>
      <group>L1_Format</group>
      <groupName>格式问题</groupName>
      <ability>L2_HalfPunc</ability>
      <abilityName>全半角检查</abilityName>
      <candidateList>
        <item>:</item>
      </candidateList>
      <explain>文本全半角错误。</explain>
      <paraID>7363B4B4</paraID>
      <start>24</start>
      <end>25</end>
      <status>modified</status>
      <modifiedWord>:</modifiedWord>
      <trackRevisions>false</trackRevisions>
    </reviewItem>
    <reviewItem>
      <errorID>7fe998d5-13f3-4f84-911f-c06e7f79e190</errorID>
      <errorWord>装戴</errorWord>
      <group>L1_Word</group>
      <groupName>字词问题</groupName>
      <ability>L2_Typo</ability>
      <abilityName>字词错误</abilityName>
      <candidateList>
        <item>佩戴</item>
      </candidateList>
      <explain>〈动〉（把徽章、符号等）挂在胸前、臂上、肩上等部位：～校徽｜～肩章。也作佩带。</explain>
      <paraID>4096188E</paraID>
      <start>277</start>
      <end>279</end>
      <status>unmodified</status>
      <modifiedWord/>
      <trackRevisions>false</trackRevisions>
    </reviewItem>
    <reviewItem>
      <errorID>7ef8c708-d47b-4703-a28b-6b8c0d21f813</errorID>
      <errorWord>[2005]152号</errorWord>
      <group>L1_Knowledge</group>
      <groupName>知识性问题</groupName>
      <ability>L2_Knowledge</ability>
      <abilityName>其他知识</abilityName>
      <candidateList>
        <item>〔2005〕152号</item>
      </candidateList>
      <explain>发文字号格式错误。</explain>
      <paraID>5AFD669E</paraID>
      <start>58</start>
      <end>68</end>
      <status>unmodified</status>
      <modifiedWord/>
      <trackRevisions>false</trackRevisions>
    </reviewItem>
    <reviewItem>
      <errorID>70a6af56-c06b-4158-bff9-a7d1b7147e54</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2917A401</paraID>
      <start>14</start>
      <end>17</end>
      <status>ignored</status>
      <modifiedWord/>
      <trackRevisions>false</trackRevisions>
    </reviewItem>
    <reviewItem>
      <errorID>78a4a145-c07f-48c8-ad27-2b03bd38a0a3</errorID>
      <errorWord>年平</errorWord>
      <group>L1_Word</group>
      <groupName>字词问题</groupName>
      <ability>L2_Typo</ability>
      <abilityName>字词错误</abilityName>
      <candidateList>
        <item>年均</item>
      </candidateList>
      <explain/>
      <paraID>4CF2A502</paraID>
      <start>3</start>
      <end>5</end>
      <status>unmodified</status>
      <modifiedWord/>
      <trackRevisions>false</trackRevisions>
    </reviewItem>
    <reviewItem>
      <errorID>0802827b-fce6-464a-b0b3-7482119abfe8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6367FABE</paraID>
      <start>109</start>
      <end>110</end>
      <status>ignored</status>
      <modifiedWord/>
      <trackRevisions>false</trackRevisions>
    </reviewItem>
    <reviewItem>
      <errorID>229d1106-9138-4e32-b3c0-1e1ef11987af</errorID>
      <errorWord>厂家</errorWord>
      <group>L1_Word</group>
      <groupName>字词问题</groupName>
      <ability>L2_Typo</ability>
      <abilityName>字词错误</abilityName>
      <candidateList>
        <item>厂</item>
      </candidateList>
      <explain/>
      <paraID>7F16046A</paraID>
      <start>72</start>
      <end>74</end>
      <status>ignored</status>
      <modifiedWord/>
      <trackRevisions>false</trackRevisions>
    </reviewItem>
    <reviewItem>
      <errorID>79817be9-79c6-42a2-923e-33cf193cff7f</errorID>
      <errorWord>接入到</errorWord>
      <group>L1_Word</group>
      <groupName>字词问题</groupName>
      <ability>L2_Typo</ability>
      <abilityName>字词错误</abilityName>
      <candidateList>
        <item>接入</item>
      </candidateList>
      <explain/>
      <paraID>6A5AE92D</paraID>
      <start>110</start>
      <end>113</end>
      <status>unmodified</status>
      <modifiedWord/>
      <trackRevisions>false</trackRevisions>
    </reviewItem>
    <reviewItem>
      <errorID>f9bbc416-d282-4f29-864a-b4e0b18d7cba</errorID>
      <errorWord>安全运营责任制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词汇“安全生产责任制”在特定场景下为固定表述形式，请确认此处的“安全运营责任制”是否存在不当。</explain>
      <paraID> 14AD012</paraID>
      <start>37</start>
      <end>44</end>
      <status>unmodified</status>
      <modifiedWord/>
      <trackRevisions>false</trackRevisions>
    </reviewItem>
    <reviewItem>
      <errorID>3d7fb428-7bfb-4d7e-b04e-9915d813db89</errorID>
      <errorWord>提高</errorWord>
      <group>L1_Grammar</group>
      <groupName>语法问题</groupName>
      <ability>L2_Grammar</ability>
      <abilityName>语法错误</abilityName>
      <candidateList>
        <item>增强</item>
      </candidateList>
      <explain>“提高～意识”搭配不当，建议修改为“增强～意识”。</explain>
      <paraID> D8B09AF</paraID>
      <start>39</start>
      <end>41</end>
      <status>unmodified</status>
      <modifiedWord/>
      <trackRevisions>false</trackRevisions>
    </reviewItem>
    <reviewItem>
      <errorID>d0a2a4ea-ae41-4a8a-9449-521143916a0f</errorID>
      <errorWord>队</errorWord>
      <group>L1_Word</group>
      <groupName>字词问题</groupName>
      <ability>L2_Typo</ability>
      <abilityName>字词错误</abilityName>
      <candidateList>
        <item>队伍</item>
      </candidateList>
      <explain/>
      <paraID>2E222A2A</paraID>
      <start>20</start>
      <end>21</end>
      <status>unmodified</status>
      <modifiedWord/>
      <trackRevisions>false</trackRevisions>
    </reviewItem>
    <reviewItem>
      <errorID>a7e82e37-c463-4491-9ce5-86984f32fa58</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6EF19351</paraID>
      <start>42</start>
      <end>44</end>
      <status>unmodified</status>
      <modifiedWord/>
      <trackRevisions>false</trackRevisions>
    </reviewItem>
    <reviewItem>
      <errorID>3eba97b9-7b1e-4d0c-a2e1-4ceaa04e2a64</errorID>
      <errorWord>硝酸氨</errorWord>
      <group>L1_Word</group>
      <groupName>字词问题</groupName>
      <ability>L2_Typo</ability>
      <abilityName>字词错误</abilityName>
      <candidateList>
        <item>硝酸铵</item>
      </candidateList>
      <explain/>
      <paraID>6EF19351</paraID>
      <start>45</start>
      <end>48</end>
      <status>unmodified</status>
      <modifiedWord/>
      <trackRevisions>false</trackRevisions>
    </reviewItem>
    <reviewItem>
      <errorID>45b27ef5-a45e-426b-b45c-6f23636f4cd8</errorID>
      <errorWord>发生意</errorWord>
      <group>L1_Word</group>
      <groupName>字词问题</groupName>
      <ability>L2_Typo</ability>
      <abilityName>字词错误</abilityName>
      <candidateList>
        <item>发生</item>
      </candidateList>
      <explain>〈动〉❶原来没有的事出现了；产生：～变化｜～事故｜～关系。❷卵子受精后逐渐生长。</explain>
      <paraID>2DFEA1B3</paraID>
      <start>30</start>
      <end>33</end>
      <status>unmodified</status>
      <modifiedWord/>
      <trackRevisions>false</trackRevisions>
    </reviewItem>
    <reviewItem>
      <errorID>63365f33-aa4c-4616-98c7-d42dc63d014d</errorID>
      <errorWord>临近</errorWord>
      <group>L1_Word</group>
      <groupName>字词问题</groupName>
      <ability>L2_Typo</ability>
      <abilityName>字词错误</abilityName>
      <candidateList>
        <item>邻近</item>
      </candidateList>
      <explain>存在发音相同字词的误用。</explain>
      <paraID>4E1144E2</paraID>
      <start>25</start>
      <end>27</end>
      <status>unmodified</status>
      <modifiedWord/>
      <trackRevisions>false</trackRevisions>
    </reviewItem>
    <reviewItem>
      <errorID>e1d6130a-d5a1-4f63-9730-da6ceb4816f8</errorID>
      <errorWord>建</errorWord>
      <group>L1_Word</group>
      <groupName>字词问题</groupName>
      <ability>L2_Typo</ability>
      <abilityName>字词错误</abilityName>
      <candidateList>
        <item>建立</item>
      </candidateList>
      <explain>〈动〉❶开始成立：～政权｜～新的工业基地。❷开始产生；开始形成：～友谊｜～邦交。</explain>
      <paraID>6738C564</paraID>
      <start>11</start>
      <end>12</end>
      <status>unmodified</status>
      <modifiedWord/>
      <trackRevisions>false</trackRevisions>
    </reviewItem>
    <reviewItem>
      <errorID>badec9e8-a91f-4bf0-b4f2-fa2027fddb57</errorID>
      <errorWord>设</errorWord>
      <group>L1_Word</group>
      <groupName>字词问题</groupName>
      <ability>L2_Typo</ability>
      <abilityName>字词错误</abilityName>
      <candidateList>
        <item>设立</item>
      </candidateList>
      <explain/>
      <paraID>6738C564</paraID>
      <start>22</start>
      <end>23</end>
      <status>unmodified</status>
      <modifiedWord/>
      <trackRevisions>false</trackRevisions>
    </reviewItem>
    <reviewItem>
      <errorID>80f3af0d-74fa-4fad-9c9a-28139e9cd545</errorID>
      <errorWord>部门和</errorWord>
      <group>L1_Word</group>
      <groupName>字词问题</groupName>
      <ability>L2_Typo</ability>
      <abilityName>字词错误</abilityName>
      <candidateList>
        <item>部门</item>
      </candidateList>
      <explain>〈名〉组成某一整体的部分或单位：工业～｜文教～｜～经济学（如工业经济学、农业经济学）｜一本书要经过编辑、出版、印刷、发行等～，然后才能跟读者见面。</explain>
      <paraID>6738C564</paraID>
      <start>25</start>
      <end>28</end>
      <status>unmodified</status>
      <modifiedWord/>
      <trackRevisions>false</trackRevisions>
    </reviewItem>
    <reviewItem>
      <errorID>b6d4354c-5071-403e-b607-3f7f14748f79</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397523AB</paraID>
      <start>6</start>
      <end>9</end>
      <status>ignored</status>
      <modifiedWord/>
      <trackRevisions>false</trackRevisions>
    </reviewItem>
    <reviewItem>
      <errorID>5027837b-3809-4be4-b802-65e09b9d224d</errorID>
      <errorWord>接入到</errorWord>
      <group>L1_Word</group>
      <groupName>字词问题</groupName>
      <ability>L2_Typo</ability>
      <abilityName>字词错误</abilityName>
      <candidateList>
        <item>接入</item>
      </candidateList>
      <explain/>
      <paraID>6AF9E871</paraID>
      <start>80</start>
      <end>83</end>
      <status>unmodified</status>
      <modifiedWord/>
      <trackRevisions>false</trackRevisions>
    </reviewItem>
    <reviewItem>
      <errorID>5184a89e-5f51-4a50-b6e1-823853411273</errorID>
      <errorWord>安全运营责任制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词汇“安全生产责任制”在特定场景下为固定表述形式，请确认此处的“安全运营责任制”是否存在不当。</explain>
      <paraID>1503AD09</paraID>
      <start>37</start>
      <end>44</end>
      <status>unmodified</status>
      <modifiedWord/>
      <trackRevisions>false</trackRevisions>
    </reviewItem>
    <reviewItem>
      <errorID>58fa4967-9281-4b20-a1d8-2036bb9bcf86</errorID>
      <errorWord>提高</errorWord>
      <group>L1_Grammar</group>
      <groupName>语法问题</groupName>
      <ability>L2_Grammar</ability>
      <abilityName>语法错误</abilityName>
      <candidateList>
        <item>增强</item>
      </candidateList>
      <explain>“提高～意识”搭配不当，建议修改为“增强～意识”。</explain>
      <paraID> C94EE41</paraID>
      <start>39</start>
      <end>41</end>
      <status>unmodified</status>
      <modifiedWord/>
      <trackRevisions>false</trackRevisions>
    </reviewItem>
    <reviewItem>
      <errorID>7160bd16-2cd5-4600-bd48-3d0cb9dfc169</errorID>
      <errorWord>队</errorWord>
      <group>L1_Word</group>
      <groupName>字词问题</groupName>
      <ability>L2_Typo</ability>
      <abilityName>字词错误</abilityName>
      <candidateList>
        <item>队伍</item>
      </candidateList>
      <explain/>
      <paraID>3D63CFC0</paraID>
      <start>20</start>
      <end>21</end>
      <status>unmodified</status>
      <modifiedWord/>
      <trackRevisions>false</trackRevisions>
    </reviewItem>
    <reviewItem>
      <errorID>e2d6d236-6146-44cf-898c-f26bf0b6d568</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7D3495D1</paraID>
      <start>42</start>
      <end>44</end>
      <status>unmodified</status>
      <modifiedWord/>
      <trackRevisions>false</trackRevisions>
    </reviewItem>
    <reviewItem>
      <errorID>eaaa06a6-6003-41e8-987d-f5601d2d3ce1</errorID>
      <errorWord>硝酸氨</errorWord>
      <group>L1_Word</group>
      <groupName>字词问题</groupName>
      <ability>L2_Typo</ability>
      <abilityName>字词错误</abilityName>
      <candidateList>
        <item>硝酸铵</item>
      </candidateList>
      <explain/>
      <paraID>7D3495D1</paraID>
      <start>45</start>
      <end>48</end>
      <status>unmodified</status>
      <modifiedWord/>
      <trackRevisions>false</trackRevisions>
    </reviewItem>
    <reviewItem>
      <errorID>bc3d4a90-3f3d-4758-b466-c2e44c7ee98b</errorID>
      <errorWord>(</errorWord>
      <group>L1_Format</group>
      <groupName>格式问题</groupName>
      <ability>L2_HalfPunc</ability>
      <abilityName>全半角检查</abilityName>
      <candidateList>
        <item>（</item>
      </candidateList>
      <explain>文本全半角错误。</explain>
      <paraID>55AFDE09</paraID>
      <start>18</start>
      <end>19</end>
      <status>modified</status>
      <modifiedWord>（</modifiedWord>
      <trackRevisions>false</trackRevisions>
    </reviewItem>
    <reviewItem>
      <errorID>a6a9eefa-95a1-44a3-ad0f-c69d9d6c556c</errorID>
      <errorWord>)</errorWord>
      <group>L1_Format</group>
      <groupName>格式问题</groupName>
      <ability>L2_HalfPunc</ability>
      <abilityName>全半角检查</abilityName>
      <candidateList>
        <item>）</item>
      </candidateList>
      <explain>文本全半角错误。</explain>
      <paraID>55AFDE09</paraID>
      <start>29</start>
      <end>30</end>
      <status>modified</status>
      <modifiedWord>）</modifiedWord>
      <trackRevisions>false</trackRevisions>
    </reviewItem>
    <reviewItem>
      <errorID>9ec6304c-dabe-4a71-820f-ea903c76e4c5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385231D4</paraID>
      <start>0</start>
      <end>2</end>
      <status>ignored</status>
      <modifiedWord/>
      <trackRevisions>false</trackRevisions>
    </reviewItem>
    <reviewItem>
      <errorID>6153930d-4c3d-4c01-873f-776ba145ee3f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1AA8ABC0</paraID>
      <start>77</start>
      <end>78</end>
      <status>ignored</status>
      <modifiedWord/>
      <trackRevisions>false</trackRevisions>
    </reviewItem>
    <reviewItem>
      <errorID>1743c78e-0a92-46c8-aa17-5eb8ced97acc</errorID>
      <errorWord>安全运营责任制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词汇“安全生产责任制”在特定场景下为固定表述形式，请确认此处的“安全运营责任制”是否存在不当。</explain>
      <paraID>412850A3</paraID>
      <start>31</start>
      <end>38</end>
      <status>unmodified</status>
      <modifiedWord/>
      <trackRevisions>false</trackRevisions>
    </reviewItem>
    <reviewItem>
      <errorID>969c3bd4-c693-4a3d-97d0-dde8352b06a2</errorID>
      <errorWord>（</errorWord>
      <group>L1_Format</group>
      <groupName>格式问题</groupName>
      <ability>L2_HalfPunc</ability>
      <abilityName>全半角检查</abilityName>
      <candidateList>
        <item>(</item>
      </candidateList>
      <explain>文本全半角错误。</explain>
      <paraID>10C78C96</paraID>
      <start>6</start>
      <end>7</end>
      <status>unmodified</status>
      <modifiedWord/>
      <trackRevisions>false</trackRevisions>
    </reviewItem>
    <reviewItem>
      <errorID>80eb4910-1e6a-43e4-8f01-6eb391a0f2b5</errorID>
      <errorWord>））</errorWord>
      <group>L1_Format</group>
      <groupName>格式问题</groupName>
      <ability>L2_HalfPunc</ability>
      <abilityName>全半角检查</abilityName>
      <candidateList>
        <item>))</item>
      </candidateList>
      <explain>文本全半角错误。</explain>
      <paraID>10C78C96</paraID>
      <start>8</start>
      <end>10</end>
      <status>unmodified</status>
      <modifiedWord/>
      <trackRevisions>false</trackRevisions>
    </reviewItem>
    <reviewItem>
      <errorID>ca3d32e9-dca2-401e-bea4-b9b2bedf30ec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6AF7764B</paraID>
      <start>75</start>
      <end>76</end>
      <status>ignored</status>
      <modifiedWord/>
      <trackRevisions>false</trackRevisions>
    </reviewItem>
    <reviewItem>
      <errorID>d2d82bff-95ca-45ef-af05-56a69fba08df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638F1D93</paraID>
      <start>0</start>
      <end>2</end>
      <status>ignored</status>
      <modifiedWord/>
      <trackRevisions>false</trackRevisions>
    </reviewItem>
    <reviewItem>
      <errorID>765974d7-4327-4426-bd2a-46e2ccb2c659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788583F0</paraID>
      <start>0</start>
      <end>2</end>
      <status>ignored</status>
      <modifiedWord/>
      <trackRevisions>false</trackRevisions>
    </reviewItem>
    <reviewItem>
      <errorID>5ae5ad10-c4bf-47f3-9994-a91096af8f3d</errorID>
      <errorWord>接入到</errorWord>
      <group>L1_Word</group>
      <groupName>字词问题</groupName>
      <ability>L2_Typo</ability>
      <abilityName>字词错误</abilityName>
      <candidateList>
        <item>接入</item>
      </candidateList>
      <explain/>
      <paraID>512DCFFA</paraID>
      <start>80</start>
      <end>83</end>
      <status>unmodified</status>
      <modifiedWord/>
      <trackRevisions>false</trackRevisions>
    </reviewItem>
    <reviewItem>
      <errorID>9a54b900-7c5a-408b-8699-a436301efc0b</errorID>
      <errorWord>安全运营责任制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词汇“安全生产责任制”在特定场景下为固定表述形式，请确认此处的“安全运营责任制”是否存在不当。</explain>
      <paraID>51180BAB</paraID>
      <start>37</start>
      <end>44</end>
      <status>unmodified</status>
      <modifiedWord/>
      <trackRevisions>false</trackRevisions>
    </reviewItem>
    <reviewItem>
      <errorID>ca8b0358-6601-493a-b6f7-86897a21dabb</errorID>
      <errorWord>提高</errorWord>
      <group>L1_Grammar</group>
      <groupName>语法问题</groupName>
      <ability>L2_Grammar</ability>
      <abilityName>语法错误</abilityName>
      <candidateList>
        <item>增强</item>
      </candidateList>
      <explain>“提高～意识”搭配不当，建议修改为“增强～意识”。</explain>
      <paraID>3F9B8511</paraID>
      <start>39</start>
      <end>41</end>
      <status>unmodified</status>
      <modifiedWord/>
      <trackRevisions>false</trackRevisions>
    </reviewItem>
    <reviewItem>
      <errorID>c0bdfcec-e1a4-4b2e-b100-3e2880c55d01</errorID>
      <errorWord>队</errorWord>
      <group>L1_Word</group>
      <groupName>字词问题</groupName>
      <ability>L2_Typo</ability>
      <abilityName>字词错误</abilityName>
      <candidateList>
        <item>队伍</item>
      </candidateList>
      <explain/>
      <paraID>1F0C88C9</paraID>
      <start>20</start>
      <end>21</end>
      <status>unmodified</status>
      <modifiedWord/>
      <trackRevisions>false</trackRevisions>
    </reviewItem>
    <reviewItem>
      <errorID>53d86506-572e-47b3-be72-509e15032bca</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2AD2A15E</paraID>
      <start>42</start>
      <end>44</end>
      <status>unmodified</status>
      <modifiedWord/>
      <trackRevisions>false</trackRevisions>
    </reviewItem>
    <reviewItem>
      <errorID>e026c48e-b598-4106-8c23-375e99b9c66f</errorID>
      <errorWord>硝酸氨</errorWord>
      <group>L1_Word</group>
      <groupName>字词问题</groupName>
      <ability>L2_Typo</ability>
      <abilityName>字词错误</abilityName>
      <candidateList>
        <item>硝酸铵</item>
      </candidateList>
      <explain/>
      <paraID>2AD2A15E</paraID>
      <start>45</start>
      <end>48</end>
      <status>unmodified</status>
      <modifiedWord/>
      <trackRevisions>false</trackRevisions>
    </reviewItem>
    <reviewItem>
      <errorID>37241780-65e0-4955-b462-a500fdf78b19</errorID>
      <errorWord>制</errorWord>
      <group>L1_Word</group>
      <groupName>字词问题</groupName>
      <ability>L2_Typo</ability>
      <abilityName>字词错误</abilityName>
      <candidateList>
        <item>制度</item>
      </candidateList>
      <explain/>
      <paraID>1908B690</paraID>
      <start>16</start>
      <end>17</end>
      <status>unmodified</status>
      <modifiedWord/>
      <trackRevisions>false</trackRevisions>
    </reviewItem>
    <reviewItem>
      <errorID>4f36dba8-cdc0-4476-b8d8-6d1de2e29f4e</errorID>
      <errorWord>：</errorWord>
      <group>L1_Format</group>
      <groupName>格式问题</groupName>
      <ability>L2_HalfPunc</ability>
      <abilityName>全半角检查</abilityName>
      <candidateList>
        <item>:</item>
      </candidateList>
      <explain>文本全半角错误。</explain>
      <paraID>493D8E2B</paraID>
      <start>40</start>
      <end>41</end>
      <status>modified</status>
      <modifiedWord>:</modifiedWord>
      <trackRevisions>false</trackRevisions>
    </reviewItem>
    <reviewItem>
      <errorID>256f28b1-bcea-4786-81df-0bcf4e12a0b0</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781E1D2F</paraID>
      <start>29</start>
      <end>32</end>
      <status>ignored</status>
      <modifiedWord/>
      <trackRevisions>false</trackRevisions>
    </reviewItem>
    <reviewItem>
      <errorID>0b63bd47-0777-4c05-966c-0416a97ffce3</errorID>
      <errorWord>报告表</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111F8761</paraID>
      <start>48</start>
      <end>51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33a1eb-9550-4bec-9486-c1285862b49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98</Pages>
  <Words>67956</Words>
  <Characters>76762</Characters>
  <Lines>661</Lines>
  <Paragraphs>186</Paragraphs>
  <TotalTime>14</TotalTime>
  <ScaleCrop>false</ScaleCrop>
  <LinksUpToDate>false</LinksUpToDate>
  <CharactersWithSpaces>77235</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2021-04-07T09:34:00Z</dcterms:created>
  <dc:creator>lhj</dc:creator>
  <cp:lastModifiedBy>Administrator</cp:lastModifiedBy>
  <cp:lastPrinted>2021-05-10T00:43:00Z</cp:lastPrinted>
  <dcterms:modified xsi:type="dcterms:W3CDTF">2026-04-16T02:34:50Z</dcterms:modified>
  <dc:title>附件2</dc:title>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6A6A0EB3BFC640A98B4E301090D9D77A_13</vt:lpwstr>
  </property>
  <property fmtid="{D5CDD505-2E9C-101B-9397-08002B2CF9AE}" pid="4" name="KSOTemplateDocerSaveRecord">
    <vt:lpwstr>eyJoZGlkIjoiZDUxMGQ4NjdlMjIyNjc4MmRlMTc2NTcwMGZhMTAxZjEiLCJ1c2VySWQiOiI1NjEzMDU4ODkifQ==</vt:lpwstr>
  </property>
</Properties>
</file>