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F6517F">
      <w:pPr>
        <w:ind w:firstLine="482"/>
        <w:jc w:val="right"/>
        <w:rPr>
          <w:b/>
          <w:color w:val="auto"/>
          <w:szCs w:val="24"/>
        </w:rPr>
      </w:pPr>
    </w:p>
    <w:p w14:paraId="3A4AC366">
      <w:pPr>
        <w:ind w:firstLine="482"/>
        <w:jc w:val="right"/>
        <w:rPr>
          <w:b/>
          <w:color w:val="auto"/>
          <w:szCs w:val="24"/>
        </w:rPr>
      </w:pPr>
    </w:p>
    <w:p w14:paraId="77786E3E">
      <w:pPr>
        <w:wordWrap w:val="0"/>
        <w:ind w:firstLine="482"/>
        <w:jc w:val="right"/>
        <w:rPr>
          <w:rFonts w:hint="eastAsia" w:eastAsia="宋体"/>
          <w:b/>
          <w:color w:val="auto"/>
          <w:szCs w:val="24"/>
          <w:lang w:eastAsia="zh-CN"/>
        </w:rPr>
      </w:pPr>
    </w:p>
    <w:p w14:paraId="3603BC83">
      <w:pPr>
        <w:ind w:firstLine="482"/>
        <w:jc w:val="center"/>
        <w:rPr>
          <w:b/>
          <w:color w:val="auto"/>
          <w:szCs w:val="24"/>
        </w:rPr>
      </w:pPr>
    </w:p>
    <w:p w14:paraId="77E7F74B">
      <w:pPr>
        <w:ind w:firstLine="482"/>
        <w:jc w:val="center"/>
        <w:rPr>
          <w:b/>
          <w:color w:val="auto"/>
          <w:szCs w:val="24"/>
        </w:rPr>
      </w:pPr>
    </w:p>
    <w:p w14:paraId="6A7F536E">
      <w:pPr>
        <w:ind w:firstLine="482"/>
        <w:jc w:val="center"/>
        <w:rPr>
          <w:b/>
          <w:color w:val="auto"/>
          <w:szCs w:val="24"/>
        </w:rPr>
      </w:pPr>
    </w:p>
    <w:p w14:paraId="7BF3315D">
      <w:pPr>
        <w:ind w:firstLine="0" w:firstLineChars="0"/>
        <w:jc w:val="center"/>
        <w:rPr>
          <w:b/>
          <w:color w:val="auto"/>
          <w:sz w:val="72"/>
          <w:szCs w:val="72"/>
        </w:rPr>
      </w:pPr>
      <w:r>
        <w:rPr>
          <w:b/>
          <w:color w:val="auto"/>
          <w:sz w:val="72"/>
          <w:szCs w:val="72"/>
        </w:rPr>
        <w:t>建设项目环境影响报告表</w:t>
      </w:r>
    </w:p>
    <w:p w14:paraId="0B1C68DA">
      <w:pPr>
        <w:ind w:firstLine="643"/>
        <w:jc w:val="center"/>
        <w:rPr>
          <w:b/>
          <w:color w:val="auto"/>
          <w:sz w:val="32"/>
          <w:szCs w:val="32"/>
        </w:rPr>
      </w:pPr>
      <w:r>
        <w:rPr>
          <w:b/>
          <w:color w:val="auto"/>
          <w:sz w:val="32"/>
          <w:szCs w:val="32"/>
        </w:rPr>
        <w:t>(污染影响类)</w:t>
      </w:r>
    </w:p>
    <w:p w14:paraId="63344802">
      <w:pPr>
        <w:ind w:firstLine="1446"/>
        <w:jc w:val="center"/>
        <w:rPr>
          <w:b/>
          <w:color w:val="auto"/>
          <w:sz w:val="72"/>
          <w:szCs w:val="72"/>
        </w:rPr>
      </w:pPr>
    </w:p>
    <w:p w14:paraId="68B877B2">
      <w:pPr>
        <w:ind w:firstLine="1446"/>
        <w:jc w:val="center"/>
        <w:rPr>
          <w:b/>
          <w:color w:val="auto"/>
          <w:sz w:val="72"/>
          <w:szCs w:val="72"/>
        </w:rPr>
      </w:pPr>
      <w:bookmarkStart w:id="19" w:name="_GoBack"/>
      <w:bookmarkEnd w:id="19"/>
    </w:p>
    <w:p w14:paraId="19018C9C">
      <w:pPr>
        <w:ind w:firstLine="1446"/>
        <w:jc w:val="center"/>
        <w:rPr>
          <w:b/>
          <w:color w:val="auto"/>
          <w:sz w:val="72"/>
          <w:szCs w:val="72"/>
        </w:rPr>
      </w:pPr>
    </w:p>
    <w:p w14:paraId="678F00B5">
      <w:pPr>
        <w:ind w:firstLine="1446"/>
        <w:jc w:val="center"/>
        <w:rPr>
          <w:b/>
          <w:color w:val="auto"/>
          <w:sz w:val="72"/>
          <w:szCs w:val="72"/>
        </w:rPr>
      </w:pPr>
    </w:p>
    <w:p w14:paraId="7292A062">
      <w:pPr>
        <w:ind w:firstLine="0" w:firstLineChars="0"/>
        <w:jc w:val="center"/>
        <w:rPr>
          <w:rFonts w:hint="eastAsia" w:eastAsia="宋体"/>
          <w:b/>
          <w:i/>
          <w:iCs/>
          <w:color w:val="auto"/>
          <w:sz w:val="30"/>
          <w:szCs w:val="30"/>
          <w:u w:val="single"/>
          <w:lang w:eastAsia="zh-CN"/>
        </w:rPr>
      </w:pPr>
      <w:r>
        <w:rPr>
          <w:b/>
          <w:color w:val="auto"/>
          <w:sz w:val="32"/>
          <w:szCs w:val="32"/>
        </w:rPr>
        <w:t>项目名称：</w:t>
      </w:r>
      <w:r>
        <w:rPr>
          <w:rFonts w:hint="eastAsia"/>
          <w:b/>
          <w:color w:val="auto"/>
          <w:sz w:val="30"/>
          <w:szCs w:val="30"/>
          <w:u w:val="single"/>
          <w:lang w:eastAsia="zh-CN"/>
        </w:rPr>
        <w:t>玉溪市江川区县域医共体建设项目</w:t>
      </w:r>
    </w:p>
    <w:p w14:paraId="208671B2">
      <w:pPr>
        <w:ind w:firstLine="0" w:firstLineChars="0"/>
        <w:jc w:val="center"/>
        <w:rPr>
          <w:b/>
          <w:color w:val="auto"/>
          <w:sz w:val="30"/>
          <w:szCs w:val="30"/>
          <w:u w:val="single"/>
        </w:rPr>
      </w:pPr>
      <w:r>
        <w:rPr>
          <w:b/>
          <w:color w:val="auto"/>
          <w:sz w:val="32"/>
          <w:szCs w:val="32"/>
        </w:rPr>
        <w:t>建设单位：</w:t>
      </w:r>
      <w:r>
        <w:rPr>
          <w:rFonts w:hint="eastAsia"/>
          <w:b/>
          <w:color w:val="auto"/>
          <w:sz w:val="30"/>
          <w:szCs w:val="30"/>
          <w:u w:val="single"/>
          <w:lang w:eastAsia="zh-CN"/>
        </w:rPr>
        <w:t>玉溪市江川区医共体总医院</w:t>
      </w:r>
      <w:r>
        <w:rPr>
          <w:b/>
          <w:color w:val="auto"/>
          <w:sz w:val="30"/>
          <w:szCs w:val="30"/>
        </w:rPr>
        <w:t>(盖章)</w:t>
      </w:r>
    </w:p>
    <w:p w14:paraId="6FC414A3">
      <w:pPr>
        <w:ind w:left="1200" w:leftChars="500" w:firstLine="0" w:firstLineChars="0"/>
        <w:jc w:val="left"/>
        <w:rPr>
          <w:b/>
          <w:color w:val="auto"/>
          <w:sz w:val="32"/>
          <w:szCs w:val="32"/>
        </w:rPr>
      </w:pPr>
    </w:p>
    <w:p w14:paraId="4A6CD89B">
      <w:pPr>
        <w:ind w:left="1200" w:leftChars="500" w:firstLine="0" w:firstLineChars="0"/>
        <w:jc w:val="left"/>
        <w:rPr>
          <w:b/>
          <w:color w:val="auto"/>
          <w:sz w:val="32"/>
          <w:szCs w:val="32"/>
        </w:rPr>
      </w:pPr>
    </w:p>
    <w:p w14:paraId="3FDD8B32">
      <w:pPr>
        <w:ind w:left="1200" w:leftChars="500" w:firstLine="0" w:firstLineChars="0"/>
        <w:jc w:val="center"/>
        <w:rPr>
          <w:b/>
          <w:color w:val="auto"/>
          <w:sz w:val="32"/>
          <w:szCs w:val="32"/>
        </w:rPr>
      </w:pPr>
      <w:r>
        <w:rPr>
          <w:b/>
          <w:color w:val="auto"/>
          <w:sz w:val="32"/>
          <w:szCs w:val="32"/>
        </w:rPr>
        <w:t>编制日期：20</w:t>
      </w:r>
      <w:r>
        <w:rPr>
          <w:rFonts w:hint="eastAsia"/>
          <w:b/>
          <w:color w:val="auto"/>
          <w:sz w:val="32"/>
          <w:szCs w:val="32"/>
          <w:lang w:val="en-US" w:eastAsia="zh-CN"/>
        </w:rPr>
        <w:t>26</w:t>
      </w:r>
      <w:r>
        <w:rPr>
          <w:b/>
          <w:color w:val="auto"/>
          <w:sz w:val="32"/>
          <w:szCs w:val="32"/>
        </w:rPr>
        <w:t>年</w:t>
      </w:r>
      <w:r>
        <w:rPr>
          <w:rFonts w:hint="eastAsia"/>
          <w:b/>
          <w:color w:val="auto"/>
          <w:sz w:val="32"/>
          <w:szCs w:val="32"/>
          <w:lang w:val="en-US" w:eastAsia="zh-CN"/>
        </w:rPr>
        <w:t>4</w:t>
      </w:r>
      <w:r>
        <w:rPr>
          <w:b/>
          <w:color w:val="auto"/>
          <w:sz w:val="32"/>
          <w:szCs w:val="32"/>
        </w:rPr>
        <w:t>月</w:t>
      </w:r>
    </w:p>
    <w:p w14:paraId="45F41C65">
      <w:pPr>
        <w:ind w:left="1200" w:leftChars="500" w:firstLine="0" w:firstLineChars="0"/>
        <w:jc w:val="center"/>
        <w:rPr>
          <w:b/>
          <w:color w:val="auto"/>
          <w:sz w:val="32"/>
          <w:szCs w:val="32"/>
        </w:rPr>
      </w:pPr>
    </w:p>
    <w:p w14:paraId="496CD8AE">
      <w:pPr>
        <w:pStyle w:val="2"/>
        <w:rPr>
          <w:b/>
          <w:color w:val="auto"/>
          <w:sz w:val="32"/>
          <w:szCs w:val="32"/>
        </w:rPr>
      </w:pPr>
    </w:p>
    <w:p w14:paraId="0FD8EDEC">
      <w:pPr>
        <w:pStyle w:val="2"/>
        <w:jc w:val="center"/>
        <w:rPr>
          <w:b/>
          <w:color w:val="auto"/>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720" w:num="1"/>
          <w:docGrid w:type="lines" w:linePitch="312" w:charSpace="0"/>
        </w:sectPr>
      </w:pPr>
      <w:r>
        <w:rPr>
          <w:b/>
          <w:color w:val="auto"/>
          <w:sz w:val="32"/>
          <w:szCs w:val="32"/>
        </w:rPr>
        <w:t>中华人民共和国生态环境部制</w:t>
      </w:r>
    </w:p>
    <w:p w14:paraId="7A6BCD3E">
      <w:pPr>
        <w:pStyle w:val="29"/>
        <w:ind w:firstLine="480"/>
        <w:jc w:val="center"/>
        <w:rPr>
          <w:rFonts w:ascii="Times New Roman" w:hAnsi="Times New Roman"/>
          <w:color w:val="auto"/>
        </w:rPr>
      </w:pPr>
      <w:bookmarkStart w:id="0" w:name="_Toc22543"/>
      <w:r>
        <w:rPr>
          <w:rFonts w:ascii="Times New Roman" w:hAnsi="Times New Roman"/>
          <w:color w:val="auto"/>
          <w:lang w:val="zh-CN"/>
        </w:rPr>
        <w:t>目录</w:t>
      </w:r>
      <w:bookmarkEnd w:id="0"/>
    </w:p>
    <w:p w14:paraId="49BFC3E9">
      <w:pPr>
        <w:pStyle w:val="15"/>
        <w:tabs>
          <w:tab w:val="right" w:leader="dot" w:pos="8306"/>
        </w:tabs>
        <w:ind w:firstLine="480"/>
        <w:rPr>
          <w:color w:val="auto"/>
        </w:rPr>
      </w:pPr>
      <w:r>
        <w:rPr>
          <w:color w:val="auto"/>
        </w:rPr>
        <w:fldChar w:fldCharType="begin"/>
      </w:r>
      <w:r>
        <w:rPr>
          <w:color w:val="auto"/>
        </w:rPr>
        <w:instrText xml:space="preserve"> TOC \o "1-3" \h \z \u </w:instrText>
      </w:r>
      <w:r>
        <w:rPr>
          <w:color w:val="auto"/>
        </w:rPr>
        <w:fldChar w:fldCharType="separate"/>
      </w:r>
      <w:r>
        <w:rPr>
          <w:color w:val="auto"/>
        </w:rPr>
        <w:fldChar w:fldCharType="begin"/>
      </w:r>
      <w:r>
        <w:rPr>
          <w:color w:val="auto"/>
        </w:rPr>
        <w:instrText xml:space="preserve"> HYPERLINK \l "_Toc25703" </w:instrText>
      </w:r>
      <w:r>
        <w:rPr>
          <w:color w:val="auto"/>
        </w:rPr>
        <w:fldChar w:fldCharType="separate"/>
      </w:r>
      <w:r>
        <w:rPr>
          <w:color w:val="auto"/>
        </w:rPr>
        <w:t>一、建设项目基本情况</w:t>
      </w:r>
      <w:r>
        <w:rPr>
          <w:color w:val="auto"/>
        </w:rPr>
        <w:tab/>
      </w:r>
      <w:r>
        <w:rPr>
          <w:color w:val="auto"/>
        </w:rPr>
        <w:fldChar w:fldCharType="begin"/>
      </w:r>
      <w:r>
        <w:rPr>
          <w:color w:val="auto"/>
        </w:rPr>
        <w:instrText xml:space="preserve"> PAGEREF _Toc25703 </w:instrText>
      </w:r>
      <w:r>
        <w:rPr>
          <w:color w:val="auto"/>
        </w:rPr>
        <w:fldChar w:fldCharType="separate"/>
      </w:r>
      <w:r>
        <w:rPr>
          <w:color w:val="auto"/>
        </w:rPr>
        <w:t>1</w:t>
      </w:r>
      <w:r>
        <w:rPr>
          <w:color w:val="auto"/>
        </w:rPr>
        <w:fldChar w:fldCharType="end"/>
      </w:r>
      <w:r>
        <w:rPr>
          <w:color w:val="auto"/>
        </w:rPr>
        <w:fldChar w:fldCharType="end"/>
      </w:r>
    </w:p>
    <w:p w14:paraId="46D951CC">
      <w:pPr>
        <w:pStyle w:val="15"/>
        <w:tabs>
          <w:tab w:val="right" w:leader="dot" w:pos="8306"/>
        </w:tabs>
        <w:ind w:firstLine="480"/>
        <w:rPr>
          <w:color w:val="auto"/>
        </w:rPr>
      </w:pPr>
      <w:r>
        <w:rPr>
          <w:color w:val="auto"/>
        </w:rPr>
        <w:fldChar w:fldCharType="begin"/>
      </w:r>
      <w:r>
        <w:rPr>
          <w:color w:val="auto"/>
        </w:rPr>
        <w:instrText xml:space="preserve"> HYPERLINK \l "_Toc20144" </w:instrText>
      </w:r>
      <w:r>
        <w:rPr>
          <w:color w:val="auto"/>
        </w:rPr>
        <w:fldChar w:fldCharType="separate"/>
      </w:r>
      <w:r>
        <w:rPr>
          <w:color w:val="auto"/>
        </w:rPr>
        <w:t>二、建设项目工程分析</w:t>
      </w:r>
      <w:r>
        <w:rPr>
          <w:color w:val="auto"/>
        </w:rPr>
        <w:tab/>
      </w:r>
      <w:r>
        <w:rPr>
          <w:color w:val="auto"/>
        </w:rPr>
        <w:fldChar w:fldCharType="begin"/>
      </w:r>
      <w:r>
        <w:rPr>
          <w:color w:val="auto"/>
        </w:rPr>
        <w:instrText xml:space="preserve"> PAGEREF _Toc20144 </w:instrText>
      </w:r>
      <w:r>
        <w:rPr>
          <w:color w:val="auto"/>
        </w:rPr>
        <w:fldChar w:fldCharType="separate"/>
      </w:r>
      <w:r>
        <w:rPr>
          <w:color w:val="auto"/>
        </w:rPr>
        <w:t>27</w:t>
      </w:r>
      <w:r>
        <w:rPr>
          <w:color w:val="auto"/>
        </w:rPr>
        <w:fldChar w:fldCharType="end"/>
      </w:r>
      <w:r>
        <w:rPr>
          <w:color w:val="auto"/>
        </w:rPr>
        <w:fldChar w:fldCharType="end"/>
      </w:r>
    </w:p>
    <w:p w14:paraId="7A7F3F40">
      <w:pPr>
        <w:pStyle w:val="15"/>
        <w:tabs>
          <w:tab w:val="right" w:leader="dot" w:pos="8306"/>
        </w:tabs>
        <w:ind w:firstLine="480"/>
        <w:rPr>
          <w:color w:val="auto"/>
        </w:rPr>
      </w:pPr>
      <w:r>
        <w:rPr>
          <w:color w:val="auto"/>
        </w:rPr>
        <w:fldChar w:fldCharType="begin"/>
      </w:r>
      <w:r>
        <w:rPr>
          <w:color w:val="auto"/>
        </w:rPr>
        <w:instrText xml:space="preserve"> HYPERLINK \l "_Toc31593" </w:instrText>
      </w:r>
      <w:r>
        <w:rPr>
          <w:color w:val="auto"/>
        </w:rPr>
        <w:fldChar w:fldCharType="separate"/>
      </w:r>
      <w:r>
        <w:rPr>
          <w:color w:val="auto"/>
        </w:rPr>
        <w:t>三、区域环境质量现状、保护目标及评价标准</w:t>
      </w:r>
      <w:r>
        <w:rPr>
          <w:color w:val="auto"/>
        </w:rPr>
        <w:tab/>
      </w:r>
      <w:r>
        <w:rPr>
          <w:color w:val="auto"/>
        </w:rPr>
        <w:fldChar w:fldCharType="begin"/>
      </w:r>
      <w:r>
        <w:rPr>
          <w:color w:val="auto"/>
        </w:rPr>
        <w:instrText xml:space="preserve"> PAGEREF _Toc31593 </w:instrText>
      </w:r>
      <w:r>
        <w:rPr>
          <w:color w:val="auto"/>
        </w:rPr>
        <w:fldChar w:fldCharType="separate"/>
      </w:r>
      <w:r>
        <w:rPr>
          <w:color w:val="auto"/>
        </w:rPr>
        <w:t>66</w:t>
      </w:r>
      <w:r>
        <w:rPr>
          <w:color w:val="auto"/>
        </w:rPr>
        <w:fldChar w:fldCharType="end"/>
      </w:r>
      <w:r>
        <w:rPr>
          <w:color w:val="auto"/>
        </w:rPr>
        <w:fldChar w:fldCharType="end"/>
      </w:r>
    </w:p>
    <w:p w14:paraId="43ED8C75">
      <w:pPr>
        <w:pStyle w:val="15"/>
        <w:tabs>
          <w:tab w:val="right" w:leader="dot" w:pos="8306"/>
        </w:tabs>
        <w:ind w:firstLine="480"/>
        <w:rPr>
          <w:color w:val="auto"/>
        </w:rPr>
      </w:pPr>
      <w:r>
        <w:rPr>
          <w:color w:val="auto"/>
        </w:rPr>
        <w:fldChar w:fldCharType="begin"/>
      </w:r>
      <w:r>
        <w:rPr>
          <w:color w:val="auto"/>
        </w:rPr>
        <w:instrText xml:space="preserve"> HYPERLINK \l "_Toc11318" </w:instrText>
      </w:r>
      <w:r>
        <w:rPr>
          <w:color w:val="auto"/>
        </w:rPr>
        <w:fldChar w:fldCharType="separate"/>
      </w:r>
      <w:r>
        <w:rPr>
          <w:color w:val="auto"/>
        </w:rPr>
        <w:t>四、主要环境影响和保护措施</w:t>
      </w:r>
      <w:r>
        <w:rPr>
          <w:color w:val="auto"/>
        </w:rPr>
        <w:tab/>
      </w:r>
      <w:r>
        <w:rPr>
          <w:color w:val="auto"/>
        </w:rPr>
        <w:fldChar w:fldCharType="begin"/>
      </w:r>
      <w:r>
        <w:rPr>
          <w:color w:val="auto"/>
        </w:rPr>
        <w:instrText xml:space="preserve"> PAGEREF _Toc11318 </w:instrText>
      </w:r>
      <w:r>
        <w:rPr>
          <w:color w:val="auto"/>
        </w:rPr>
        <w:fldChar w:fldCharType="separate"/>
      </w:r>
      <w:r>
        <w:rPr>
          <w:color w:val="auto"/>
        </w:rPr>
        <w:t>77</w:t>
      </w:r>
      <w:r>
        <w:rPr>
          <w:color w:val="auto"/>
        </w:rPr>
        <w:fldChar w:fldCharType="end"/>
      </w:r>
      <w:r>
        <w:rPr>
          <w:color w:val="auto"/>
        </w:rPr>
        <w:fldChar w:fldCharType="end"/>
      </w:r>
    </w:p>
    <w:p w14:paraId="4D902706">
      <w:pPr>
        <w:pStyle w:val="15"/>
        <w:tabs>
          <w:tab w:val="right" w:leader="dot" w:pos="8306"/>
        </w:tabs>
        <w:ind w:firstLine="480"/>
        <w:rPr>
          <w:color w:val="auto"/>
        </w:rPr>
      </w:pPr>
      <w:r>
        <w:rPr>
          <w:color w:val="auto"/>
        </w:rPr>
        <w:fldChar w:fldCharType="begin"/>
      </w:r>
      <w:r>
        <w:rPr>
          <w:color w:val="auto"/>
        </w:rPr>
        <w:instrText xml:space="preserve"> HYPERLINK \l "_Toc18391" </w:instrText>
      </w:r>
      <w:r>
        <w:rPr>
          <w:color w:val="auto"/>
        </w:rPr>
        <w:fldChar w:fldCharType="separate"/>
      </w:r>
      <w:r>
        <w:rPr>
          <w:color w:val="auto"/>
        </w:rPr>
        <w:t>五、环境保护措施监督检查清单</w:t>
      </w:r>
      <w:r>
        <w:rPr>
          <w:color w:val="auto"/>
        </w:rPr>
        <w:tab/>
      </w:r>
      <w:r>
        <w:rPr>
          <w:color w:val="auto"/>
        </w:rPr>
        <w:fldChar w:fldCharType="begin"/>
      </w:r>
      <w:r>
        <w:rPr>
          <w:color w:val="auto"/>
        </w:rPr>
        <w:instrText xml:space="preserve"> PAGEREF _Toc18391 </w:instrText>
      </w:r>
      <w:r>
        <w:rPr>
          <w:color w:val="auto"/>
        </w:rPr>
        <w:fldChar w:fldCharType="separate"/>
      </w:r>
      <w:r>
        <w:rPr>
          <w:color w:val="auto"/>
        </w:rPr>
        <w:t>125</w:t>
      </w:r>
      <w:r>
        <w:rPr>
          <w:color w:val="auto"/>
        </w:rPr>
        <w:fldChar w:fldCharType="end"/>
      </w:r>
      <w:r>
        <w:rPr>
          <w:color w:val="auto"/>
        </w:rPr>
        <w:fldChar w:fldCharType="end"/>
      </w:r>
    </w:p>
    <w:p w14:paraId="7CC36EA6">
      <w:pPr>
        <w:pStyle w:val="15"/>
        <w:tabs>
          <w:tab w:val="right" w:leader="dot" w:pos="8306"/>
        </w:tabs>
        <w:ind w:firstLine="480"/>
        <w:rPr>
          <w:rFonts w:hint="eastAsia" w:eastAsia="宋体"/>
          <w:color w:val="auto"/>
          <w:lang w:val="en-US" w:eastAsia="zh-CN"/>
        </w:rPr>
      </w:pPr>
      <w:r>
        <w:rPr>
          <w:color w:val="auto"/>
        </w:rPr>
        <w:fldChar w:fldCharType="begin"/>
      </w:r>
      <w:r>
        <w:rPr>
          <w:color w:val="auto"/>
        </w:rPr>
        <w:instrText xml:space="preserve"> HYPERLINK \l "_Toc12811" </w:instrText>
      </w:r>
      <w:r>
        <w:rPr>
          <w:color w:val="auto"/>
        </w:rPr>
        <w:fldChar w:fldCharType="separate"/>
      </w:r>
      <w:r>
        <w:rPr>
          <w:color w:val="auto"/>
        </w:rPr>
        <w:t>六、结论</w:t>
      </w:r>
      <w:r>
        <w:rPr>
          <w:color w:val="auto"/>
        </w:rPr>
        <w:tab/>
      </w:r>
      <w:r>
        <w:rPr>
          <w:color w:val="auto"/>
        </w:rPr>
        <w:fldChar w:fldCharType="begin"/>
      </w:r>
      <w:r>
        <w:rPr>
          <w:color w:val="auto"/>
        </w:rPr>
        <w:instrText xml:space="preserve"> PAGEREF _Toc12811 </w:instrText>
      </w:r>
      <w:r>
        <w:rPr>
          <w:color w:val="auto"/>
        </w:rPr>
        <w:fldChar w:fldCharType="separate"/>
      </w:r>
      <w:r>
        <w:rPr>
          <w:color w:val="auto"/>
        </w:rPr>
        <w:t>127</w:t>
      </w:r>
      <w:r>
        <w:rPr>
          <w:color w:val="auto"/>
        </w:rPr>
        <w:fldChar w:fldCharType="end"/>
      </w:r>
      <w:r>
        <w:rPr>
          <w:color w:val="auto"/>
        </w:rPr>
        <w:fldChar w:fldCharType="end"/>
      </w:r>
    </w:p>
    <w:p w14:paraId="5AC156EB">
      <w:pPr>
        <w:ind w:firstLine="480"/>
        <w:rPr>
          <w:color w:val="auto"/>
        </w:rPr>
      </w:pPr>
      <w:r>
        <w:rPr>
          <w:bCs/>
          <w:color w:val="auto"/>
          <w:lang w:val="zh-CN"/>
        </w:rPr>
        <w:fldChar w:fldCharType="end"/>
      </w:r>
    </w:p>
    <w:p w14:paraId="13364D0B">
      <w:pPr>
        <w:rPr>
          <w:color w:val="auto"/>
          <w:highlight w:val="none"/>
        </w:rPr>
      </w:pPr>
      <w:r>
        <w:rPr>
          <w:color w:val="auto"/>
          <w:highlight w:val="none"/>
        </w:rPr>
        <w:br w:type="page"/>
      </w:r>
    </w:p>
    <w:p w14:paraId="1829AEE2">
      <w:pPr>
        <w:ind w:firstLine="480"/>
        <w:rPr>
          <w:color w:val="auto"/>
          <w:highlight w:val="none"/>
        </w:rPr>
      </w:pPr>
      <w:r>
        <w:rPr>
          <w:color w:val="auto"/>
          <w:highlight w:val="none"/>
        </w:rPr>
        <w:t>建设项目污染物排放量汇总表</w:t>
      </w:r>
    </w:p>
    <w:p w14:paraId="3E360A60">
      <w:pPr>
        <w:ind w:firstLine="480"/>
        <w:rPr>
          <w:color w:val="auto"/>
          <w:highlight w:val="none"/>
        </w:rPr>
      </w:pPr>
      <w:r>
        <w:rPr>
          <w:color w:val="auto"/>
          <w:highlight w:val="none"/>
        </w:rPr>
        <w:t>附件：</w:t>
      </w:r>
    </w:p>
    <w:p w14:paraId="2BA2CCEA">
      <w:pPr>
        <w:ind w:firstLine="480"/>
        <w:rPr>
          <w:color w:val="auto"/>
          <w:highlight w:val="none"/>
        </w:rPr>
      </w:pPr>
      <w:r>
        <w:rPr>
          <w:color w:val="auto"/>
          <w:highlight w:val="none"/>
        </w:rPr>
        <w:t>附件1环评委托书</w:t>
      </w:r>
    </w:p>
    <w:p w14:paraId="115B0881">
      <w:pPr>
        <w:ind w:firstLine="480"/>
        <w:rPr>
          <w:color w:val="auto"/>
          <w:highlight w:val="none"/>
        </w:rPr>
      </w:pPr>
      <w:r>
        <w:rPr>
          <w:color w:val="auto"/>
          <w:highlight w:val="none"/>
        </w:rPr>
        <w:t>附件2立项文件（可行性研究报告批复）</w:t>
      </w:r>
    </w:p>
    <w:p w14:paraId="3F9B934F">
      <w:pPr>
        <w:ind w:firstLine="480"/>
        <w:rPr>
          <w:color w:val="auto"/>
          <w:highlight w:val="none"/>
        </w:rPr>
      </w:pPr>
      <w:r>
        <w:rPr>
          <w:color w:val="auto"/>
          <w:highlight w:val="none"/>
        </w:rPr>
        <w:t>附件</w:t>
      </w:r>
      <w:r>
        <w:rPr>
          <w:rFonts w:hint="eastAsia"/>
          <w:color w:val="auto"/>
          <w:highlight w:val="none"/>
          <w:lang w:val="en-US" w:eastAsia="zh-CN"/>
        </w:rPr>
        <w:t>3</w:t>
      </w:r>
      <w:r>
        <w:rPr>
          <w:color w:val="auto"/>
          <w:highlight w:val="none"/>
        </w:rPr>
        <w:t>原</w:t>
      </w:r>
      <w:r>
        <w:rPr>
          <w:rFonts w:hint="eastAsia"/>
          <w:color w:val="auto"/>
          <w:highlight w:val="none"/>
          <w:lang w:val="en-US" w:eastAsia="zh-CN"/>
        </w:rPr>
        <w:t>江川区医院综合楼</w:t>
      </w:r>
      <w:r>
        <w:rPr>
          <w:color w:val="auto"/>
          <w:highlight w:val="none"/>
        </w:rPr>
        <w:t>环评批复</w:t>
      </w:r>
    </w:p>
    <w:p w14:paraId="1066FCF8">
      <w:pPr>
        <w:ind w:firstLine="480"/>
        <w:rPr>
          <w:color w:val="auto"/>
          <w:highlight w:val="none"/>
        </w:rPr>
      </w:pPr>
      <w:r>
        <w:rPr>
          <w:color w:val="auto"/>
          <w:highlight w:val="none"/>
        </w:rPr>
        <w:t>附件</w:t>
      </w:r>
      <w:r>
        <w:rPr>
          <w:rFonts w:hint="eastAsia"/>
          <w:color w:val="auto"/>
          <w:highlight w:val="none"/>
          <w:lang w:val="en-US" w:eastAsia="zh-CN"/>
        </w:rPr>
        <w:t>4</w:t>
      </w:r>
      <w:r>
        <w:rPr>
          <w:color w:val="auto"/>
          <w:highlight w:val="none"/>
        </w:rPr>
        <w:t>国有土地使用证</w:t>
      </w:r>
    </w:p>
    <w:p w14:paraId="3F849B14">
      <w:pPr>
        <w:pStyle w:val="9"/>
        <w:rPr>
          <w:color w:val="auto"/>
          <w:highlight w:val="none"/>
        </w:rPr>
      </w:pPr>
      <w:r>
        <w:rPr>
          <w:color w:val="auto"/>
          <w:highlight w:val="none"/>
        </w:rPr>
        <w:t>附件</w:t>
      </w:r>
      <w:r>
        <w:rPr>
          <w:rFonts w:hint="eastAsia"/>
          <w:color w:val="auto"/>
          <w:highlight w:val="none"/>
          <w:lang w:val="en-US" w:eastAsia="zh-CN"/>
        </w:rPr>
        <w:t>5“三区三线”查询结果</w:t>
      </w:r>
    </w:p>
    <w:p w14:paraId="623D2D76">
      <w:pPr>
        <w:pStyle w:val="9"/>
        <w:rPr>
          <w:color w:val="auto"/>
        </w:rPr>
      </w:pPr>
      <w:r>
        <w:rPr>
          <w:rFonts w:hint="eastAsia"/>
          <w:color w:val="auto"/>
          <w:highlight w:val="none"/>
          <w:lang w:val="en-US" w:eastAsia="zh-CN"/>
        </w:rPr>
        <w:t>附件6</w:t>
      </w:r>
      <w:r>
        <w:rPr>
          <w:color w:val="auto"/>
          <w:highlight w:val="none"/>
        </w:rPr>
        <w:t>现状监测</w:t>
      </w:r>
    </w:p>
    <w:p w14:paraId="5BF63EC8">
      <w:pPr>
        <w:ind w:firstLine="480"/>
        <w:rPr>
          <w:rFonts w:hint="eastAsia"/>
          <w:color w:val="auto"/>
          <w:highlight w:val="none"/>
          <w:lang w:eastAsia="zh-CN"/>
        </w:rPr>
      </w:pPr>
      <w:r>
        <w:rPr>
          <w:rFonts w:hint="eastAsia"/>
          <w:color w:val="auto"/>
          <w:highlight w:val="none"/>
          <w:lang w:eastAsia="zh-CN"/>
        </w:rPr>
        <w:t>江城镇卫生院附件：</w:t>
      </w:r>
    </w:p>
    <w:p w14:paraId="66C535E5">
      <w:pPr>
        <w:ind w:firstLine="480"/>
        <w:rPr>
          <w:color w:val="auto"/>
          <w:highlight w:val="none"/>
        </w:rPr>
      </w:pPr>
      <w:r>
        <w:rPr>
          <w:color w:val="auto"/>
          <w:highlight w:val="none"/>
        </w:rPr>
        <w:t>附件</w:t>
      </w:r>
      <w:r>
        <w:rPr>
          <w:rFonts w:hint="eastAsia"/>
          <w:color w:val="auto"/>
          <w:highlight w:val="none"/>
          <w:lang w:val="en-US" w:eastAsia="zh-CN"/>
        </w:rPr>
        <w:t>1江城卫生院</w:t>
      </w:r>
      <w:r>
        <w:rPr>
          <w:color w:val="auto"/>
          <w:highlight w:val="none"/>
        </w:rPr>
        <w:t>污泥处置合同</w:t>
      </w:r>
    </w:p>
    <w:p w14:paraId="394D9976">
      <w:pPr>
        <w:ind w:firstLine="480"/>
        <w:rPr>
          <w:rFonts w:hint="eastAsia" w:eastAsia="宋体"/>
          <w:color w:val="auto"/>
          <w:highlight w:val="none"/>
          <w:lang w:eastAsia="zh-CN"/>
        </w:rPr>
      </w:pPr>
      <w:r>
        <w:rPr>
          <w:color w:val="auto"/>
          <w:highlight w:val="none"/>
        </w:rPr>
        <w:t>附件</w:t>
      </w:r>
      <w:r>
        <w:rPr>
          <w:rFonts w:hint="eastAsia"/>
          <w:color w:val="auto"/>
          <w:highlight w:val="none"/>
          <w:lang w:val="en-US" w:eastAsia="zh-CN"/>
        </w:rPr>
        <w:t>2江城卫生院</w:t>
      </w:r>
      <w:r>
        <w:rPr>
          <w:color w:val="auto"/>
          <w:highlight w:val="none"/>
        </w:rPr>
        <w:t>医疗废物处置服务合同</w:t>
      </w:r>
      <w:r>
        <w:rPr>
          <w:rFonts w:hint="eastAsia"/>
          <w:color w:val="auto"/>
          <w:highlight w:val="none"/>
          <w:lang w:eastAsia="zh-CN"/>
        </w:rPr>
        <w:t>（</w:t>
      </w:r>
      <w:r>
        <w:rPr>
          <w:rFonts w:hint="eastAsia"/>
          <w:color w:val="auto"/>
          <w:highlight w:val="none"/>
          <w:lang w:val="en-US" w:eastAsia="zh-CN"/>
        </w:rPr>
        <w:t>旧</w:t>
      </w:r>
      <w:r>
        <w:rPr>
          <w:rFonts w:hint="eastAsia"/>
          <w:color w:val="auto"/>
          <w:highlight w:val="none"/>
          <w:lang w:eastAsia="zh-CN"/>
        </w:rPr>
        <w:t>）</w:t>
      </w:r>
    </w:p>
    <w:p w14:paraId="54C62E4A">
      <w:pPr>
        <w:ind w:firstLine="480"/>
        <w:rPr>
          <w:rFonts w:hint="eastAsia"/>
          <w:color w:val="auto"/>
          <w:highlight w:val="none"/>
          <w:lang w:val="en-US" w:eastAsia="zh-CN"/>
        </w:rPr>
      </w:pPr>
      <w:r>
        <w:rPr>
          <w:rFonts w:hint="eastAsia"/>
          <w:color w:val="auto"/>
          <w:highlight w:val="none"/>
          <w:lang w:val="en-US" w:eastAsia="zh-CN"/>
        </w:rPr>
        <w:t>附件3江城卫生院输液袋回收合同</w:t>
      </w:r>
    </w:p>
    <w:p w14:paraId="1D7280F2">
      <w:pPr>
        <w:ind w:firstLine="480"/>
        <w:rPr>
          <w:rFonts w:hint="eastAsia"/>
          <w:color w:val="auto"/>
          <w:highlight w:val="none"/>
          <w:lang w:val="en-US" w:eastAsia="zh-CN"/>
        </w:rPr>
      </w:pPr>
      <w:r>
        <w:rPr>
          <w:rFonts w:hint="eastAsia"/>
          <w:color w:val="auto"/>
          <w:highlight w:val="none"/>
          <w:lang w:val="en-US" w:eastAsia="zh-CN"/>
        </w:rPr>
        <w:t>附件4江城医疗废物台账、清掏化粪池处置台账、协议</w:t>
      </w:r>
    </w:p>
    <w:p w14:paraId="09BD73A0">
      <w:pPr>
        <w:pStyle w:val="2"/>
        <w:ind w:firstLine="480" w:firstLineChars="200"/>
        <w:rPr>
          <w:rFonts w:hint="eastAsia"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附件5江城镇卫生院登记表</w:t>
      </w:r>
    </w:p>
    <w:p w14:paraId="7C4B6A56">
      <w:pPr>
        <w:pStyle w:val="2"/>
        <w:ind w:firstLine="480" w:firstLineChars="200"/>
        <w:rPr>
          <w:rFonts w:hint="eastAsia"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附件6 正晓医疗废物处置合同</w:t>
      </w:r>
      <w:r>
        <w:rPr>
          <w:rFonts w:hint="eastAsia" w:cs="Times New Roman"/>
          <w:color w:val="auto"/>
          <w:kern w:val="2"/>
          <w:sz w:val="24"/>
          <w:szCs w:val="22"/>
          <w:highlight w:val="none"/>
          <w:lang w:val="en-US" w:eastAsia="zh-CN" w:bidi="ar-SA"/>
        </w:rPr>
        <w:t>（新）</w:t>
      </w:r>
    </w:p>
    <w:p w14:paraId="19FA85F1">
      <w:pPr>
        <w:pStyle w:val="2"/>
        <w:ind w:firstLine="480" w:firstLineChars="200"/>
        <w:rPr>
          <w:rFonts w:hint="default" w:cs="Times New Roman"/>
          <w:color w:val="auto"/>
          <w:kern w:val="2"/>
          <w:sz w:val="24"/>
          <w:szCs w:val="22"/>
          <w:highlight w:val="none"/>
          <w:lang w:val="en-US" w:eastAsia="zh-CN" w:bidi="ar-SA"/>
        </w:rPr>
      </w:pPr>
      <w:r>
        <w:rPr>
          <w:rFonts w:hint="default" w:cs="Times New Roman"/>
          <w:color w:val="auto"/>
          <w:kern w:val="2"/>
          <w:sz w:val="24"/>
          <w:szCs w:val="22"/>
          <w:highlight w:val="none"/>
          <w:lang w:val="en-US" w:eastAsia="zh-CN" w:bidi="ar-SA"/>
        </w:rPr>
        <w:t>附件7 云南正晓环保投资有限公司医废资质</w:t>
      </w:r>
    </w:p>
    <w:p w14:paraId="16B7C916">
      <w:pPr>
        <w:ind w:firstLine="480"/>
        <w:rPr>
          <w:rFonts w:hint="eastAsia"/>
          <w:color w:val="auto"/>
          <w:highlight w:val="none"/>
          <w:lang w:val="en-US" w:eastAsia="zh-CN"/>
        </w:rPr>
      </w:pPr>
      <w:r>
        <w:rPr>
          <w:rFonts w:hint="eastAsia"/>
          <w:color w:val="auto"/>
          <w:highlight w:val="none"/>
          <w:lang w:val="en-US" w:eastAsia="zh-CN"/>
        </w:rPr>
        <w:t>江川区医共体总院附件：</w:t>
      </w:r>
    </w:p>
    <w:p w14:paraId="280F9921">
      <w:pPr>
        <w:ind w:firstLine="480"/>
        <w:rPr>
          <w:rFonts w:hint="eastAsia"/>
          <w:color w:val="auto"/>
          <w:highlight w:val="none"/>
          <w:lang w:val="en-US" w:eastAsia="zh-CN"/>
        </w:rPr>
      </w:pPr>
      <w:r>
        <w:rPr>
          <w:rFonts w:hint="eastAsia"/>
          <w:color w:val="auto"/>
          <w:highlight w:val="none"/>
          <w:lang w:val="en-US" w:eastAsia="zh-CN"/>
        </w:rPr>
        <w:t>附件1江川区医共体总院医疗废物处置合同</w:t>
      </w:r>
    </w:p>
    <w:p w14:paraId="2E1215B7">
      <w:pPr>
        <w:ind w:firstLine="480"/>
        <w:rPr>
          <w:rFonts w:hint="eastAsia"/>
          <w:color w:val="auto"/>
          <w:highlight w:val="none"/>
          <w:lang w:val="en-US" w:eastAsia="zh-CN"/>
        </w:rPr>
      </w:pPr>
      <w:r>
        <w:rPr>
          <w:rFonts w:hint="eastAsia"/>
          <w:color w:val="auto"/>
          <w:highlight w:val="none"/>
          <w:lang w:val="en-US" w:eastAsia="zh-CN"/>
        </w:rPr>
        <w:t>附件2江川区医共体总院医疗执业许可证</w:t>
      </w:r>
    </w:p>
    <w:p w14:paraId="6386ED0F">
      <w:pPr>
        <w:ind w:firstLine="480"/>
        <w:rPr>
          <w:rFonts w:hint="eastAsia"/>
          <w:color w:val="auto"/>
          <w:highlight w:val="none"/>
          <w:lang w:val="en-US" w:eastAsia="zh-CN"/>
        </w:rPr>
      </w:pPr>
      <w:r>
        <w:rPr>
          <w:rFonts w:hint="eastAsia"/>
          <w:color w:val="auto"/>
          <w:highlight w:val="none"/>
          <w:lang w:val="en-US" w:eastAsia="zh-CN"/>
        </w:rPr>
        <w:t>附件3江川区医共体总院污泥处置协议及转移联单</w:t>
      </w:r>
    </w:p>
    <w:p w14:paraId="69C92DCF">
      <w:pPr>
        <w:ind w:firstLine="480"/>
        <w:rPr>
          <w:rFonts w:hint="eastAsia"/>
          <w:color w:val="auto"/>
          <w:highlight w:val="none"/>
          <w:lang w:val="en-US" w:eastAsia="zh-CN"/>
        </w:rPr>
      </w:pPr>
      <w:r>
        <w:rPr>
          <w:rFonts w:hint="eastAsia"/>
          <w:color w:val="auto"/>
          <w:highlight w:val="none"/>
          <w:lang w:val="en-US" w:eastAsia="zh-CN"/>
        </w:rPr>
        <w:t>附件4排污许可证</w:t>
      </w:r>
    </w:p>
    <w:p w14:paraId="53F7D761">
      <w:pPr>
        <w:ind w:firstLine="480"/>
        <w:rPr>
          <w:rFonts w:hint="eastAsia"/>
          <w:color w:val="auto"/>
          <w:highlight w:val="none"/>
          <w:lang w:val="en-US" w:eastAsia="zh-CN"/>
        </w:rPr>
      </w:pPr>
      <w:r>
        <w:rPr>
          <w:rFonts w:hint="eastAsia"/>
          <w:color w:val="auto"/>
          <w:highlight w:val="none"/>
          <w:lang w:val="en-US" w:eastAsia="zh-CN"/>
        </w:rPr>
        <w:t>附件5危险废物处置合同</w:t>
      </w:r>
    </w:p>
    <w:p w14:paraId="2BEF5EE6">
      <w:pPr>
        <w:ind w:firstLine="480"/>
        <w:rPr>
          <w:rFonts w:hint="eastAsia"/>
          <w:color w:val="auto"/>
          <w:highlight w:val="none"/>
          <w:lang w:val="en-US" w:eastAsia="zh-CN"/>
        </w:rPr>
      </w:pPr>
      <w:r>
        <w:rPr>
          <w:rFonts w:hint="eastAsia"/>
          <w:color w:val="auto"/>
          <w:highlight w:val="none"/>
          <w:lang w:val="en-US" w:eastAsia="zh-CN"/>
        </w:rPr>
        <w:t>附件6污水排入市政污水管网情况说明</w:t>
      </w:r>
    </w:p>
    <w:p w14:paraId="4E6A783F">
      <w:pPr>
        <w:ind w:firstLine="480"/>
        <w:rPr>
          <w:rFonts w:hint="eastAsia"/>
          <w:color w:val="auto"/>
          <w:highlight w:val="none"/>
          <w:lang w:val="en-US" w:eastAsia="zh-CN"/>
        </w:rPr>
      </w:pPr>
      <w:r>
        <w:rPr>
          <w:rFonts w:hint="eastAsia"/>
          <w:color w:val="auto"/>
          <w:highlight w:val="none"/>
          <w:lang w:val="en-US" w:eastAsia="zh-CN"/>
        </w:rPr>
        <w:t>附件7医疗废物转移联单</w:t>
      </w:r>
    </w:p>
    <w:p w14:paraId="1A077161">
      <w:pPr>
        <w:ind w:firstLine="480"/>
        <w:rPr>
          <w:rFonts w:hint="default"/>
          <w:color w:val="auto"/>
          <w:highlight w:val="none"/>
          <w:lang w:val="en-US" w:eastAsia="zh-CN"/>
        </w:rPr>
      </w:pPr>
      <w:r>
        <w:rPr>
          <w:rFonts w:hint="default"/>
          <w:color w:val="auto"/>
          <w:highlight w:val="none"/>
          <w:lang w:val="en-US" w:eastAsia="zh-CN"/>
        </w:rPr>
        <w:t>附件8污泥处置单位资质</w:t>
      </w:r>
    </w:p>
    <w:p w14:paraId="33E22271">
      <w:pPr>
        <w:ind w:firstLine="480"/>
        <w:rPr>
          <w:rFonts w:hint="eastAsia"/>
          <w:color w:val="auto"/>
          <w:highlight w:val="none"/>
          <w:lang w:val="en-US" w:eastAsia="zh-CN"/>
        </w:rPr>
      </w:pPr>
      <w:r>
        <w:rPr>
          <w:rFonts w:hint="eastAsia"/>
          <w:color w:val="auto"/>
          <w:highlight w:val="none"/>
          <w:lang w:val="en-US" w:eastAsia="zh-CN"/>
        </w:rPr>
        <w:t>附件9生活垃圾处置协议及清运统计单</w:t>
      </w:r>
    </w:p>
    <w:p w14:paraId="758D68F3">
      <w:pPr>
        <w:ind w:firstLine="480"/>
        <w:rPr>
          <w:rFonts w:hint="default"/>
          <w:color w:val="auto"/>
          <w:highlight w:val="none"/>
          <w:lang w:val="en-US" w:eastAsia="zh-CN"/>
        </w:rPr>
      </w:pPr>
      <w:r>
        <w:rPr>
          <w:rFonts w:hint="default"/>
          <w:color w:val="auto"/>
          <w:highlight w:val="none"/>
          <w:lang w:val="en-US" w:eastAsia="zh-CN"/>
        </w:rPr>
        <w:t>附件10江川区人民医院2025年排污许可证自行检测（12月第1周）</w:t>
      </w:r>
    </w:p>
    <w:p w14:paraId="543DCC82">
      <w:pPr>
        <w:ind w:firstLine="480"/>
        <w:rPr>
          <w:rFonts w:hint="default"/>
          <w:color w:val="auto"/>
          <w:highlight w:val="none"/>
          <w:lang w:val="en-US" w:eastAsia="zh-CN"/>
        </w:rPr>
      </w:pPr>
      <w:r>
        <w:rPr>
          <w:rFonts w:hint="default"/>
          <w:color w:val="auto"/>
          <w:highlight w:val="none"/>
          <w:lang w:val="en-US" w:eastAsia="zh-CN"/>
        </w:rPr>
        <w:t>附件11江川区人民医院2026年排污许可证自行检测（2月第4周）</w:t>
      </w:r>
    </w:p>
    <w:p w14:paraId="0779EF1B">
      <w:pPr>
        <w:ind w:firstLine="480"/>
        <w:rPr>
          <w:rFonts w:hint="default"/>
          <w:color w:val="auto"/>
          <w:highlight w:val="none"/>
          <w:lang w:val="en-US" w:eastAsia="zh-CN"/>
        </w:rPr>
      </w:pPr>
      <w:r>
        <w:rPr>
          <w:rFonts w:hint="default"/>
          <w:color w:val="auto"/>
          <w:highlight w:val="none"/>
          <w:lang w:val="en-US" w:eastAsia="zh-CN"/>
        </w:rPr>
        <w:t>附件122025年12月沙门氏菌自行检测</w:t>
      </w:r>
    </w:p>
    <w:p w14:paraId="0CCFDADF">
      <w:pPr>
        <w:ind w:firstLine="480"/>
        <w:rPr>
          <w:rFonts w:hint="default"/>
          <w:color w:val="auto"/>
          <w:highlight w:val="none"/>
          <w:lang w:val="en-US" w:eastAsia="zh-CN"/>
        </w:rPr>
      </w:pPr>
      <w:r>
        <w:rPr>
          <w:rFonts w:hint="default"/>
          <w:color w:val="auto"/>
          <w:highlight w:val="none"/>
          <w:lang w:val="en-US" w:eastAsia="zh-CN"/>
        </w:rPr>
        <w:t>附件132025年12月志贺氏菌自行监测</w:t>
      </w:r>
    </w:p>
    <w:p w14:paraId="4A7653F8">
      <w:pPr>
        <w:ind w:left="0" w:leftChars="0" w:firstLine="0" w:firstLineChars="0"/>
        <w:rPr>
          <w:color w:val="auto"/>
          <w:highlight w:val="none"/>
        </w:rPr>
      </w:pPr>
    </w:p>
    <w:p w14:paraId="2F3F8013">
      <w:pPr>
        <w:ind w:firstLine="480"/>
        <w:rPr>
          <w:color w:val="auto"/>
          <w:highlight w:val="none"/>
        </w:rPr>
      </w:pPr>
      <w:r>
        <w:rPr>
          <w:color w:val="auto"/>
          <w:highlight w:val="none"/>
        </w:rPr>
        <w:t>附图：</w:t>
      </w:r>
    </w:p>
    <w:p w14:paraId="133078FD">
      <w:pPr>
        <w:ind w:firstLine="480"/>
        <w:rPr>
          <w:color w:val="auto"/>
          <w:highlight w:val="none"/>
        </w:rPr>
      </w:pPr>
      <w:r>
        <w:rPr>
          <w:color w:val="auto"/>
          <w:highlight w:val="none"/>
        </w:rPr>
        <w:t>附图1：项目地理位置图</w:t>
      </w:r>
    </w:p>
    <w:p w14:paraId="21AAF5AA">
      <w:pPr>
        <w:ind w:firstLine="480"/>
        <w:rPr>
          <w:color w:val="auto"/>
          <w:highlight w:val="none"/>
        </w:rPr>
      </w:pPr>
      <w:r>
        <w:rPr>
          <w:color w:val="auto"/>
          <w:highlight w:val="none"/>
        </w:rPr>
        <w:t>附图2：项目区总平面布置图</w:t>
      </w:r>
    </w:p>
    <w:p w14:paraId="012F332B">
      <w:pPr>
        <w:ind w:firstLine="480"/>
        <w:rPr>
          <w:color w:val="auto"/>
          <w:highlight w:val="none"/>
        </w:rPr>
      </w:pPr>
      <w:r>
        <w:rPr>
          <w:color w:val="auto"/>
          <w:highlight w:val="none"/>
        </w:rPr>
        <w:t>附图3：项目周边关系图</w:t>
      </w:r>
    </w:p>
    <w:p w14:paraId="2FB49F27">
      <w:pPr>
        <w:ind w:firstLine="480"/>
        <w:rPr>
          <w:color w:val="auto"/>
        </w:rPr>
      </w:pPr>
      <w:r>
        <w:rPr>
          <w:color w:val="auto"/>
          <w:highlight w:val="none"/>
        </w:rPr>
        <w:t>附图4：项目水系图</w:t>
      </w:r>
    </w:p>
    <w:p w14:paraId="3CC1AE09">
      <w:pPr>
        <w:pStyle w:val="9"/>
        <w:rPr>
          <w:rFonts w:hint="eastAsia"/>
          <w:color w:val="auto"/>
          <w:lang w:val="en-US" w:eastAsia="zh-CN"/>
        </w:rPr>
      </w:pPr>
      <w:r>
        <w:rPr>
          <w:rFonts w:hint="eastAsia" w:ascii="Times New Roman" w:hAnsi="Times New Roman" w:eastAsia="宋体" w:cs="Times New Roman"/>
          <w:color w:val="auto"/>
          <w:kern w:val="2"/>
          <w:sz w:val="24"/>
          <w:szCs w:val="22"/>
          <w:highlight w:val="none"/>
          <w:lang w:val="en-US" w:eastAsia="zh-CN" w:bidi="ar-SA"/>
        </w:rPr>
        <w:t>附图5</w:t>
      </w:r>
      <w:r>
        <w:rPr>
          <w:rFonts w:hint="eastAsia"/>
          <w:color w:val="auto"/>
          <w:lang w:val="en-US" w:eastAsia="zh-CN"/>
        </w:rPr>
        <w:t>：管控单元截图</w:t>
      </w:r>
    </w:p>
    <w:p w14:paraId="70337F82">
      <w:pPr>
        <w:pStyle w:val="9"/>
        <w:rPr>
          <w:rFonts w:hint="eastAsia"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附图6：消毒中心平面布置图</w:t>
      </w:r>
    </w:p>
    <w:p w14:paraId="405E1DFA">
      <w:pPr>
        <w:pStyle w:val="9"/>
        <w:rPr>
          <w:rFonts w:hint="default"/>
          <w:color w:val="auto"/>
          <w:lang w:val="en-US" w:eastAsia="zh-CN"/>
        </w:rPr>
      </w:pPr>
      <w:r>
        <w:rPr>
          <w:rFonts w:hint="eastAsia" w:ascii="Times New Roman" w:hAnsi="Times New Roman" w:eastAsia="宋体" w:cs="Times New Roman"/>
          <w:color w:val="auto"/>
          <w:kern w:val="2"/>
          <w:sz w:val="24"/>
          <w:szCs w:val="22"/>
          <w:highlight w:val="none"/>
          <w:lang w:val="en-US" w:eastAsia="zh-CN" w:bidi="ar-SA"/>
        </w:rPr>
        <w:t>附图7：新建综合楼楼层平面图</w:t>
      </w:r>
    </w:p>
    <w:p w14:paraId="4939EFE0">
      <w:pPr>
        <w:pStyle w:val="9"/>
        <w:rPr>
          <w:rFonts w:hint="eastAsia"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附图8：江川区医共体总院分区防渗图</w:t>
      </w:r>
    </w:p>
    <w:p w14:paraId="6B1DFD08">
      <w:pPr>
        <w:pStyle w:val="9"/>
        <w:rPr>
          <w:rFonts w:hint="default" w:ascii="Times New Roman" w:hAnsi="Times New Roman" w:eastAsia="宋体" w:cs="Times New Roman"/>
          <w:color w:val="auto"/>
          <w:kern w:val="2"/>
          <w:sz w:val="24"/>
          <w:szCs w:val="22"/>
          <w:highlight w:val="none"/>
          <w:lang w:val="en-US" w:eastAsia="zh-CN" w:bidi="ar-SA"/>
        </w:rPr>
        <w:sectPr>
          <w:pgSz w:w="11906" w:h="16838"/>
          <w:pgMar w:top="1440" w:right="1800" w:bottom="1440" w:left="1800" w:header="851" w:footer="992" w:gutter="0"/>
          <w:cols w:space="720" w:num="1"/>
          <w:docGrid w:type="lines" w:linePitch="312" w:charSpace="0"/>
        </w:sectPr>
      </w:pPr>
      <w:r>
        <w:rPr>
          <w:rFonts w:hint="eastAsia" w:ascii="Times New Roman" w:hAnsi="Times New Roman" w:eastAsia="宋体" w:cs="Times New Roman"/>
          <w:color w:val="auto"/>
          <w:kern w:val="2"/>
          <w:sz w:val="24"/>
          <w:szCs w:val="22"/>
          <w:highlight w:val="none"/>
          <w:lang w:val="en-US" w:eastAsia="zh-CN" w:bidi="ar-SA"/>
        </w:rPr>
        <w:t>附图9：江城镇卫生院分区防渗图</w:t>
      </w:r>
    </w:p>
    <w:p w14:paraId="41702252">
      <w:pPr>
        <w:pStyle w:val="3"/>
        <w:jc w:val="center"/>
        <w:rPr>
          <w:color w:val="auto"/>
        </w:rPr>
      </w:pPr>
      <w:bookmarkStart w:id="1" w:name="_Toc25703"/>
      <w:r>
        <w:rPr>
          <w:color w:val="auto"/>
        </w:rPr>
        <w:t>一、建设项目基本情况</w:t>
      </w:r>
      <w:bookmarkEnd w:id="1"/>
    </w:p>
    <w:tbl>
      <w:tblPr>
        <w:tblStyle w:val="19"/>
        <w:tblW w:w="92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685"/>
        <w:gridCol w:w="775"/>
        <w:gridCol w:w="2530"/>
        <w:gridCol w:w="2050"/>
        <w:gridCol w:w="3639"/>
      </w:tblGrid>
      <w:tr w14:paraId="2DEBD4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68" w:hRule="atLeast"/>
          <w:jc w:val="center"/>
        </w:trPr>
        <w:tc>
          <w:tcPr>
            <w:tcW w:w="2045" w:type="dxa"/>
            <w:gridSpan w:val="2"/>
            <w:vAlign w:val="center"/>
          </w:tcPr>
          <w:p w14:paraId="791E0544">
            <w:pPr>
              <w:spacing w:line="240" w:lineRule="auto"/>
              <w:ind w:firstLine="0" w:firstLineChars="0"/>
              <w:jc w:val="center"/>
              <w:rPr>
                <w:color w:val="auto"/>
              </w:rPr>
            </w:pPr>
            <w:r>
              <w:rPr>
                <w:color w:val="auto"/>
              </w:rPr>
              <w:t>项目名称</w:t>
            </w:r>
          </w:p>
        </w:tc>
        <w:tc>
          <w:tcPr>
            <w:tcW w:w="7214" w:type="dxa"/>
            <w:gridSpan w:val="3"/>
            <w:vAlign w:val="center"/>
          </w:tcPr>
          <w:p w14:paraId="2DCB01C1">
            <w:pPr>
              <w:ind w:firstLine="0" w:firstLineChars="0"/>
              <w:jc w:val="center"/>
              <w:rPr>
                <w:rFonts w:hint="eastAsia" w:eastAsia="宋体"/>
                <w:color w:val="auto"/>
                <w:szCs w:val="24"/>
                <w:lang w:eastAsia="zh-CN"/>
              </w:rPr>
            </w:pPr>
            <w:r>
              <w:rPr>
                <w:rFonts w:hint="eastAsia"/>
                <w:color w:val="auto"/>
                <w:lang w:eastAsia="zh-CN"/>
              </w:rPr>
              <w:t>玉溪市江川区县域医共体建设项目</w:t>
            </w:r>
          </w:p>
        </w:tc>
      </w:tr>
      <w:tr w14:paraId="4042E4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74" w:hRule="atLeast"/>
          <w:jc w:val="center"/>
        </w:trPr>
        <w:tc>
          <w:tcPr>
            <w:tcW w:w="2045" w:type="dxa"/>
            <w:gridSpan w:val="2"/>
            <w:vAlign w:val="center"/>
          </w:tcPr>
          <w:p w14:paraId="11C541B5">
            <w:pPr>
              <w:spacing w:line="240" w:lineRule="auto"/>
              <w:ind w:firstLine="0" w:firstLineChars="0"/>
              <w:jc w:val="center"/>
              <w:rPr>
                <w:color w:val="auto"/>
              </w:rPr>
            </w:pPr>
            <w:r>
              <w:rPr>
                <w:color w:val="auto"/>
              </w:rPr>
              <w:t>项目代码</w:t>
            </w:r>
          </w:p>
        </w:tc>
        <w:tc>
          <w:tcPr>
            <w:tcW w:w="7214" w:type="dxa"/>
            <w:gridSpan w:val="3"/>
            <w:vAlign w:val="center"/>
          </w:tcPr>
          <w:p w14:paraId="7CD553CB">
            <w:pPr>
              <w:widowControl/>
              <w:ind w:firstLine="480"/>
              <w:jc w:val="center"/>
              <w:rPr>
                <w:color w:val="auto"/>
                <w:szCs w:val="24"/>
              </w:rPr>
            </w:pPr>
            <w:r>
              <w:rPr>
                <w:rFonts w:hint="default"/>
                <w:color w:val="auto"/>
                <w:szCs w:val="24"/>
                <w:lang w:val="en-US" w:eastAsia="zh-CN"/>
              </w:rPr>
              <w:t>2504-530403-04-01-385371</w:t>
            </w:r>
          </w:p>
        </w:tc>
      </w:tr>
      <w:tr w14:paraId="23217D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95" w:hRule="atLeast"/>
          <w:jc w:val="center"/>
        </w:trPr>
        <w:tc>
          <w:tcPr>
            <w:tcW w:w="2045" w:type="dxa"/>
            <w:gridSpan w:val="2"/>
            <w:vAlign w:val="center"/>
          </w:tcPr>
          <w:p w14:paraId="3424448F">
            <w:pPr>
              <w:spacing w:line="240" w:lineRule="auto"/>
              <w:ind w:firstLine="0" w:firstLineChars="0"/>
              <w:jc w:val="center"/>
              <w:rPr>
                <w:color w:val="auto"/>
              </w:rPr>
            </w:pPr>
            <w:r>
              <w:rPr>
                <w:color w:val="auto"/>
              </w:rPr>
              <w:t>建设单位联系人</w:t>
            </w:r>
          </w:p>
        </w:tc>
        <w:tc>
          <w:tcPr>
            <w:tcW w:w="2401" w:type="dxa"/>
            <w:vAlign w:val="center"/>
          </w:tcPr>
          <w:p w14:paraId="43308CDF">
            <w:pPr>
              <w:spacing w:line="240" w:lineRule="auto"/>
              <w:ind w:firstLine="0" w:firstLineChars="0"/>
              <w:jc w:val="center"/>
              <w:rPr>
                <w:rFonts w:hint="default" w:eastAsia="宋体"/>
                <w:color w:val="auto"/>
                <w:lang w:val="en-US" w:eastAsia="zh-CN"/>
              </w:rPr>
            </w:pPr>
            <w:r>
              <w:rPr>
                <w:rFonts w:hint="eastAsia"/>
                <w:color w:val="auto"/>
                <w:lang w:val="en-US" w:eastAsia="zh-CN"/>
              </w:rPr>
              <w:t>张旭川</w:t>
            </w:r>
          </w:p>
        </w:tc>
        <w:tc>
          <w:tcPr>
            <w:tcW w:w="1701" w:type="dxa"/>
            <w:vAlign w:val="center"/>
          </w:tcPr>
          <w:p w14:paraId="3D12EBA6">
            <w:pPr>
              <w:spacing w:line="240" w:lineRule="auto"/>
              <w:ind w:firstLine="0" w:firstLineChars="0"/>
              <w:jc w:val="center"/>
              <w:rPr>
                <w:color w:val="auto"/>
              </w:rPr>
            </w:pPr>
            <w:r>
              <w:rPr>
                <w:color w:val="auto"/>
              </w:rPr>
              <w:t>联系方式</w:t>
            </w:r>
          </w:p>
        </w:tc>
        <w:tc>
          <w:tcPr>
            <w:tcW w:w="3112" w:type="dxa"/>
            <w:vAlign w:val="center"/>
          </w:tcPr>
          <w:p w14:paraId="1F14FAEC">
            <w:pPr>
              <w:spacing w:line="240" w:lineRule="auto"/>
              <w:ind w:firstLine="0" w:firstLineChars="0"/>
              <w:jc w:val="center"/>
              <w:rPr>
                <w:rFonts w:hint="default" w:eastAsia="宋体"/>
                <w:color w:val="auto"/>
                <w:lang w:val="en-US" w:eastAsia="zh-CN"/>
              </w:rPr>
            </w:pPr>
            <w:r>
              <w:rPr>
                <w:rFonts w:hint="eastAsia"/>
                <w:color w:val="auto"/>
                <w:lang w:val="en-US" w:eastAsia="zh-CN"/>
              </w:rPr>
              <w:t>18787756669</w:t>
            </w:r>
          </w:p>
        </w:tc>
      </w:tr>
      <w:tr w14:paraId="2F2842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54" w:hRule="atLeast"/>
          <w:jc w:val="center"/>
        </w:trPr>
        <w:tc>
          <w:tcPr>
            <w:tcW w:w="2045" w:type="dxa"/>
            <w:gridSpan w:val="2"/>
            <w:vAlign w:val="center"/>
          </w:tcPr>
          <w:p w14:paraId="6785396D">
            <w:pPr>
              <w:spacing w:line="240" w:lineRule="auto"/>
              <w:ind w:firstLine="0" w:firstLineChars="0"/>
              <w:jc w:val="center"/>
              <w:rPr>
                <w:color w:val="auto"/>
              </w:rPr>
            </w:pPr>
            <w:r>
              <w:rPr>
                <w:color w:val="auto"/>
              </w:rPr>
              <w:t>建设地点</w:t>
            </w:r>
          </w:p>
        </w:tc>
        <w:tc>
          <w:tcPr>
            <w:tcW w:w="7214" w:type="dxa"/>
            <w:gridSpan w:val="3"/>
            <w:vAlign w:val="center"/>
          </w:tcPr>
          <w:p w14:paraId="043C2933">
            <w:pPr>
              <w:spacing w:line="240" w:lineRule="auto"/>
              <w:ind w:firstLine="0" w:firstLineChars="0"/>
              <w:jc w:val="center"/>
              <w:rPr>
                <w:rFonts w:hint="eastAsia" w:eastAsia="宋体"/>
                <w:color w:val="auto"/>
                <w:lang w:eastAsia="zh-CN"/>
              </w:rPr>
            </w:pPr>
            <w:r>
              <w:rPr>
                <w:rFonts w:hint="eastAsia" w:eastAsia="宋体"/>
                <w:color w:val="auto"/>
                <w:lang w:val="en-US" w:eastAsia="zh-CN"/>
              </w:rPr>
              <w:t>（一）玉溪市江川区湖滨路北段14号，江川区医共体总</w:t>
            </w:r>
          </w:p>
          <w:p w14:paraId="24449C78">
            <w:pPr>
              <w:spacing w:line="240" w:lineRule="auto"/>
              <w:ind w:firstLine="0" w:firstLineChars="0"/>
              <w:jc w:val="center"/>
              <w:rPr>
                <w:rFonts w:hint="eastAsia" w:eastAsia="宋体"/>
                <w:color w:val="auto"/>
                <w:lang w:eastAsia="zh-CN"/>
              </w:rPr>
            </w:pPr>
            <w:r>
              <w:rPr>
                <w:rFonts w:hint="eastAsia" w:eastAsia="宋体"/>
                <w:color w:val="auto"/>
                <w:lang w:val="en-US" w:eastAsia="zh-CN"/>
              </w:rPr>
              <w:t>医院现址内。</w:t>
            </w:r>
          </w:p>
          <w:p w14:paraId="4A58A232">
            <w:pPr>
              <w:spacing w:line="240" w:lineRule="auto"/>
              <w:ind w:firstLine="0" w:firstLineChars="0"/>
              <w:jc w:val="center"/>
              <w:rPr>
                <w:rFonts w:hint="eastAsia" w:eastAsia="宋体"/>
                <w:color w:val="auto"/>
                <w:lang w:eastAsia="zh-CN"/>
              </w:rPr>
            </w:pPr>
            <w:r>
              <w:rPr>
                <w:rFonts w:hint="eastAsia" w:eastAsia="宋体"/>
                <w:color w:val="auto"/>
                <w:lang w:val="en-US" w:eastAsia="zh-CN"/>
              </w:rPr>
              <w:t>（二）玉溪市江川区江城镇振兴街53号，江城镇卫生院</w:t>
            </w:r>
          </w:p>
          <w:p w14:paraId="6CE3495E">
            <w:pPr>
              <w:spacing w:line="240" w:lineRule="auto"/>
              <w:ind w:firstLine="0" w:firstLineChars="0"/>
              <w:jc w:val="center"/>
              <w:rPr>
                <w:rFonts w:hint="default" w:eastAsia="宋体"/>
                <w:color w:val="auto"/>
                <w:lang w:val="en-US" w:eastAsia="zh-CN"/>
              </w:rPr>
            </w:pPr>
            <w:r>
              <w:rPr>
                <w:rFonts w:hint="eastAsia" w:eastAsia="宋体"/>
                <w:color w:val="auto"/>
                <w:lang w:val="en-US" w:eastAsia="zh-CN"/>
              </w:rPr>
              <w:t>现址内。</w:t>
            </w:r>
          </w:p>
        </w:tc>
      </w:tr>
      <w:tr w14:paraId="2BEDF1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83" w:hRule="atLeast"/>
          <w:jc w:val="center"/>
        </w:trPr>
        <w:tc>
          <w:tcPr>
            <w:tcW w:w="2045" w:type="dxa"/>
            <w:gridSpan w:val="2"/>
            <w:vAlign w:val="center"/>
          </w:tcPr>
          <w:p w14:paraId="74014A39">
            <w:pPr>
              <w:spacing w:line="240" w:lineRule="auto"/>
              <w:ind w:firstLine="0" w:firstLineChars="0"/>
              <w:jc w:val="center"/>
              <w:rPr>
                <w:color w:val="auto"/>
              </w:rPr>
            </w:pPr>
            <w:r>
              <w:rPr>
                <w:color w:val="auto"/>
              </w:rPr>
              <w:t>地理坐标</w:t>
            </w:r>
          </w:p>
        </w:tc>
        <w:tc>
          <w:tcPr>
            <w:tcW w:w="7214" w:type="dxa"/>
            <w:gridSpan w:val="3"/>
            <w:vAlign w:val="center"/>
          </w:tcPr>
          <w:p w14:paraId="0E4D3177">
            <w:pPr>
              <w:spacing w:line="240" w:lineRule="auto"/>
              <w:ind w:firstLine="0" w:firstLineChars="0"/>
              <w:jc w:val="center"/>
              <w:rPr>
                <w:color w:val="auto"/>
              </w:rPr>
            </w:pPr>
            <w:r>
              <w:rPr>
                <w:rFonts w:hint="eastAsia"/>
                <w:color w:val="auto"/>
                <w:lang w:val="en-US" w:eastAsia="zh-CN"/>
              </w:rPr>
              <w:t>江川区医共体总院：</w:t>
            </w:r>
            <w:r>
              <w:rPr>
                <w:color w:val="auto"/>
              </w:rPr>
              <w:t>（东经102°45′30.333″，北纬24°17′56.716″）</w:t>
            </w:r>
          </w:p>
          <w:p w14:paraId="21F82A90">
            <w:pPr>
              <w:spacing w:line="240" w:lineRule="auto"/>
              <w:ind w:firstLine="0" w:firstLineChars="0"/>
              <w:jc w:val="center"/>
              <w:rPr>
                <w:color w:val="auto"/>
              </w:rPr>
            </w:pPr>
            <w:r>
              <w:rPr>
                <w:rFonts w:hint="eastAsia"/>
                <w:color w:val="auto"/>
                <w:lang w:val="en-US" w:eastAsia="zh-CN"/>
              </w:rPr>
              <w:t>江城镇卫生院：</w:t>
            </w:r>
            <w:r>
              <w:rPr>
                <w:color w:val="auto"/>
              </w:rPr>
              <w:t>（东经102°4</w:t>
            </w:r>
            <w:r>
              <w:rPr>
                <w:rFonts w:hint="eastAsia"/>
                <w:color w:val="auto"/>
                <w:lang w:val="en-US" w:eastAsia="zh-CN"/>
              </w:rPr>
              <w:t>8</w:t>
            </w:r>
            <w:r>
              <w:rPr>
                <w:color w:val="auto"/>
              </w:rPr>
              <w:t>′</w:t>
            </w:r>
            <w:r>
              <w:rPr>
                <w:rFonts w:hint="eastAsia"/>
                <w:color w:val="auto"/>
                <w:lang w:val="en-US" w:eastAsia="zh-CN"/>
              </w:rPr>
              <w:t>23</w:t>
            </w:r>
            <w:r>
              <w:rPr>
                <w:color w:val="auto"/>
              </w:rPr>
              <w:t>.3</w:t>
            </w:r>
            <w:r>
              <w:rPr>
                <w:rFonts w:hint="eastAsia"/>
                <w:color w:val="auto"/>
                <w:lang w:val="en-US" w:eastAsia="zh-CN"/>
              </w:rPr>
              <w:t>3405</w:t>
            </w:r>
            <w:r>
              <w:rPr>
                <w:color w:val="auto"/>
              </w:rPr>
              <w:t>″，北纬24°</w:t>
            </w:r>
            <w:r>
              <w:rPr>
                <w:rFonts w:hint="eastAsia"/>
                <w:color w:val="auto"/>
                <w:lang w:val="en-US" w:eastAsia="zh-CN"/>
              </w:rPr>
              <w:t>25</w:t>
            </w:r>
            <w:r>
              <w:rPr>
                <w:color w:val="auto"/>
              </w:rPr>
              <w:t>′56.</w:t>
            </w:r>
            <w:r>
              <w:rPr>
                <w:rFonts w:hint="eastAsia"/>
                <w:color w:val="auto"/>
                <w:lang w:val="en-US" w:eastAsia="zh-CN"/>
              </w:rPr>
              <w:t>3838</w:t>
            </w:r>
            <w:r>
              <w:rPr>
                <w:color w:val="auto"/>
              </w:rPr>
              <w:t>″）</w:t>
            </w:r>
          </w:p>
        </w:tc>
      </w:tr>
      <w:tr w14:paraId="2D376A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54" w:hRule="atLeast"/>
          <w:jc w:val="center"/>
        </w:trPr>
        <w:tc>
          <w:tcPr>
            <w:tcW w:w="2045" w:type="dxa"/>
            <w:gridSpan w:val="2"/>
            <w:vAlign w:val="center"/>
          </w:tcPr>
          <w:p w14:paraId="1B25DA98">
            <w:pPr>
              <w:spacing w:line="240" w:lineRule="auto"/>
              <w:ind w:firstLine="0" w:firstLineChars="0"/>
              <w:jc w:val="center"/>
              <w:rPr>
                <w:color w:val="auto"/>
              </w:rPr>
            </w:pPr>
            <w:r>
              <w:rPr>
                <w:color w:val="auto"/>
              </w:rPr>
              <w:t>国民经济</w:t>
            </w:r>
          </w:p>
          <w:p w14:paraId="54B9DE1C">
            <w:pPr>
              <w:spacing w:line="240" w:lineRule="auto"/>
              <w:ind w:firstLine="0" w:firstLineChars="0"/>
              <w:jc w:val="center"/>
              <w:rPr>
                <w:color w:val="auto"/>
              </w:rPr>
            </w:pPr>
            <w:r>
              <w:rPr>
                <w:color w:val="auto"/>
              </w:rPr>
              <w:t>行业类别</w:t>
            </w:r>
          </w:p>
        </w:tc>
        <w:tc>
          <w:tcPr>
            <w:tcW w:w="2401" w:type="dxa"/>
            <w:vAlign w:val="center"/>
          </w:tcPr>
          <w:p w14:paraId="0489494A">
            <w:pPr>
              <w:widowControl/>
              <w:ind w:firstLine="0" w:firstLineChars="0"/>
              <w:jc w:val="left"/>
              <w:rPr>
                <w:color w:val="auto"/>
              </w:rPr>
            </w:pPr>
            <w:r>
              <w:rPr>
                <w:color w:val="auto"/>
              </w:rPr>
              <w:t>Q8411综合医院</w:t>
            </w:r>
          </w:p>
        </w:tc>
        <w:tc>
          <w:tcPr>
            <w:tcW w:w="1701" w:type="dxa"/>
            <w:vAlign w:val="center"/>
          </w:tcPr>
          <w:p w14:paraId="796630F7">
            <w:pPr>
              <w:spacing w:line="240" w:lineRule="auto"/>
              <w:ind w:firstLine="0" w:firstLineChars="0"/>
              <w:jc w:val="center"/>
              <w:rPr>
                <w:color w:val="auto"/>
              </w:rPr>
            </w:pPr>
            <w:r>
              <w:rPr>
                <w:color w:val="auto"/>
              </w:rPr>
              <w:t>建设项目</w:t>
            </w:r>
          </w:p>
          <w:p w14:paraId="7A25B40A">
            <w:pPr>
              <w:spacing w:line="240" w:lineRule="auto"/>
              <w:ind w:firstLine="0" w:firstLineChars="0"/>
              <w:jc w:val="center"/>
              <w:rPr>
                <w:color w:val="auto"/>
              </w:rPr>
            </w:pPr>
            <w:r>
              <w:rPr>
                <w:color w:val="auto"/>
              </w:rPr>
              <w:t>行业类别</w:t>
            </w:r>
          </w:p>
        </w:tc>
        <w:tc>
          <w:tcPr>
            <w:tcW w:w="3112" w:type="dxa"/>
            <w:vAlign w:val="center"/>
          </w:tcPr>
          <w:p w14:paraId="587399FB">
            <w:pPr>
              <w:widowControl/>
              <w:spacing w:line="240" w:lineRule="auto"/>
              <w:ind w:firstLine="0" w:firstLineChars="0"/>
              <w:jc w:val="left"/>
              <w:rPr>
                <w:color w:val="auto"/>
              </w:rPr>
            </w:pPr>
            <w:r>
              <w:rPr>
                <w:color w:val="auto"/>
              </w:rPr>
              <w:t>四十九、卫生84--医院841</w:t>
            </w:r>
          </w:p>
        </w:tc>
      </w:tr>
      <w:tr w14:paraId="07F6AB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278" w:hRule="atLeast"/>
          <w:jc w:val="center"/>
        </w:trPr>
        <w:tc>
          <w:tcPr>
            <w:tcW w:w="2045" w:type="dxa"/>
            <w:gridSpan w:val="2"/>
            <w:vAlign w:val="center"/>
          </w:tcPr>
          <w:p w14:paraId="0D4D609D">
            <w:pPr>
              <w:spacing w:line="240" w:lineRule="auto"/>
              <w:ind w:firstLine="0" w:firstLineChars="0"/>
              <w:jc w:val="center"/>
              <w:rPr>
                <w:color w:val="auto"/>
              </w:rPr>
            </w:pPr>
            <w:r>
              <w:rPr>
                <w:color w:val="auto"/>
              </w:rPr>
              <w:t>建设性质</w:t>
            </w:r>
          </w:p>
        </w:tc>
        <w:tc>
          <w:tcPr>
            <w:tcW w:w="2401" w:type="dxa"/>
            <w:vAlign w:val="center"/>
          </w:tcPr>
          <w:p w14:paraId="06254247">
            <w:pPr>
              <w:spacing w:line="240" w:lineRule="auto"/>
              <w:ind w:firstLine="0" w:firstLineChars="0"/>
              <w:jc w:val="left"/>
              <w:rPr>
                <w:color w:val="auto"/>
              </w:rPr>
            </w:pPr>
            <w:r>
              <w:rPr>
                <w:rFonts w:eastAsiaTheme="minorEastAsia"/>
                <w:color w:val="auto"/>
              </w:rPr>
              <w:t>□</w:t>
            </w:r>
            <w:r>
              <w:rPr>
                <w:color w:val="auto"/>
              </w:rPr>
              <w:t>新建（迁建）</w:t>
            </w:r>
          </w:p>
          <w:p w14:paraId="1E2741CA">
            <w:pPr>
              <w:spacing w:line="240" w:lineRule="auto"/>
              <w:ind w:firstLine="0" w:firstLineChars="0"/>
              <w:jc w:val="left"/>
              <w:rPr>
                <w:color w:val="auto"/>
              </w:rPr>
            </w:pPr>
            <w:r>
              <w:rPr>
                <w:rFonts w:eastAsiaTheme="minorEastAsia"/>
                <w:color w:val="auto"/>
              </w:rPr>
              <w:t>□</w:t>
            </w:r>
            <w:r>
              <w:rPr>
                <w:color w:val="auto"/>
              </w:rPr>
              <w:t>改建</w:t>
            </w:r>
          </w:p>
          <w:p w14:paraId="387D9376">
            <w:pPr>
              <w:spacing w:line="240" w:lineRule="auto"/>
              <w:ind w:firstLine="0" w:firstLineChars="0"/>
              <w:jc w:val="left"/>
              <w:rPr>
                <w:color w:val="auto"/>
              </w:rPr>
            </w:pPr>
            <w:r>
              <w:rPr>
                <w:rFonts w:ascii="Segoe UI Symbol" w:hAnsi="Segoe UI Symbol" w:cs="Segoe UI Symbol" w:eastAsiaTheme="minorEastAsia"/>
                <w:color w:val="auto"/>
              </w:rPr>
              <w:t>☑</w:t>
            </w:r>
            <w:r>
              <w:rPr>
                <w:color w:val="auto"/>
              </w:rPr>
              <w:t>扩建</w:t>
            </w:r>
          </w:p>
          <w:p w14:paraId="5F86C7C9">
            <w:pPr>
              <w:spacing w:line="240" w:lineRule="auto"/>
              <w:ind w:firstLine="0" w:firstLineChars="0"/>
              <w:jc w:val="left"/>
              <w:rPr>
                <w:color w:val="auto"/>
              </w:rPr>
            </w:pPr>
            <w:r>
              <w:rPr>
                <w:rFonts w:eastAsiaTheme="minorEastAsia"/>
                <w:color w:val="auto"/>
              </w:rPr>
              <w:t>□</w:t>
            </w:r>
            <w:r>
              <w:rPr>
                <w:color w:val="auto"/>
              </w:rPr>
              <w:t>技术改造</w:t>
            </w:r>
          </w:p>
        </w:tc>
        <w:tc>
          <w:tcPr>
            <w:tcW w:w="1701" w:type="dxa"/>
            <w:vAlign w:val="center"/>
          </w:tcPr>
          <w:p w14:paraId="67BDF4A7">
            <w:pPr>
              <w:spacing w:line="240" w:lineRule="auto"/>
              <w:ind w:firstLine="0" w:firstLineChars="0"/>
              <w:jc w:val="center"/>
              <w:rPr>
                <w:color w:val="auto"/>
              </w:rPr>
            </w:pPr>
            <w:r>
              <w:rPr>
                <w:color w:val="auto"/>
              </w:rPr>
              <w:t>建设项目</w:t>
            </w:r>
          </w:p>
          <w:p w14:paraId="665831BC">
            <w:pPr>
              <w:spacing w:line="240" w:lineRule="auto"/>
              <w:ind w:firstLine="0" w:firstLineChars="0"/>
              <w:jc w:val="center"/>
              <w:rPr>
                <w:color w:val="auto"/>
              </w:rPr>
            </w:pPr>
            <w:r>
              <w:rPr>
                <w:color w:val="auto"/>
              </w:rPr>
              <w:t>申报情况</w:t>
            </w:r>
          </w:p>
        </w:tc>
        <w:tc>
          <w:tcPr>
            <w:tcW w:w="3112" w:type="dxa"/>
            <w:vAlign w:val="center"/>
          </w:tcPr>
          <w:p w14:paraId="2DF790CE">
            <w:pPr>
              <w:spacing w:line="240" w:lineRule="auto"/>
              <w:ind w:firstLine="0" w:firstLineChars="0"/>
              <w:jc w:val="left"/>
              <w:rPr>
                <w:color w:val="auto"/>
              </w:rPr>
            </w:pPr>
            <w:r>
              <w:rPr>
                <w:rFonts w:ascii="Segoe UI Symbol" w:hAnsi="Segoe UI Symbol" w:cs="Segoe UI Symbol" w:eastAsiaTheme="minorEastAsia"/>
                <w:color w:val="auto"/>
              </w:rPr>
              <w:t>☑</w:t>
            </w:r>
            <w:r>
              <w:rPr>
                <w:color w:val="auto"/>
              </w:rPr>
              <w:t>首次申报项目</w:t>
            </w:r>
          </w:p>
          <w:p w14:paraId="730C0E9E">
            <w:pPr>
              <w:spacing w:line="240" w:lineRule="auto"/>
              <w:ind w:firstLine="0" w:firstLineChars="0"/>
              <w:jc w:val="left"/>
              <w:rPr>
                <w:color w:val="auto"/>
              </w:rPr>
            </w:pPr>
            <w:r>
              <w:rPr>
                <w:rFonts w:eastAsiaTheme="minorEastAsia"/>
                <w:color w:val="auto"/>
              </w:rPr>
              <w:t>□</w:t>
            </w:r>
            <w:r>
              <w:rPr>
                <w:color w:val="auto"/>
              </w:rPr>
              <w:t>不予批准后再次申报项目</w:t>
            </w:r>
          </w:p>
          <w:p w14:paraId="0D0276D8">
            <w:pPr>
              <w:spacing w:line="240" w:lineRule="auto"/>
              <w:ind w:firstLine="0" w:firstLineChars="0"/>
              <w:jc w:val="left"/>
              <w:rPr>
                <w:color w:val="auto"/>
              </w:rPr>
            </w:pPr>
            <w:r>
              <w:rPr>
                <w:rFonts w:eastAsiaTheme="minorEastAsia"/>
                <w:color w:val="auto"/>
              </w:rPr>
              <w:t>□</w:t>
            </w:r>
            <w:r>
              <w:rPr>
                <w:color w:val="auto"/>
              </w:rPr>
              <w:t>超五年重新审核项目</w:t>
            </w:r>
          </w:p>
          <w:p w14:paraId="3867DA36">
            <w:pPr>
              <w:spacing w:line="240" w:lineRule="auto"/>
              <w:ind w:firstLine="0" w:firstLineChars="0"/>
              <w:jc w:val="left"/>
              <w:rPr>
                <w:color w:val="auto"/>
              </w:rPr>
            </w:pPr>
            <w:r>
              <w:rPr>
                <w:rFonts w:eastAsiaTheme="minorEastAsia"/>
                <w:color w:val="auto"/>
              </w:rPr>
              <w:t>□</w:t>
            </w:r>
            <w:r>
              <w:rPr>
                <w:color w:val="auto"/>
              </w:rPr>
              <w:t>重大变动重新报批项目</w:t>
            </w:r>
          </w:p>
        </w:tc>
      </w:tr>
      <w:tr w14:paraId="7373D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66" w:hRule="atLeast"/>
          <w:jc w:val="center"/>
        </w:trPr>
        <w:tc>
          <w:tcPr>
            <w:tcW w:w="2045" w:type="dxa"/>
            <w:gridSpan w:val="2"/>
            <w:vAlign w:val="center"/>
          </w:tcPr>
          <w:p w14:paraId="02E38579">
            <w:pPr>
              <w:spacing w:line="240" w:lineRule="auto"/>
              <w:ind w:firstLine="0" w:firstLineChars="0"/>
              <w:jc w:val="center"/>
              <w:rPr>
                <w:color w:val="auto"/>
              </w:rPr>
            </w:pPr>
            <w:r>
              <w:rPr>
                <w:color w:val="auto"/>
              </w:rPr>
              <w:t>项目审批（核准/备案）部门</w:t>
            </w:r>
          </w:p>
        </w:tc>
        <w:tc>
          <w:tcPr>
            <w:tcW w:w="2401" w:type="dxa"/>
            <w:vAlign w:val="center"/>
          </w:tcPr>
          <w:p w14:paraId="718EFEFF">
            <w:pPr>
              <w:spacing w:line="240" w:lineRule="auto"/>
              <w:ind w:right="-134" w:rightChars="-56" w:firstLine="0" w:firstLineChars="0"/>
              <w:jc w:val="center"/>
              <w:rPr>
                <w:color w:val="auto"/>
              </w:rPr>
            </w:pPr>
            <w:r>
              <w:rPr>
                <w:color w:val="auto"/>
              </w:rPr>
              <w:t>江川区发展和改革局</w:t>
            </w:r>
          </w:p>
        </w:tc>
        <w:tc>
          <w:tcPr>
            <w:tcW w:w="1701" w:type="dxa"/>
            <w:vAlign w:val="center"/>
          </w:tcPr>
          <w:p w14:paraId="26A2F2A2">
            <w:pPr>
              <w:spacing w:line="240" w:lineRule="auto"/>
              <w:ind w:firstLine="0" w:firstLineChars="0"/>
              <w:jc w:val="center"/>
              <w:rPr>
                <w:color w:val="auto"/>
                <w:w w:val="80"/>
              </w:rPr>
            </w:pPr>
            <w:r>
              <w:rPr>
                <w:color w:val="auto"/>
              </w:rPr>
              <w:t>项目审批（核准/备案）文号</w:t>
            </w:r>
          </w:p>
        </w:tc>
        <w:tc>
          <w:tcPr>
            <w:tcW w:w="3112" w:type="dxa"/>
            <w:vAlign w:val="center"/>
          </w:tcPr>
          <w:p w14:paraId="63758454">
            <w:pPr>
              <w:spacing w:line="240" w:lineRule="auto"/>
              <w:ind w:right="-58" w:rightChars="-24" w:firstLine="0" w:firstLineChars="0"/>
              <w:jc w:val="center"/>
              <w:rPr>
                <w:rFonts w:hint="default"/>
                <w:color w:val="auto"/>
                <w:lang w:val="en-US"/>
              </w:rPr>
            </w:pPr>
            <w:r>
              <w:rPr>
                <w:rFonts w:hint="eastAsia"/>
                <w:color w:val="auto"/>
                <w:szCs w:val="24"/>
                <w:lang w:val="en-US" w:eastAsia="zh-CN"/>
              </w:rPr>
              <w:t>玉江发改复【2025】29号</w:t>
            </w:r>
          </w:p>
        </w:tc>
      </w:tr>
      <w:tr w14:paraId="4FBC3D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13" w:hRule="atLeast"/>
          <w:jc w:val="center"/>
        </w:trPr>
        <w:tc>
          <w:tcPr>
            <w:tcW w:w="2045" w:type="dxa"/>
            <w:gridSpan w:val="2"/>
            <w:vAlign w:val="center"/>
          </w:tcPr>
          <w:p w14:paraId="7314DBE7">
            <w:pPr>
              <w:spacing w:line="240" w:lineRule="auto"/>
              <w:ind w:firstLine="0" w:firstLineChars="0"/>
              <w:jc w:val="center"/>
              <w:rPr>
                <w:color w:val="auto"/>
                <w:spacing w:val="-22"/>
              </w:rPr>
            </w:pPr>
            <w:r>
              <w:rPr>
                <w:color w:val="auto"/>
                <w:spacing w:val="-22"/>
              </w:rPr>
              <w:t>总投资（万元）</w:t>
            </w:r>
          </w:p>
        </w:tc>
        <w:tc>
          <w:tcPr>
            <w:tcW w:w="2401" w:type="dxa"/>
            <w:vAlign w:val="center"/>
          </w:tcPr>
          <w:p w14:paraId="13D3AE3F">
            <w:pPr>
              <w:spacing w:line="240" w:lineRule="auto"/>
              <w:ind w:firstLine="0" w:firstLineChars="0"/>
              <w:jc w:val="center"/>
              <w:rPr>
                <w:rFonts w:hint="default" w:eastAsia="宋体"/>
                <w:color w:val="auto"/>
                <w:lang w:val="en-US" w:eastAsia="zh-CN"/>
              </w:rPr>
            </w:pPr>
            <w:r>
              <w:rPr>
                <w:rFonts w:hint="eastAsia"/>
                <w:color w:val="auto"/>
                <w:lang w:val="en-US" w:eastAsia="zh-CN"/>
              </w:rPr>
              <w:t>5750</w:t>
            </w:r>
          </w:p>
        </w:tc>
        <w:tc>
          <w:tcPr>
            <w:tcW w:w="1701" w:type="dxa"/>
            <w:vAlign w:val="center"/>
          </w:tcPr>
          <w:p w14:paraId="4B8A1F9E">
            <w:pPr>
              <w:spacing w:line="240" w:lineRule="auto"/>
              <w:ind w:left="-122" w:leftChars="-51" w:firstLine="0" w:firstLineChars="0"/>
              <w:jc w:val="center"/>
              <w:rPr>
                <w:color w:val="auto"/>
                <w:spacing w:val="-18"/>
              </w:rPr>
            </w:pPr>
            <w:r>
              <w:rPr>
                <w:color w:val="auto"/>
                <w:spacing w:val="-18"/>
              </w:rPr>
              <w:t>环保投资</w:t>
            </w:r>
            <w:r>
              <w:rPr>
                <w:color w:val="auto"/>
                <w:spacing w:val="-22"/>
              </w:rPr>
              <w:t>（万元）</w:t>
            </w:r>
          </w:p>
        </w:tc>
        <w:tc>
          <w:tcPr>
            <w:tcW w:w="3112" w:type="dxa"/>
            <w:vAlign w:val="center"/>
          </w:tcPr>
          <w:p w14:paraId="0C0A1A5B">
            <w:pPr>
              <w:spacing w:line="240" w:lineRule="auto"/>
              <w:ind w:right="-65" w:rightChars="-27" w:firstLine="0" w:firstLineChars="0"/>
              <w:jc w:val="center"/>
              <w:rPr>
                <w:rFonts w:hint="eastAsia" w:eastAsia="宋体"/>
                <w:color w:val="auto"/>
                <w:lang w:eastAsia="zh-CN"/>
              </w:rPr>
            </w:pPr>
            <w:r>
              <w:rPr>
                <w:rFonts w:hint="eastAsia"/>
                <w:color w:val="auto"/>
                <w:lang w:val="en-US" w:eastAsia="zh-CN"/>
              </w:rPr>
              <w:t>58</w:t>
            </w:r>
          </w:p>
        </w:tc>
      </w:tr>
      <w:tr w14:paraId="5B52BD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54" w:hRule="atLeast"/>
          <w:jc w:val="center"/>
        </w:trPr>
        <w:tc>
          <w:tcPr>
            <w:tcW w:w="2045" w:type="dxa"/>
            <w:gridSpan w:val="2"/>
            <w:vAlign w:val="center"/>
          </w:tcPr>
          <w:p w14:paraId="1DD83205">
            <w:pPr>
              <w:spacing w:line="240" w:lineRule="auto"/>
              <w:ind w:firstLine="0" w:firstLineChars="0"/>
              <w:jc w:val="center"/>
              <w:rPr>
                <w:color w:val="auto"/>
              </w:rPr>
            </w:pPr>
            <w:r>
              <w:rPr>
                <w:color w:val="auto"/>
              </w:rPr>
              <w:t>环保投资占比（%）</w:t>
            </w:r>
          </w:p>
        </w:tc>
        <w:tc>
          <w:tcPr>
            <w:tcW w:w="2401" w:type="dxa"/>
            <w:vAlign w:val="center"/>
          </w:tcPr>
          <w:p w14:paraId="63726098">
            <w:pPr>
              <w:spacing w:line="240" w:lineRule="auto"/>
              <w:ind w:firstLine="0" w:firstLineChars="0"/>
              <w:jc w:val="center"/>
              <w:rPr>
                <w:rFonts w:hint="eastAsia" w:eastAsia="宋体"/>
                <w:color w:val="auto"/>
                <w:lang w:eastAsia="zh-CN"/>
              </w:rPr>
            </w:pPr>
            <w:r>
              <w:rPr>
                <w:rFonts w:hint="eastAsia"/>
                <w:color w:val="auto"/>
                <w:lang w:val="en-US" w:eastAsia="zh-CN"/>
              </w:rPr>
              <w:t>1.01</w:t>
            </w:r>
          </w:p>
        </w:tc>
        <w:tc>
          <w:tcPr>
            <w:tcW w:w="1701" w:type="dxa"/>
            <w:vAlign w:val="center"/>
          </w:tcPr>
          <w:p w14:paraId="275F6414">
            <w:pPr>
              <w:spacing w:line="240" w:lineRule="auto"/>
              <w:ind w:firstLine="0" w:firstLineChars="0"/>
              <w:jc w:val="center"/>
              <w:rPr>
                <w:color w:val="auto"/>
              </w:rPr>
            </w:pPr>
            <w:r>
              <w:rPr>
                <w:color w:val="auto"/>
              </w:rPr>
              <w:t>施工工期</w:t>
            </w:r>
          </w:p>
        </w:tc>
        <w:tc>
          <w:tcPr>
            <w:tcW w:w="3112" w:type="dxa"/>
            <w:vAlign w:val="center"/>
          </w:tcPr>
          <w:p w14:paraId="198A493C">
            <w:pPr>
              <w:spacing w:line="240" w:lineRule="auto"/>
              <w:ind w:firstLine="0" w:firstLineChars="0"/>
              <w:jc w:val="center"/>
              <w:rPr>
                <w:color w:val="auto"/>
              </w:rPr>
            </w:pPr>
            <w:r>
              <w:rPr>
                <w:rFonts w:hint="eastAsia"/>
                <w:color w:val="auto"/>
                <w:lang w:val="en-US" w:eastAsia="zh-CN"/>
              </w:rPr>
              <w:t>12</w:t>
            </w:r>
            <w:r>
              <w:rPr>
                <w:color w:val="auto"/>
              </w:rPr>
              <w:t>个月</w:t>
            </w:r>
          </w:p>
        </w:tc>
      </w:tr>
      <w:tr w14:paraId="2C6B3E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54" w:hRule="atLeast"/>
          <w:jc w:val="center"/>
        </w:trPr>
        <w:tc>
          <w:tcPr>
            <w:tcW w:w="2045" w:type="dxa"/>
            <w:gridSpan w:val="2"/>
            <w:vAlign w:val="center"/>
          </w:tcPr>
          <w:p w14:paraId="25BD3331">
            <w:pPr>
              <w:spacing w:line="240" w:lineRule="auto"/>
              <w:ind w:firstLine="0" w:firstLineChars="0"/>
              <w:jc w:val="center"/>
              <w:rPr>
                <w:color w:val="auto"/>
              </w:rPr>
            </w:pPr>
            <w:r>
              <w:rPr>
                <w:color w:val="auto"/>
              </w:rPr>
              <w:t>是否开工建设</w:t>
            </w:r>
          </w:p>
        </w:tc>
        <w:tc>
          <w:tcPr>
            <w:tcW w:w="2401" w:type="dxa"/>
            <w:vAlign w:val="center"/>
          </w:tcPr>
          <w:p w14:paraId="45EDD10D">
            <w:pPr>
              <w:spacing w:line="240" w:lineRule="auto"/>
              <w:ind w:firstLine="0" w:firstLineChars="0"/>
              <w:jc w:val="left"/>
              <w:rPr>
                <w:color w:val="auto"/>
              </w:rPr>
            </w:pPr>
            <w:r>
              <w:rPr>
                <w:rFonts w:ascii="Segoe UI Symbol" w:hAnsi="Segoe UI Symbol" w:cs="Segoe UI Symbol" w:eastAsiaTheme="minorEastAsia"/>
                <w:color w:val="auto"/>
              </w:rPr>
              <w:t>☑</w:t>
            </w:r>
            <w:r>
              <w:rPr>
                <w:color w:val="auto"/>
              </w:rPr>
              <w:t>否：</w:t>
            </w:r>
          </w:p>
          <w:p w14:paraId="3CC49320">
            <w:pPr>
              <w:spacing w:line="240" w:lineRule="auto"/>
              <w:ind w:firstLine="0" w:firstLineChars="0"/>
              <w:jc w:val="left"/>
              <w:rPr>
                <w:color w:val="auto"/>
              </w:rPr>
            </w:pPr>
            <w:r>
              <w:rPr>
                <w:rFonts w:eastAsiaTheme="minorEastAsia"/>
                <w:color w:val="auto"/>
              </w:rPr>
              <w:t>□</w:t>
            </w:r>
            <w:r>
              <w:rPr>
                <w:color w:val="auto"/>
              </w:rPr>
              <w:t>是：</w:t>
            </w:r>
          </w:p>
        </w:tc>
        <w:tc>
          <w:tcPr>
            <w:tcW w:w="1701" w:type="dxa"/>
            <w:vAlign w:val="center"/>
          </w:tcPr>
          <w:p w14:paraId="19DB7EB9">
            <w:pPr>
              <w:spacing w:line="240" w:lineRule="auto"/>
              <w:ind w:firstLine="0" w:firstLineChars="0"/>
              <w:jc w:val="center"/>
              <w:rPr>
                <w:color w:val="auto"/>
              </w:rPr>
            </w:pPr>
            <w:r>
              <w:rPr>
                <w:color w:val="auto"/>
              </w:rPr>
              <w:t>用地（用海）面积（m</w:t>
            </w:r>
            <w:r>
              <w:rPr>
                <w:color w:val="auto"/>
                <w:vertAlign w:val="superscript"/>
              </w:rPr>
              <w:t>2</w:t>
            </w:r>
            <w:r>
              <w:rPr>
                <w:color w:val="auto"/>
              </w:rPr>
              <w:t>）</w:t>
            </w:r>
          </w:p>
        </w:tc>
        <w:tc>
          <w:tcPr>
            <w:tcW w:w="3112" w:type="dxa"/>
            <w:vAlign w:val="center"/>
          </w:tcPr>
          <w:p w14:paraId="47249481">
            <w:pPr>
              <w:spacing w:line="240" w:lineRule="auto"/>
              <w:ind w:firstLine="0" w:firstLineChars="0"/>
              <w:jc w:val="both"/>
              <w:rPr>
                <w:rFonts w:hint="eastAsia"/>
                <w:color w:val="auto"/>
                <w:lang w:val="en-US" w:eastAsia="zh-CN"/>
              </w:rPr>
            </w:pPr>
            <w:r>
              <w:rPr>
                <w:rFonts w:hint="eastAsia"/>
                <w:color w:val="auto"/>
                <w:lang w:val="en-US" w:eastAsia="zh-CN"/>
              </w:rPr>
              <w:t>江川区医共体总院：2935.5</w:t>
            </w:r>
          </w:p>
          <w:p w14:paraId="05F8C4FB">
            <w:pPr>
              <w:pStyle w:val="2"/>
              <w:rPr>
                <w:rFonts w:hint="default"/>
                <w:color w:val="auto"/>
                <w:lang w:val="en-US" w:eastAsia="zh-CN"/>
              </w:rPr>
            </w:pPr>
            <w:r>
              <w:rPr>
                <w:rFonts w:hint="default" w:ascii="Times New Roman" w:hAnsi="Times New Roman" w:eastAsia="宋体" w:cs="Times New Roman"/>
                <w:color w:val="auto"/>
                <w:kern w:val="2"/>
                <w:sz w:val="24"/>
                <w:szCs w:val="22"/>
                <w:lang w:val="en-US" w:eastAsia="zh-CN" w:bidi="ar-SA"/>
              </w:rPr>
              <w:t>江城镇卫生院：</w:t>
            </w:r>
            <w:r>
              <w:rPr>
                <w:rFonts w:hint="eastAsia" w:cs="Times New Roman"/>
                <w:color w:val="auto"/>
                <w:kern w:val="2"/>
                <w:sz w:val="24"/>
                <w:szCs w:val="22"/>
                <w:lang w:val="en-US" w:eastAsia="zh-CN" w:bidi="ar-SA"/>
              </w:rPr>
              <w:t>5304.5</w:t>
            </w:r>
          </w:p>
        </w:tc>
      </w:tr>
      <w:tr w14:paraId="1766E5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98" w:hRule="atLeast"/>
          <w:jc w:val="center"/>
        </w:trPr>
        <w:tc>
          <w:tcPr>
            <w:tcW w:w="2045" w:type="dxa"/>
            <w:gridSpan w:val="2"/>
            <w:vAlign w:val="center"/>
          </w:tcPr>
          <w:p w14:paraId="43F5D14D">
            <w:pPr>
              <w:ind w:firstLine="0" w:firstLineChars="0"/>
              <w:jc w:val="center"/>
              <w:rPr>
                <w:color w:val="auto"/>
              </w:rPr>
            </w:pPr>
            <w:r>
              <w:rPr>
                <w:color w:val="auto"/>
              </w:rPr>
              <w:t>专项评价设置情况</w:t>
            </w:r>
          </w:p>
        </w:tc>
        <w:tc>
          <w:tcPr>
            <w:tcW w:w="7214" w:type="dxa"/>
            <w:gridSpan w:val="3"/>
            <w:vAlign w:val="center"/>
          </w:tcPr>
          <w:p w14:paraId="2281FA19">
            <w:pPr>
              <w:widowControl/>
              <w:ind w:firstLine="480"/>
              <w:jc w:val="left"/>
              <w:rPr>
                <w:color w:val="auto"/>
                <w:kern w:val="0"/>
                <w:szCs w:val="24"/>
                <w:lang w:bidi="ar"/>
              </w:rPr>
            </w:pPr>
            <w:r>
              <w:rPr>
                <w:color w:val="auto"/>
                <w:kern w:val="0"/>
                <w:szCs w:val="24"/>
                <w:lang w:bidi="ar"/>
              </w:rPr>
              <w:t>依据《建设项目环境影响报告表编制技术指南-污染影响类》专项评价设置原则表。</w:t>
            </w:r>
          </w:p>
          <w:p w14:paraId="6D9BC687">
            <w:pPr>
              <w:pStyle w:val="2"/>
              <w:jc w:val="center"/>
              <w:rPr>
                <w:b/>
                <w:color w:val="auto"/>
                <w:kern w:val="2"/>
                <w:sz w:val="21"/>
                <w:szCs w:val="21"/>
              </w:rPr>
            </w:pPr>
            <w:r>
              <w:rPr>
                <w:b/>
                <w:color w:val="auto"/>
                <w:kern w:val="2"/>
                <w:sz w:val="21"/>
                <w:szCs w:val="21"/>
              </w:rPr>
              <w:t>表1-1专项评价设置原则表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3351"/>
              <w:gridCol w:w="1964"/>
            </w:tblGrid>
            <w:tr w14:paraId="12E34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774" w:type="dxa"/>
                  <w:vAlign w:val="center"/>
                </w:tcPr>
                <w:p w14:paraId="181A32FA">
                  <w:pPr>
                    <w:adjustRightInd w:val="0"/>
                    <w:snapToGrid w:val="0"/>
                    <w:spacing w:line="240" w:lineRule="auto"/>
                    <w:ind w:firstLine="0" w:firstLineChars="0"/>
                    <w:jc w:val="center"/>
                    <w:rPr>
                      <w:color w:val="auto"/>
                      <w:sz w:val="21"/>
                      <w:szCs w:val="21"/>
                    </w:rPr>
                  </w:pPr>
                  <w:r>
                    <w:rPr>
                      <w:color w:val="auto"/>
                      <w:sz w:val="21"/>
                      <w:szCs w:val="21"/>
                    </w:rPr>
                    <w:t>专项评价的类别</w:t>
                  </w:r>
                </w:p>
              </w:tc>
              <w:tc>
                <w:tcPr>
                  <w:tcW w:w="3351" w:type="dxa"/>
                  <w:vAlign w:val="center"/>
                </w:tcPr>
                <w:p w14:paraId="58E5F310">
                  <w:pPr>
                    <w:adjustRightInd w:val="0"/>
                    <w:snapToGrid w:val="0"/>
                    <w:spacing w:line="240" w:lineRule="auto"/>
                    <w:ind w:firstLine="0" w:firstLineChars="0"/>
                    <w:jc w:val="center"/>
                    <w:rPr>
                      <w:color w:val="auto"/>
                      <w:sz w:val="21"/>
                      <w:szCs w:val="21"/>
                    </w:rPr>
                  </w:pPr>
                  <w:r>
                    <w:rPr>
                      <w:color w:val="auto"/>
                      <w:sz w:val="21"/>
                      <w:szCs w:val="21"/>
                    </w:rPr>
                    <w:t>设置原则</w:t>
                  </w:r>
                </w:p>
              </w:tc>
              <w:tc>
                <w:tcPr>
                  <w:tcW w:w="1964" w:type="dxa"/>
                  <w:vAlign w:val="center"/>
                </w:tcPr>
                <w:p w14:paraId="77C96337">
                  <w:pPr>
                    <w:adjustRightInd w:val="0"/>
                    <w:snapToGrid w:val="0"/>
                    <w:spacing w:line="240" w:lineRule="auto"/>
                    <w:ind w:firstLine="0" w:firstLineChars="0"/>
                    <w:jc w:val="center"/>
                    <w:rPr>
                      <w:color w:val="auto"/>
                      <w:sz w:val="21"/>
                      <w:szCs w:val="21"/>
                    </w:rPr>
                  </w:pPr>
                  <w:r>
                    <w:rPr>
                      <w:color w:val="auto"/>
                      <w:sz w:val="21"/>
                      <w:szCs w:val="21"/>
                    </w:rPr>
                    <w:t>本项目情况</w:t>
                  </w:r>
                </w:p>
              </w:tc>
            </w:tr>
            <w:tr w14:paraId="75E77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774" w:type="dxa"/>
                  <w:vAlign w:val="center"/>
                </w:tcPr>
                <w:p w14:paraId="29897E92">
                  <w:pPr>
                    <w:adjustRightInd w:val="0"/>
                    <w:snapToGrid w:val="0"/>
                    <w:spacing w:line="240" w:lineRule="auto"/>
                    <w:ind w:firstLine="0" w:firstLineChars="0"/>
                    <w:jc w:val="center"/>
                    <w:rPr>
                      <w:color w:val="auto"/>
                      <w:sz w:val="21"/>
                      <w:szCs w:val="21"/>
                    </w:rPr>
                  </w:pPr>
                  <w:r>
                    <w:rPr>
                      <w:color w:val="auto"/>
                      <w:sz w:val="21"/>
                      <w:szCs w:val="21"/>
                    </w:rPr>
                    <w:t>大气</w:t>
                  </w:r>
                </w:p>
              </w:tc>
              <w:tc>
                <w:tcPr>
                  <w:tcW w:w="3351" w:type="dxa"/>
                  <w:vAlign w:val="center"/>
                </w:tcPr>
                <w:p w14:paraId="53701912">
                  <w:pPr>
                    <w:adjustRightInd w:val="0"/>
                    <w:snapToGrid w:val="0"/>
                    <w:spacing w:line="240" w:lineRule="auto"/>
                    <w:ind w:firstLine="0" w:firstLineChars="0"/>
                    <w:jc w:val="center"/>
                    <w:rPr>
                      <w:color w:val="auto"/>
                      <w:sz w:val="21"/>
                      <w:szCs w:val="21"/>
                    </w:rPr>
                  </w:pPr>
                  <w:r>
                    <w:rPr>
                      <w:color w:val="auto"/>
                      <w:sz w:val="21"/>
                      <w:szCs w:val="21"/>
                    </w:rPr>
                    <w:t>排放废气含有毒有害污染物</w:t>
                  </w:r>
                  <w:r>
                    <w:rPr>
                      <w:color w:val="auto"/>
                      <w:sz w:val="21"/>
                      <w:szCs w:val="21"/>
                      <w:vertAlign w:val="superscript"/>
                    </w:rPr>
                    <w:t>1</w:t>
                  </w:r>
                  <w:r>
                    <w:rPr>
                      <w:color w:val="auto"/>
                      <w:sz w:val="21"/>
                      <w:szCs w:val="21"/>
                    </w:rPr>
                    <w:t>、二噁英、苯并[a]芘、氰化物、氯气且厂界外500米范围内有环境空气保护目标</w:t>
                  </w:r>
                  <w:r>
                    <w:rPr>
                      <w:color w:val="auto"/>
                      <w:sz w:val="21"/>
                      <w:szCs w:val="21"/>
                      <w:vertAlign w:val="superscript"/>
                    </w:rPr>
                    <w:t>2</w:t>
                  </w:r>
                  <w:r>
                    <w:rPr>
                      <w:color w:val="auto"/>
                      <w:sz w:val="21"/>
                      <w:szCs w:val="21"/>
                    </w:rPr>
                    <w:t>的建设项目</w:t>
                  </w:r>
                </w:p>
              </w:tc>
              <w:tc>
                <w:tcPr>
                  <w:tcW w:w="1964" w:type="dxa"/>
                  <w:vAlign w:val="center"/>
                </w:tcPr>
                <w:p w14:paraId="2D3FAE85">
                  <w:pPr>
                    <w:adjustRightInd w:val="0"/>
                    <w:snapToGrid w:val="0"/>
                    <w:spacing w:line="240" w:lineRule="auto"/>
                    <w:ind w:firstLine="0" w:firstLineChars="0"/>
                    <w:jc w:val="center"/>
                    <w:rPr>
                      <w:color w:val="auto"/>
                      <w:sz w:val="21"/>
                      <w:szCs w:val="21"/>
                    </w:rPr>
                  </w:pPr>
                  <w:r>
                    <w:rPr>
                      <w:color w:val="auto"/>
                      <w:sz w:val="21"/>
                      <w:szCs w:val="21"/>
                    </w:rPr>
                    <w:t>本项目不涉及</w:t>
                  </w:r>
                </w:p>
              </w:tc>
            </w:tr>
            <w:tr w14:paraId="55D5B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774" w:type="dxa"/>
                  <w:vAlign w:val="center"/>
                </w:tcPr>
                <w:p w14:paraId="2C3BEF37">
                  <w:pPr>
                    <w:adjustRightInd w:val="0"/>
                    <w:snapToGrid w:val="0"/>
                    <w:spacing w:line="240" w:lineRule="auto"/>
                    <w:ind w:firstLine="0" w:firstLineChars="0"/>
                    <w:jc w:val="center"/>
                    <w:rPr>
                      <w:color w:val="auto"/>
                      <w:sz w:val="21"/>
                      <w:szCs w:val="21"/>
                    </w:rPr>
                  </w:pPr>
                  <w:r>
                    <w:rPr>
                      <w:color w:val="auto"/>
                      <w:sz w:val="21"/>
                      <w:szCs w:val="21"/>
                    </w:rPr>
                    <w:t>地表水</w:t>
                  </w:r>
                </w:p>
              </w:tc>
              <w:tc>
                <w:tcPr>
                  <w:tcW w:w="3351" w:type="dxa"/>
                  <w:vAlign w:val="center"/>
                </w:tcPr>
                <w:p w14:paraId="777547FD">
                  <w:pPr>
                    <w:adjustRightInd w:val="0"/>
                    <w:snapToGrid w:val="0"/>
                    <w:spacing w:line="240" w:lineRule="auto"/>
                    <w:ind w:firstLine="0" w:firstLineChars="0"/>
                    <w:jc w:val="center"/>
                    <w:rPr>
                      <w:color w:val="auto"/>
                      <w:sz w:val="21"/>
                      <w:szCs w:val="21"/>
                    </w:rPr>
                  </w:pPr>
                  <w:r>
                    <w:rPr>
                      <w:color w:val="auto"/>
                      <w:sz w:val="21"/>
                      <w:szCs w:val="21"/>
                    </w:rPr>
                    <w:t>新增工业废水直排建设项目（槽罐车外送污水处理厂的除外）；</w:t>
                  </w:r>
                </w:p>
                <w:p w14:paraId="013F3B17">
                  <w:pPr>
                    <w:adjustRightInd w:val="0"/>
                    <w:snapToGrid w:val="0"/>
                    <w:spacing w:line="240" w:lineRule="auto"/>
                    <w:ind w:firstLine="0" w:firstLineChars="0"/>
                    <w:jc w:val="center"/>
                    <w:rPr>
                      <w:color w:val="auto"/>
                      <w:sz w:val="21"/>
                      <w:szCs w:val="21"/>
                    </w:rPr>
                  </w:pPr>
                  <w:r>
                    <w:rPr>
                      <w:color w:val="auto"/>
                      <w:sz w:val="21"/>
                      <w:szCs w:val="21"/>
                    </w:rPr>
                    <w:t>新增废水直排的污水集中处理厂</w:t>
                  </w:r>
                </w:p>
              </w:tc>
              <w:tc>
                <w:tcPr>
                  <w:tcW w:w="1964" w:type="dxa"/>
                  <w:vAlign w:val="center"/>
                </w:tcPr>
                <w:p w14:paraId="309ACDB1">
                  <w:pPr>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本项目</w:t>
                  </w:r>
                  <w:r>
                    <w:rPr>
                      <w:rFonts w:hint="eastAsia"/>
                      <w:color w:val="auto"/>
                      <w:sz w:val="21"/>
                      <w:szCs w:val="21"/>
                      <w:lang w:val="en-US" w:eastAsia="zh-CN"/>
                    </w:rPr>
                    <w:t>江川区医共体总院</w:t>
                  </w:r>
                  <w:r>
                    <w:rPr>
                      <w:color w:val="auto"/>
                      <w:sz w:val="21"/>
                      <w:szCs w:val="21"/>
                    </w:rPr>
                    <w:t>废水排入市政污水管网，进入污水处理厂，属间接排放</w:t>
                  </w:r>
                  <w:r>
                    <w:rPr>
                      <w:rFonts w:hint="eastAsia"/>
                      <w:color w:val="auto"/>
                      <w:sz w:val="21"/>
                      <w:szCs w:val="21"/>
                      <w:lang w:eastAsia="zh-CN"/>
                    </w:rPr>
                    <w:t>；</w:t>
                  </w:r>
                  <w:r>
                    <w:rPr>
                      <w:rFonts w:hint="eastAsia"/>
                      <w:color w:val="auto"/>
                      <w:sz w:val="21"/>
                      <w:szCs w:val="21"/>
                      <w:lang w:val="en-US" w:eastAsia="zh-CN"/>
                    </w:rPr>
                    <w:t>江城卫生院改扩建之后废水回用绿化，不外排</w:t>
                  </w:r>
                </w:p>
              </w:tc>
            </w:tr>
            <w:tr w14:paraId="79AE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774" w:type="dxa"/>
                  <w:vAlign w:val="center"/>
                </w:tcPr>
                <w:p w14:paraId="2DBFCCCD">
                  <w:pPr>
                    <w:adjustRightInd w:val="0"/>
                    <w:snapToGrid w:val="0"/>
                    <w:spacing w:line="240" w:lineRule="auto"/>
                    <w:ind w:firstLine="0" w:firstLineChars="0"/>
                    <w:jc w:val="center"/>
                    <w:rPr>
                      <w:color w:val="auto"/>
                      <w:sz w:val="21"/>
                      <w:szCs w:val="21"/>
                    </w:rPr>
                  </w:pPr>
                  <w:r>
                    <w:rPr>
                      <w:color w:val="auto"/>
                      <w:sz w:val="21"/>
                      <w:szCs w:val="21"/>
                    </w:rPr>
                    <w:t>环境风险</w:t>
                  </w:r>
                </w:p>
              </w:tc>
              <w:tc>
                <w:tcPr>
                  <w:tcW w:w="3351" w:type="dxa"/>
                  <w:vAlign w:val="center"/>
                </w:tcPr>
                <w:p w14:paraId="7AEEC172">
                  <w:pPr>
                    <w:adjustRightInd w:val="0"/>
                    <w:snapToGrid w:val="0"/>
                    <w:spacing w:line="240" w:lineRule="auto"/>
                    <w:ind w:firstLine="0" w:firstLineChars="0"/>
                    <w:jc w:val="center"/>
                    <w:rPr>
                      <w:color w:val="auto"/>
                      <w:sz w:val="21"/>
                      <w:szCs w:val="21"/>
                    </w:rPr>
                  </w:pPr>
                  <w:r>
                    <w:rPr>
                      <w:color w:val="auto"/>
                      <w:sz w:val="21"/>
                      <w:szCs w:val="21"/>
                    </w:rPr>
                    <w:t>有毒有害和易燃易爆危险物质存储量超过临界量</w:t>
                  </w:r>
                  <w:r>
                    <w:rPr>
                      <w:color w:val="auto"/>
                      <w:sz w:val="21"/>
                      <w:szCs w:val="21"/>
                      <w:vertAlign w:val="superscript"/>
                    </w:rPr>
                    <w:t>3</w:t>
                  </w:r>
                  <w:r>
                    <w:rPr>
                      <w:color w:val="auto"/>
                      <w:sz w:val="21"/>
                      <w:szCs w:val="21"/>
                    </w:rPr>
                    <w:t>的建设项目</w:t>
                  </w:r>
                </w:p>
              </w:tc>
              <w:tc>
                <w:tcPr>
                  <w:tcW w:w="1964" w:type="dxa"/>
                  <w:vAlign w:val="center"/>
                </w:tcPr>
                <w:p w14:paraId="7156F1DE">
                  <w:pPr>
                    <w:adjustRightInd w:val="0"/>
                    <w:snapToGrid w:val="0"/>
                    <w:spacing w:line="240" w:lineRule="auto"/>
                    <w:ind w:firstLine="0" w:firstLineChars="0"/>
                    <w:jc w:val="center"/>
                    <w:rPr>
                      <w:color w:val="auto"/>
                      <w:sz w:val="21"/>
                      <w:szCs w:val="21"/>
                    </w:rPr>
                  </w:pPr>
                  <w:r>
                    <w:rPr>
                      <w:color w:val="auto"/>
                      <w:sz w:val="21"/>
                      <w:szCs w:val="21"/>
                    </w:rPr>
                    <w:t>本项目风险物质主要</w:t>
                  </w:r>
                  <w:r>
                    <w:rPr>
                      <w:rFonts w:hint="eastAsia"/>
                      <w:color w:val="auto"/>
                      <w:sz w:val="21"/>
                      <w:szCs w:val="21"/>
                      <w:lang w:val="en-US" w:eastAsia="zh-CN"/>
                    </w:rPr>
                    <w:t>为</w:t>
                  </w:r>
                  <w:r>
                    <w:rPr>
                      <w:color w:val="auto"/>
                      <w:sz w:val="21"/>
                      <w:szCs w:val="21"/>
                    </w:rPr>
                    <w:t>柴油、漂白粉、乙醇等，均</w:t>
                  </w:r>
                  <w:r>
                    <w:rPr>
                      <w:rFonts w:hint="eastAsia"/>
                      <w:color w:val="auto"/>
                      <w:sz w:val="21"/>
                      <w:szCs w:val="21"/>
                      <w:lang w:eastAsia="zh-CN"/>
                    </w:rPr>
                    <w:t>未</w:t>
                  </w:r>
                  <w:r>
                    <w:rPr>
                      <w:color w:val="auto"/>
                      <w:sz w:val="21"/>
                      <w:szCs w:val="21"/>
                    </w:rPr>
                    <w:t>超过临界量，计算风险潜势为Ⅰ</w:t>
                  </w:r>
                </w:p>
              </w:tc>
            </w:tr>
            <w:tr w14:paraId="604C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774" w:type="dxa"/>
                  <w:vAlign w:val="center"/>
                </w:tcPr>
                <w:p w14:paraId="3876841C">
                  <w:pPr>
                    <w:adjustRightInd w:val="0"/>
                    <w:snapToGrid w:val="0"/>
                    <w:spacing w:line="240" w:lineRule="auto"/>
                    <w:ind w:firstLine="0" w:firstLineChars="0"/>
                    <w:jc w:val="center"/>
                    <w:rPr>
                      <w:color w:val="auto"/>
                      <w:sz w:val="21"/>
                      <w:szCs w:val="21"/>
                    </w:rPr>
                  </w:pPr>
                  <w:r>
                    <w:rPr>
                      <w:color w:val="auto"/>
                      <w:sz w:val="21"/>
                      <w:szCs w:val="21"/>
                    </w:rPr>
                    <w:t>生态</w:t>
                  </w:r>
                </w:p>
              </w:tc>
              <w:tc>
                <w:tcPr>
                  <w:tcW w:w="3351" w:type="dxa"/>
                  <w:vAlign w:val="center"/>
                </w:tcPr>
                <w:p w14:paraId="4E39973E">
                  <w:pPr>
                    <w:adjustRightInd w:val="0"/>
                    <w:snapToGrid w:val="0"/>
                    <w:spacing w:line="240" w:lineRule="auto"/>
                    <w:ind w:firstLine="0" w:firstLineChars="0"/>
                    <w:jc w:val="center"/>
                    <w:rPr>
                      <w:color w:val="auto"/>
                      <w:sz w:val="21"/>
                      <w:szCs w:val="21"/>
                    </w:rPr>
                  </w:pPr>
                  <w:r>
                    <w:rPr>
                      <w:color w:val="auto"/>
                      <w:sz w:val="21"/>
                      <w:szCs w:val="21"/>
                    </w:rPr>
                    <w:t>取水口下游500米范围内有重要水生生物的自然产卵场、索饵场、越冬场和洄游通道的新增河道取水的污染类建设项目</w:t>
                  </w:r>
                </w:p>
              </w:tc>
              <w:tc>
                <w:tcPr>
                  <w:tcW w:w="1964" w:type="dxa"/>
                  <w:vAlign w:val="center"/>
                </w:tcPr>
                <w:p w14:paraId="4982701C">
                  <w:pPr>
                    <w:adjustRightInd w:val="0"/>
                    <w:snapToGrid w:val="0"/>
                    <w:spacing w:line="240" w:lineRule="auto"/>
                    <w:ind w:firstLine="0" w:firstLineChars="0"/>
                    <w:jc w:val="center"/>
                    <w:rPr>
                      <w:color w:val="auto"/>
                      <w:sz w:val="21"/>
                      <w:szCs w:val="21"/>
                    </w:rPr>
                  </w:pPr>
                  <w:r>
                    <w:rPr>
                      <w:color w:val="auto"/>
                      <w:sz w:val="21"/>
                      <w:szCs w:val="21"/>
                    </w:rPr>
                    <w:t>本项目不涉及</w:t>
                  </w:r>
                </w:p>
              </w:tc>
            </w:tr>
            <w:tr w14:paraId="14339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774" w:type="dxa"/>
                  <w:vAlign w:val="center"/>
                </w:tcPr>
                <w:p w14:paraId="53D9C8F6">
                  <w:pPr>
                    <w:adjustRightInd w:val="0"/>
                    <w:snapToGrid w:val="0"/>
                    <w:spacing w:line="240" w:lineRule="auto"/>
                    <w:ind w:firstLine="0" w:firstLineChars="0"/>
                    <w:jc w:val="center"/>
                    <w:rPr>
                      <w:color w:val="auto"/>
                      <w:sz w:val="21"/>
                      <w:szCs w:val="21"/>
                    </w:rPr>
                  </w:pPr>
                  <w:r>
                    <w:rPr>
                      <w:color w:val="auto"/>
                      <w:sz w:val="21"/>
                      <w:szCs w:val="21"/>
                    </w:rPr>
                    <w:t>海洋</w:t>
                  </w:r>
                </w:p>
              </w:tc>
              <w:tc>
                <w:tcPr>
                  <w:tcW w:w="3351" w:type="dxa"/>
                  <w:vAlign w:val="center"/>
                </w:tcPr>
                <w:p w14:paraId="781377FD">
                  <w:pPr>
                    <w:adjustRightInd w:val="0"/>
                    <w:snapToGrid w:val="0"/>
                    <w:spacing w:line="240" w:lineRule="auto"/>
                    <w:ind w:firstLine="0" w:firstLineChars="0"/>
                    <w:jc w:val="center"/>
                    <w:rPr>
                      <w:color w:val="auto"/>
                      <w:sz w:val="21"/>
                      <w:szCs w:val="21"/>
                    </w:rPr>
                  </w:pPr>
                  <w:r>
                    <w:rPr>
                      <w:color w:val="auto"/>
                      <w:sz w:val="21"/>
                      <w:szCs w:val="21"/>
                    </w:rPr>
                    <w:t>直接向海排放污染物的海洋工程建设项目</w:t>
                  </w:r>
                </w:p>
              </w:tc>
              <w:tc>
                <w:tcPr>
                  <w:tcW w:w="1964" w:type="dxa"/>
                  <w:vAlign w:val="center"/>
                </w:tcPr>
                <w:p w14:paraId="1587C0C4">
                  <w:pPr>
                    <w:adjustRightInd w:val="0"/>
                    <w:snapToGrid w:val="0"/>
                    <w:spacing w:line="240" w:lineRule="auto"/>
                    <w:ind w:firstLine="0" w:firstLineChars="0"/>
                    <w:jc w:val="center"/>
                    <w:rPr>
                      <w:color w:val="auto"/>
                      <w:sz w:val="21"/>
                      <w:szCs w:val="21"/>
                    </w:rPr>
                  </w:pPr>
                  <w:r>
                    <w:rPr>
                      <w:color w:val="auto"/>
                      <w:sz w:val="21"/>
                      <w:szCs w:val="21"/>
                    </w:rPr>
                    <w:t>本项目不涉及</w:t>
                  </w:r>
                </w:p>
              </w:tc>
            </w:tr>
          </w:tbl>
          <w:p w14:paraId="52AA5D74">
            <w:pPr>
              <w:adjustRightInd w:val="0"/>
              <w:snapToGrid w:val="0"/>
              <w:spacing w:line="240" w:lineRule="auto"/>
              <w:ind w:firstLine="0" w:firstLineChars="0"/>
              <w:jc w:val="left"/>
              <w:rPr>
                <w:color w:val="auto"/>
                <w:sz w:val="20"/>
                <w:szCs w:val="20"/>
              </w:rPr>
            </w:pPr>
            <w:r>
              <w:rPr>
                <w:color w:val="auto"/>
                <w:sz w:val="20"/>
                <w:szCs w:val="20"/>
              </w:rPr>
              <w:t>注：1.废气中有毒有害污染物指纳入《有毒有害大气污染物名录》的污染物（不包括无排放标准的污染物）。</w:t>
            </w:r>
          </w:p>
          <w:p w14:paraId="597297C7">
            <w:pPr>
              <w:adjustRightInd w:val="0"/>
              <w:snapToGrid w:val="0"/>
              <w:spacing w:line="240" w:lineRule="auto"/>
              <w:ind w:firstLine="0" w:firstLineChars="0"/>
              <w:jc w:val="left"/>
              <w:rPr>
                <w:color w:val="auto"/>
                <w:sz w:val="20"/>
                <w:szCs w:val="20"/>
              </w:rPr>
            </w:pPr>
            <w:r>
              <w:rPr>
                <w:color w:val="auto"/>
                <w:sz w:val="20"/>
                <w:szCs w:val="20"/>
              </w:rPr>
              <w:t>2.环境空气保护目标指自然保护区、风景名胜区、居住区、文化区和农村地区中人群较集中的区域。</w:t>
            </w:r>
          </w:p>
          <w:p w14:paraId="5F897793">
            <w:pPr>
              <w:adjustRightInd w:val="0"/>
              <w:snapToGrid w:val="0"/>
              <w:spacing w:line="240" w:lineRule="auto"/>
              <w:ind w:firstLine="0" w:firstLineChars="0"/>
              <w:jc w:val="left"/>
              <w:rPr>
                <w:color w:val="auto"/>
                <w:sz w:val="20"/>
                <w:szCs w:val="20"/>
              </w:rPr>
            </w:pPr>
            <w:r>
              <w:rPr>
                <w:color w:val="auto"/>
                <w:sz w:val="20"/>
                <w:szCs w:val="20"/>
              </w:rPr>
              <w:t>3.临界量及其计算方法可参考《建设项目环境风险评价技术导则》（HJ169）附录B、附录C。</w:t>
            </w:r>
          </w:p>
          <w:p w14:paraId="75A50874">
            <w:pPr>
              <w:widowControl/>
              <w:ind w:firstLine="480"/>
              <w:jc w:val="left"/>
              <w:rPr>
                <w:rFonts w:hint="eastAsia" w:eastAsia="宋体"/>
                <w:color w:val="auto"/>
                <w:lang w:eastAsia="zh-CN"/>
              </w:rPr>
            </w:pPr>
            <w:r>
              <w:rPr>
                <w:color w:val="auto"/>
                <w:kern w:val="0"/>
                <w:szCs w:val="24"/>
                <w:lang w:bidi="ar"/>
              </w:rPr>
              <w:t>本项目废水经自建污水处理站处理后排入市政污水管网，进入污水处理厂。项目</w:t>
            </w:r>
            <w:r>
              <w:rPr>
                <w:rFonts w:hint="eastAsia"/>
                <w:color w:val="auto"/>
                <w:kern w:val="0"/>
                <w:szCs w:val="24"/>
                <w:lang w:val="en-US" w:eastAsia="zh-CN" w:bidi="ar"/>
              </w:rPr>
              <w:t>江川区医共体总院</w:t>
            </w:r>
            <w:r>
              <w:rPr>
                <w:color w:val="auto"/>
                <w:kern w:val="0"/>
                <w:szCs w:val="24"/>
                <w:lang w:bidi="ar"/>
              </w:rPr>
              <w:t>废水属于间接排</w:t>
            </w:r>
            <w:r>
              <w:rPr>
                <w:rFonts w:hint="eastAsia"/>
                <w:color w:val="auto"/>
                <w:kern w:val="0"/>
                <w:szCs w:val="24"/>
                <w:lang w:eastAsia="zh-CN" w:bidi="ar"/>
              </w:rPr>
              <w:t>；</w:t>
            </w:r>
            <w:r>
              <w:rPr>
                <w:rFonts w:hint="eastAsia"/>
                <w:color w:val="auto"/>
                <w:kern w:val="0"/>
                <w:szCs w:val="24"/>
                <w:lang w:val="en-US" w:eastAsia="zh-CN" w:bidi="ar"/>
              </w:rPr>
              <w:t>江城镇卫生院废水不外排</w:t>
            </w:r>
            <w:r>
              <w:rPr>
                <w:color w:val="auto"/>
                <w:kern w:val="0"/>
                <w:szCs w:val="24"/>
                <w:lang w:bidi="ar"/>
              </w:rPr>
              <w:t>，因此无需进行专项评价</w:t>
            </w:r>
            <w:r>
              <w:rPr>
                <w:rFonts w:hint="eastAsia"/>
                <w:color w:val="auto"/>
                <w:kern w:val="0"/>
                <w:szCs w:val="24"/>
                <w:lang w:eastAsia="zh-CN" w:bidi="ar"/>
              </w:rPr>
              <w:t>。</w:t>
            </w:r>
            <w:r>
              <w:rPr>
                <w:rFonts w:hint="eastAsia"/>
                <w:color w:val="auto"/>
                <w:kern w:val="0"/>
                <w:szCs w:val="24"/>
                <w:lang w:val="en-US" w:eastAsia="zh-CN" w:bidi="ar"/>
              </w:rPr>
              <w:t>本项目</w:t>
            </w:r>
            <w:r>
              <w:rPr>
                <w:rFonts w:hint="eastAsia"/>
                <w:color w:val="auto"/>
                <w:kern w:val="0"/>
                <w:szCs w:val="24"/>
                <w:lang w:eastAsia="zh-CN" w:bidi="ar"/>
              </w:rPr>
              <w:t>环境风险</w:t>
            </w:r>
            <w:r>
              <w:rPr>
                <w:color w:val="auto"/>
                <w:kern w:val="0"/>
                <w:szCs w:val="24"/>
                <w:lang w:bidi="ar"/>
              </w:rPr>
              <w:t>计算风险潜势为Ⅰ</w:t>
            </w:r>
            <w:r>
              <w:rPr>
                <w:rFonts w:hint="eastAsia"/>
                <w:color w:val="auto"/>
                <w:kern w:val="0"/>
                <w:szCs w:val="24"/>
                <w:lang w:eastAsia="zh-CN" w:bidi="ar"/>
              </w:rPr>
              <w:t>，因此无需进行专项评价。</w:t>
            </w:r>
          </w:p>
        </w:tc>
      </w:tr>
      <w:tr w14:paraId="6CB8FC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98" w:hRule="atLeast"/>
          <w:jc w:val="center"/>
        </w:trPr>
        <w:tc>
          <w:tcPr>
            <w:tcW w:w="2045" w:type="dxa"/>
            <w:gridSpan w:val="2"/>
            <w:vAlign w:val="center"/>
          </w:tcPr>
          <w:p w14:paraId="61D3DA1C">
            <w:pPr>
              <w:ind w:firstLine="0" w:firstLineChars="0"/>
              <w:jc w:val="center"/>
              <w:rPr>
                <w:color w:val="auto"/>
              </w:rPr>
            </w:pPr>
            <w:r>
              <w:rPr>
                <w:color w:val="auto"/>
              </w:rPr>
              <w:t>规划情况</w:t>
            </w:r>
          </w:p>
        </w:tc>
        <w:tc>
          <w:tcPr>
            <w:tcW w:w="7214" w:type="dxa"/>
            <w:gridSpan w:val="3"/>
            <w:vAlign w:val="center"/>
          </w:tcPr>
          <w:p w14:paraId="4D0A691F">
            <w:pPr>
              <w:ind w:firstLine="480"/>
              <w:rPr>
                <w:color w:val="auto"/>
              </w:rPr>
            </w:pPr>
            <w:r>
              <w:rPr>
                <w:color w:val="auto"/>
              </w:rPr>
              <w:t>无</w:t>
            </w:r>
          </w:p>
        </w:tc>
      </w:tr>
      <w:tr w14:paraId="1953C5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98" w:hRule="atLeast"/>
          <w:jc w:val="center"/>
        </w:trPr>
        <w:tc>
          <w:tcPr>
            <w:tcW w:w="2045" w:type="dxa"/>
            <w:gridSpan w:val="2"/>
            <w:vAlign w:val="center"/>
          </w:tcPr>
          <w:p w14:paraId="5F8138DE">
            <w:pPr>
              <w:ind w:firstLine="0" w:firstLineChars="0"/>
              <w:jc w:val="center"/>
              <w:rPr>
                <w:color w:val="auto"/>
              </w:rPr>
            </w:pPr>
            <w:r>
              <w:rPr>
                <w:color w:val="auto"/>
              </w:rPr>
              <w:t>规划环境影响评价情况</w:t>
            </w:r>
          </w:p>
        </w:tc>
        <w:tc>
          <w:tcPr>
            <w:tcW w:w="7214" w:type="dxa"/>
            <w:gridSpan w:val="3"/>
            <w:vAlign w:val="center"/>
          </w:tcPr>
          <w:p w14:paraId="026EF4E6">
            <w:pPr>
              <w:ind w:firstLine="480"/>
              <w:rPr>
                <w:color w:val="auto"/>
              </w:rPr>
            </w:pPr>
            <w:r>
              <w:rPr>
                <w:color w:val="auto"/>
              </w:rPr>
              <w:t>无</w:t>
            </w:r>
          </w:p>
        </w:tc>
      </w:tr>
      <w:tr w14:paraId="0FFEE5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31" w:hRule="atLeast"/>
          <w:jc w:val="center"/>
        </w:trPr>
        <w:tc>
          <w:tcPr>
            <w:tcW w:w="2045" w:type="dxa"/>
            <w:gridSpan w:val="2"/>
            <w:vAlign w:val="center"/>
          </w:tcPr>
          <w:p w14:paraId="3379D460">
            <w:pPr>
              <w:ind w:firstLine="0" w:firstLineChars="0"/>
              <w:jc w:val="center"/>
              <w:rPr>
                <w:color w:val="auto"/>
              </w:rPr>
            </w:pPr>
            <w:r>
              <w:rPr>
                <w:color w:val="auto"/>
              </w:rPr>
              <w:t>规划及规划环境影响评价符合性分析</w:t>
            </w:r>
          </w:p>
        </w:tc>
        <w:tc>
          <w:tcPr>
            <w:tcW w:w="7214" w:type="dxa"/>
            <w:gridSpan w:val="3"/>
            <w:vAlign w:val="center"/>
          </w:tcPr>
          <w:p w14:paraId="68949341">
            <w:pPr>
              <w:ind w:firstLine="480"/>
              <w:rPr>
                <w:color w:val="auto"/>
              </w:rPr>
            </w:pPr>
            <w:r>
              <w:rPr>
                <w:color w:val="auto"/>
              </w:rPr>
              <w:t>无</w:t>
            </w:r>
          </w:p>
        </w:tc>
      </w:tr>
      <w:tr w14:paraId="2ADF19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58" w:hRule="atLeast"/>
          <w:jc w:val="center"/>
        </w:trPr>
        <w:tc>
          <w:tcPr>
            <w:tcW w:w="1186" w:type="dxa"/>
            <w:vAlign w:val="center"/>
          </w:tcPr>
          <w:p w14:paraId="47CBC53A">
            <w:pPr>
              <w:ind w:firstLine="0" w:firstLineChars="0"/>
              <w:jc w:val="center"/>
              <w:rPr>
                <w:color w:val="auto"/>
              </w:rPr>
            </w:pPr>
            <w:r>
              <w:rPr>
                <w:color w:val="auto"/>
              </w:rPr>
              <w:t>其他符合性分析</w:t>
            </w:r>
          </w:p>
        </w:tc>
        <w:tc>
          <w:tcPr>
            <w:tcW w:w="8073" w:type="dxa"/>
            <w:gridSpan w:val="4"/>
            <w:vAlign w:val="center"/>
          </w:tcPr>
          <w:p w14:paraId="19958B05">
            <w:pPr>
              <w:numPr>
                <w:ilvl w:val="0"/>
                <w:numId w:val="1"/>
              </w:numPr>
              <w:ind w:firstLine="482"/>
              <w:rPr>
                <w:b/>
                <w:bCs/>
                <w:color w:val="auto"/>
              </w:rPr>
            </w:pPr>
            <w:r>
              <w:rPr>
                <w:b/>
                <w:bCs/>
                <w:color w:val="auto"/>
              </w:rPr>
              <w:t>产业政策符合性分析</w:t>
            </w:r>
          </w:p>
          <w:p w14:paraId="7036672B">
            <w:pPr>
              <w:widowControl/>
              <w:ind w:firstLine="480"/>
              <w:jc w:val="left"/>
              <w:rPr>
                <w:color w:val="auto"/>
              </w:rPr>
            </w:pPr>
            <w:r>
              <w:rPr>
                <w:color w:val="auto"/>
              </w:rPr>
              <w:t>根据《产业结构调整指导目录（</w:t>
            </w:r>
            <w:r>
              <w:rPr>
                <w:rFonts w:hint="eastAsia"/>
                <w:color w:val="auto"/>
                <w:lang w:val="en-US" w:eastAsia="zh-CN"/>
              </w:rPr>
              <w:t>2024</w:t>
            </w:r>
            <w:r>
              <w:rPr>
                <w:color w:val="auto"/>
              </w:rPr>
              <w:t>年本）》，本项目属于三十七、卫生健康</w:t>
            </w:r>
            <w:r>
              <w:rPr>
                <w:rFonts w:hint="eastAsia"/>
                <w:color w:val="auto"/>
                <w:lang w:val="en-US" w:eastAsia="zh-CN"/>
              </w:rPr>
              <w:t>1</w:t>
            </w:r>
            <w:r>
              <w:rPr>
                <w:color w:val="auto"/>
              </w:rPr>
              <w:t>、医疗卫生服务设施建设，</w:t>
            </w:r>
            <w:r>
              <w:rPr>
                <w:color w:val="auto"/>
                <w:kern w:val="0"/>
              </w:rPr>
              <w:t>属于国家鼓励类项目。</w:t>
            </w:r>
            <w:r>
              <w:rPr>
                <w:color w:val="auto"/>
              </w:rPr>
              <w:t>因此，</w:t>
            </w:r>
            <w:r>
              <w:rPr>
                <w:color w:val="auto"/>
                <w:kern w:val="0"/>
              </w:rPr>
              <w:t>本项目符合国家产业政策</w:t>
            </w:r>
            <w:r>
              <w:rPr>
                <w:color w:val="auto"/>
              </w:rPr>
              <w:t>。202</w:t>
            </w:r>
            <w:r>
              <w:rPr>
                <w:rFonts w:hint="eastAsia"/>
                <w:color w:val="auto"/>
                <w:lang w:val="en-US" w:eastAsia="zh-CN"/>
              </w:rPr>
              <w:t>5</w:t>
            </w:r>
            <w:r>
              <w:rPr>
                <w:color w:val="auto"/>
              </w:rPr>
              <w:t>年</w:t>
            </w:r>
            <w:r>
              <w:rPr>
                <w:rFonts w:hint="eastAsia"/>
                <w:color w:val="auto"/>
                <w:lang w:val="en-US" w:eastAsia="zh-CN"/>
              </w:rPr>
              <w:t>6</w:t>
            </w:r>
            <w:r>
              <w:rPr>
                <w:color w:val="auto"/>
              </w:rPr>
              <w:t>月</w:t>
            </w:r>
            <w:r>
              <w:rPr>
                <w:rFonts w:hint="eastAsia"/>
                <w:color w:val="auto"/>
                <w:lang w:val="en-US" w:eastAsia="zh-CN"/>
              </w:rPr>
              <w:t>19日</w:t>
            </w:r>
            <w:r>
              <w:rPr>
                <w:color w:val="auto"/>
              </w:rPr>
              <w:t>，本项目于江川区发展和改革局取得备案（项目编码：</w:t>
            </w:r>
            <w:r>
              <w:rPr>
                <w:rFonts w:hint="default"/>
                <w:color w:val="auto"/>
                <w:szCs w:val="24"/>
                <w:lang w:val="en-US" w:eastAsia="zh-CN"/>
              </w:rPr>
              <w:t>2504-530403-04-01-385371</w:t>
            </w:r>
            <w:r>
              <w:rPr>
                <w:color w:val="auto"/>
              </w:rPr>
              <w:t>）。综上所述，本项目的建设符合国家和地方产业政策。</w:t>
            </w:r>
          </w:p>
          <w:p w14:paraId="3101FF02">
            <w:pPr>
              <w:numPr>
                <w:ilvl w:val="0"/>
                <w:numId w:val="1"/>
              </w:numPr>
              <w:ind w:firstLine="482"/>
              <w:rPr>
                <w:b/>
                <w:bCs/>
                <w:color w:val="auto"/>
                <w:highlight w:val="none"/>
              </w:rPr>
            </w:pPr>
            <w:r>
              <w:rPr>
                <w:b/>
                <w:bCs/>
                <w:color w:val="auto"/>
                <w:highlight w:val="none"/>
              </w:rPr>
              <w:t>“三线一单”符合性分析</w:t>
            </w:r>
          </w:p>
          <w:p w14:paraId="3EF7FE12">
            <w:pPr>
              <w:widowControl/>
              <w:ind w:firstLine="480"/>
              <w:jc w:val="left"/>
              <w:rPr>
                <w:color w:val="auto"/>
                <w:highlight w:val="none"/>
              </w:rPr>
            </w:pPr>
            <w:r>
              <w:rPr>
                <w:color w:val="auto"/>
                <w:highlight w:val="none"/>
              </w:rPr>
              <w:t>为贯彻落实《中共中央国务院关于全面加强生态环境保护坚决打好污染防治攻坚战的意见》（中发〔2018〕17号）、《云南省人民政府关于实施“三线一单”生态环境分区管控的意见》（云政发〔2020〕29号）等文件精神，落实生态保护红线、环境质量底线、资源利用上线和生态环境准入清单，实施生态环境分区管控，推动生态环境质量改善，促进高质量发展，</w:t>
            </w:r>
            <w:r>
              <w:rPr>
                <w:color w:val="auto"/>
                <w:kern w:val="0"/>
                <w:szCs w:val="24"/>
                <w:highlight w:val="none"/>
                <w:lang w:bidi="ar"/>
              </w:rPr>
              <w:t>玉溪市发布了《玉溪市人民政府关于实施“三线一单”生态环境分区管控实施方案的通知》（玉政发〔2021〕15号）。</w:t>
            </w:r>
          </w:p>
          <w:p w14:paraId="6E6A18AB">
            <w:pPr>
              <w:widowControl/>
              <w:ind w:firstLine="480"/>
              <w:jc w:val="left"/>
              <w:rPr>
                <w:rFonts w:hint="eastAsia" w:eastAsia="宋体"/>
                <w:color w:val="auto"/>
                <w:highlight w:val="none"/>
                <w:lang w:eastAsia="zh-CN"/>
              </w:rPr>
            </w:pPr>
            <w:r>
              <w:rPr>
                <w:color w:val="auto"/>
                <w:kern w:val="0"/>
                <w:szCs w:val="24"/>
                <w:highlight w:val="none"/>
                <w:lang w:bidi="ar"/>
              </w:rPr>
              <w:t>玉溪市共划分82个生态环境管控单元，分为优先保护、重点管控和一般管控三类。其中，优先保护单元共27个，重点管控单元共46个，一般管控单元共9个。</w:t>
            </w:r>
          </w:p>
          <w:p w14:paraId="52C84FD6">
            <w:pPr>
              <w:widowControl/>
              <w:ind w:firstLine="482"/>
              <w:jc w:val="left"/>
              <w:rPr>
                <w:b/>
                <w:bCs/>
                <w:color w:val="auto"/>
                <w:kern w:val="0"/>
                <w:szCs w:val="24"/>
                <w:lang w:bidi="ar"/>
              </w:rPr>
            </w:pPr>
            <w:r>
              <w:rPr>
                <w:b/>
                <w:bCs/>
                <w:color w:val="auto"/>
                <w:kern w:val="0"/>
                <w:szCs w:val="24"/>
                <w:lang w:bidi="ar"/>
              </w:rPr>
              <w:t>A、项目与“玉溪市三线一单”的对照如下：</w:t>
            </w:r>
          </w:p>
          <w:p w14:paraId="52C02E78">
            <w:pPr>
              <w:pStyle w:val="2"/>
              <w:jc w:val="center"/>
              <w:rPr>
                <w:b/>
                <w:color w:val="auto"/>
                <w:kern w:val="2"/>
                <w:sz w:val="21"/>
                <w:szCs w:val="21"/>
              </w:rPr>
            </w:pPr>
            <w:r>
              <w:rPr>
                <w:b/>
                <w:color w:val="auto"/>
                <w:kern w:val="2"/>
                <w:sz w:val="21"/>
                <w:szCs w:val="21"/>
              </w:rPr>
              <w:t>表1-2项目与“玉溪市三线一单”的符合性分析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426"/>
              <w:gridCol w:w="3407"/>
              <w:gridCol w:w="2404"/>
              <w:gridCol w:w="774"/>
            </w:tblGrid>
            <w:tr w14:paraId="2F76B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9" w:type="dxa"/>
                  <w:gridSpan w:val="2"/>
                  <w:vAlign w:val="center"/>
                </w:tcPr>
                <w:p w14:paraId="5A255E03">
                  <w:pPr>
                    <w:adjustRightInd w:val="0"/>
                    <w:snapToGrid w:val="0"/>
                    <w:spacing w:line="240" w:lineRule="auto"/>
                    <w:ind w:firstLine="0" w:firstLineChars="0"/>
                    <w:jc w:val="center"/>
                    <w:rPr>
                      <w:rFonts w:hint="eastAsia" w:eastAsia="宋体"/>
                      <w:color w:val="auto"/>
                      <w:sz w:val="21"/>
                      <w:szCs w:val="21"/>
                      <w:lang w:eastAsia="zh-CN"/>
                    </w:rPr>
                  </w:pPr>
                  <w:r>
                    <w:rPr>
                      <w:color w:val="auto"/>
                      <w:sz w:val="21"/>
                      <w:szCs w:val="21"/>
                    </w:rPr>
                    <w:t>类别</w:t>
                  </w:r>
                </w:p>
              </w:tc>
              <w:tc>
                <w:tcPr>
                  <w:tcW w:w="3407" w:type="dxa"/>
                  <w:vAlign w:val="center"/>
                </w:tcPr>
                <w:p w14:paraId="2B55D910">
                  <w:pPr>
                    <w:adjustRightInd w:val="0"/>
                    <w:snapToGrid w:val="0"/>
                    <w:spacing w:line="240" w:lineRule="auto"/>
                    <w:ind w:firstLine="0" w:firstLineChars="0"/>
                    <w:jc w:val="center"/>
                    <w:rPr>
                      <w:color w:val="auto"/>
                      <w:sz w:val="21"/>
                      <w:szCs w:val="21"/>
                    </w:rPr>
                  </w:pPr>
                  <w:r>
                    <w:rPr>
                      <w:color w:val="auto"/>
                      <w:sz w:val="21"/>
                      <w:szCs w:val="21"/>
                    </w:rPr>
                    <w:t>文件内容</w:t>
                  </w:r>
                </w:p>
              </w:tc>
              <w:tc>
                <w:tcPr>
                  <w:tcW w:w="2404" w:type="dxa"/>
                  <w:vAlign w:val="center"/>
                </w:tcPr>
                <w:p w14:paraId="3117D3F2">
                  <w:pPr>
                    <w:adjustRightInd w:val="0"/>
                    <w:snapToGrid w:val="0"/>
                    <w:spacing w:line="240" w:lineRule="auto"/>
                    <w:ind w:firstLine="0" w:firstLineChars="0"/>
                    <w:jc w:val="center"/>
                    <w:rPr>
                      <w:color w:val="auto"/>
                      <w:sz w:val="21"/>
                      <w:szCs w:val="21"/>
                    </w:rPr>
                  </w:pPr>
                  <w:r>
                    <w:rPr>
                      <w:color w:val="auto"/>
                      <w:sz w:val="21"/>
                      <w:szCs w:val="21"/>
                    </w:rPr>
                    <w:t>本项目情况</w:t>
                  </w:r>
                </w:p>
              </w:tc>
              <w:tc>
                <w:tcPr>
                  <w:tcW w:w="774" w:type="dxa"/>
                  <w:vAlign w:val="center"/>
                </w:tcPr>
                <w:p w14:paraId="09670165">
                  <w:pPr>
                    <w:adjustRightInd w:val="0"/>
                    <w:snapToGrid w:val="0"/>
                    <w:spacing w:line="240" w:lineRule="auto"/>
                    <w:ind w:firstLine="0" w:firstLineChars="0"/>
                    <w:jc w:val="center"/>
                    <w:rPr>
                      <w:color w:val="auto"/>
                      <w:sz w:val="21"/>
                      <w:szCs w:val="21"/>
                    </w:rPr>
                  </w:pPr>
                  <w:r>
                    <w:rPr>
                      <w:color w:val="auto"/>
                      <w:sz w:val="21"/>
                      <w:szCs w:val="21"/>
                    </w:rPr>
                    <w:t>符合性</w:t>
                  </w:r>
                </w:p>
              </w:tc>
            </w:tr>
            <w:tr w14:paraId="1DAAB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9" w:type="dxa"/>
                  <w:gridSpan w:val="2"/>
                  <w:vAlign w:val="center"/>
                </w:tcPr>
                <w:p w14:paraId="62E2E58D">
                  <w:pPr>
                    <w:adjustRightInd w:val="0"/>
                    <w:snapToGrid w:val="0"/>
                    <w:spacing w:line="240" w:lineRule="auto"/>
                    <w:ind w:firstLine="0" w:firstLineChars="0"/>
                    <w:jc w:val="center"/>
                    <w:rPr>
                      <w:color w:val="auto"/>
                      <w:sz w:val="21"/>
                      <w:szCs w:val="21"/>
                    </w:rPr>
                  </w:pPr>
                  <w:r>
                    <w:rPr>
                      <w:color w:val="auto"/>
                      <w:sz w:val="21"/>
                      <w:szCs w:val="21"/>
                    </w:rPr>
                    <w:t>生态保护红线和一般生态空间</w:t>
                  </w:r>
                </w:p>
              </w:tc>
              <w:tc>
                <w:tcPr>
                  <w:tcW w:w="3407" w:type="dxa"/>
                  <w:vAlign w:val="center"/>
                </w:tcPr>
                <w:p w14:paraId="20CFB684">
                  <w:pPr>
                    <w:adjustRightInd w:val="0"/>
                    <w:snapToGrid w:val="0"/>
                    <w:spacing w:line="240" w:lineRule="auto"/>
                    <w:ind w:firstLine="0" w:firstLineChars="0"/>
                    <w:jc w:val="center"/>
                    <w:rPr>
                      <w:color w:val="auto"/>
                      <w:sz w:val="21"/>
                      <w:szCs w:val="21"/>
                    </w:rPr>
                  </w:pPr>
                  <w:r>
                    <w:rPr>
                      <w:color w:val="auto"/>
                      <w:sz w:val="21"/>
                      <w:szCs w:val="21"/>
                    </w:rPr>
                    <w:t>执行《云南省人民政府关于发布云南省生态保护红线的通知》（云政发〔2018〕32号），生态保护红线评估调整成果获批后，按照批准成果执行。将未划入生态保护红线的自然保护地、饮用水水源保护区、重要湿地、基本草原、生态公益林、</w:t>
                  </w:r>
                  <w:r>
                    <w:rPr>
                      <w:rFonts w:hint="eastAsia"/>
                      <w:color w:val="auto"/>
                      <w:sz w:val="21"/>
                      <w:szCs w:val="21"/>
                      <w:lang w:eastAsia="zh-CN"/>
                    </w:rPr>
                    <w:t>天然林</w:t>
                  </w:r>
                  <w:r>
                    <w:rPr>
                      <w:color w:val="auto"/>
                      <w:sz w:val="21"/>
                      <w:szCs w:val="21"/>
                    </w:rPr>
                    <w:t>等生态功能重要、生态环境敏感区域划为一般生态空间。</w:t>
                  </w:r>
                </w:p>
              </w:tc>
              <w:tc>
                <w:tcPr>
                  <w:tcW w:w="2404" w:type="dxa"/>
                  <w:vAlign w:val="center"/>
                </w:tcPr>
                <w:p w14:paraId="052F7E06">
                  <w:pPr>
                    <w:adjustRightInd w:val="0"/>
                    <w:snapToGrid w:val="0"/>
                    <w:spacing w:line="240" w:lineRule="auto"/>
                    <w:ind w:firstLine="0" w:firstLineChars="0"/>
                    <w:jc w:val="center"/>
                    <w:rPr>
                      <w:color w:val="auto"/>
                      <w:sz w:val="21"/>
                      <w:szCs w:val="21"/>
                    </w:rPr>
                  </w:pPr>
                  <w:r>
                    <w:rPr>
                      <w:color w:val="auto"/>
                      <w:sz w:val="21"/>
                      <w:szCs w:val="21"/>
                    </w:rPr>
                    <w:t>本项目位于玉溪市江川区星云街道湖滨路北段14号</w:t>
                  </w:r>
                  <w:r>
                    <w:rPr>
                      <w:rFonts w:hint="eastAsia"/>
                      <w:color w:val="auto"/>
                      <w:sz w:val="21"/>
                      <w:szCs w:val="21"/>
                      <w:lang w:val="en-US" w:eastAsia="zh-CN"/>
                    </w:rPr>
                    <w:t>及玉溪市江川区江城镇振兴街53号</w:t>
                  </w:r>
                  <w:r>
                    <w:rPr>
                      <w:color w:val="auto"/>
                      <w:sz w:val="21"/>
                      <w:szCs w:val="21"/>
                    </w:rPr>
                    <w:t>，不在江川区生态保护红线及一般生态空间范围内，不涉及自然保护地、饮用水水源保护区、重要湿地、基本草原、生态公益林、天然林等生态功能重要、生态环境敏感区域。</w:t>
                  </w:r>
                </w:p>
              </w:tc>
              <w:tc>
                <w:tcPr>
                  <w:tcW w:w="774" w:type="dxa"/>
                  <w:vAlign w:val="center"/>
                </w:tcPr>
                <w:p w14:paraId="462E67CE">
                  <w:pPr>
                    <w:adjustRightInd w:val="0"/>
                    <w:snapToGrid w:val="0"/>
                    <w:spacing w:line="240" w:lineRule="auto"/>
                    <w:ind w:firstLine="0" w:firstLineChars="0"/>
                    <w:jc w:val="center"/>
                    <w:rPr>
                      <w:color w:val="auto"/>
                      <w:sz w:val="21"/>
                      <w:szCs w:val="21"/>
                    </w:rPr>
                  </w:pPr>
                  <w:r>
                    <w:rPr>
                      <w:color w:val="auto"/>
                      <w:sz w:val="21"/>
                      <w:szCs w:val="21"/>
                    </w:rPr>
                    <w:t>符合</w:t>
                  </w:r>
                </w:p>
              </w:tc>
            </w:tr>
            <w:tr w14:paraId="7B316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vMerge w:val="restart"/>
                  <w:vAlign w:val="center"/>
                </w:tcPr>
                <w:p w14:paraId="5C1F5002">
                  <w:pPr>
                    <w:adjustRightInd w:val="0"/>
                    <w:snapToGrid w:val="0"/>
                    <w:spacing w:line="240" w:lineRule="auto"/>
                    <w:ind w:firstLine="0" w:firstLineChars="0"/>
                    <w:jc w:val="center"/>
                    <w:rPr>
                      <w:color w:val="auto"/>
                      <w:sz w:val="21"/>
                      <w:szCs w:val="21"/>
                    </w:rPr>
                  </w:pPr>
                  <w:r>
                    <w:rPr>
                      <w:color w:val="auto"/>
                      <w:sz w:val="21"/>
                      <w:szCs w:val="21"/>
                    </w:rPr>
                    <w:t>环境质量底线</w:t>
                  </w:r>
                </w:p>
              </w:tc>
              <w:tc>
                <w:tcPr>
                  <w:tcW w:w="426" w:type="dxa"/>
                  <w:vAlign w:val="center"/>
                </w:tcPr>
                <w:p w14:paraId="2DE84C4B">
                  <w:pPr>
                    <w:adjustRightInd w:val="0"/>
                    <w:snapToGrid w:val="0"/>
                    <w:spacing w:line="240" w:lineRule="auto"/>
                    <w:ind w:firstLine="0" w:firstLineChars="0"/>
                    <w:jc w:val="center"/>
                    <w:rPr>
                      <w:color w:val="auto"/>
                      <w:sz w:val="21"/>
                      <w:szCs w:val="21"/>
                    </w:rPr>
                  </w:pPr>
                  <w:r>
                    <w:rPr>
                      <w:color w:val="auto"/>
                      <w:sz w:val="21"/>
                      <w:szCs w:val="21"/>
                    </w:rPr>
                    <w:t>水环境质量底线</w:t>
                  </w:r>
                </w:p>
              </w:tc>
              <w:tc>
                <w:tcPr>
                  <w:tcW w:w="3407" w:type="dxa"/>
                  <w:vAlign w:val="center"/>
                </w:tcPr>
                <w:p w14:paraId="3A3935DA">
                  <w:pPr>
                    <w:adjustRightInd w:val="0"/>
                    <w:snapToGrid w:val="0"/>
                    <w:spacing w:line="240" w:lineRule="auto"/>
                    <w:ind w:firstLine="0" w:firstLineChars="0"/>
                    <w:jc w:val="center"/>
                    <w:rPr>
                      <w:color w:val="auto"/>
                      <w:sz w:val="21"/>
                      <w:szCs w:val="21"/>
                    </w:rPr>
                  </w:pPr>
                  <w:r>
                    <w:rPr>
                      <w:color w:val="auto"/>
                      <w:sz w:val="21"/>
                      <w:szCs w:val="21"/>
                    </w:rPr>
                    <w:t>到2025年，全市水环境质量持续改善，纳入国家和省级考核的地表水监测断面水质优良率稳步提升。抚仙湖水质稳定保持Ⅰ类水质标准，星云湖、杞麓湖水质指标均达到Ⅴ类水质标准。中心城区及县城集中式饮用水水源地水质达标率为100%。到2035年，全市水环境质量总体改善，水生生态系统功能恢复。地表水水体水质优良率全面提升，彻底消除劣Ⅴ类水体。抚仙湖水质稳定保持Ⅰ类水质标准，星云湖和杞麓湖水质持续稳定向好。</w:t>
                  </w:r>
                </w:p>
              </w:tc>
              <w:tc>
                <w:tcPr>
                  <w:tcW w:w="2404" w:type="dxa"/>
                  <w:vAlign w:val="center"/>
                </w:tcPr>
                <w:p w14:paraId="01ED147E">
                  <w:pPr>
                    <w:adjustRightInd w:val="0"/>
                    <w:snapToGrid w:val="0"/>
                    <w:spacing w:line="240" w:lineRule="auto"/>
                    <w:ind w:firstLine="0" w:firstLineChars="0"/>
                    <w:jc w:val="center"/>
                    <w:rPr>
                      <w:color w:val="auto"/>
                      <w:sz w:val="21"/>
                      <w:szCs w:val="21"/>
                    </w:rPr>
                  </w:pPr>
                  <w:r>
                    <w:rPr>
                      <w:color w:val="auto"/>
                      <w:sz w:val="21"/>
                      <w:szCs w:val="21"/>
                    </w:rPr>
                    <w:t>项目生活污水经化粪池、污水处理站处理后排入市政污水管网，最终进入污水处理厂处理。项目建设不影响大街河流域水质功能及水质提升目标的实施。</w:t>
                  </w:r>
                </w:p>
              </w:tc>
              <w:tc>
                <w:tcPr>
                  <w:tcW w:w="774" w:type="dxa"/>
                  <w:vAlign w:val="center"/>
                </w:tcPr>
                <w:p w14:paraId="23128F75">
                  <w:pPr>
                    <w:adjustRightInd w:val="0"/>
                    <w:snapToGrid w:val="0"/>
                    <w:spacing w:line="240" w:lineRule="auto"/>
                    <w:ind w:firstLine="0" w:firstLineChars="0"/>
                    <w:jc w:val="center"/>
                    <w:rPr>
                      <w:color w:val="auto"/>
                      <w:sz w:val="21"/>
                      <w:szCs w:val="21"/>
                    </w:rPr>
                  </w:pPr>
                  <w:r>
                    <w:rPr>
                      <w:color w:val="auto"/>
                      <w:sz w:val="21"/>
                      <w:szCs w:val="21"/>
                    </w:rPr>
                    <w:t>符合</w:t>
                  </w:r>
                </w:p>
              </w:tc>
            </w:tr>
            <w:tr w14:paraId="31A65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vMerge w:val="continue"/>
                  <w:vAlign w:val="center"/>
                </w:tcPr>
                <w:p w14:paraId="31106AA4">
                  <w:pPr>
                    <w:adjustRightInd w:val="0"/>
                    <w:snapToGrid w:val="0"/>
                    <w:spacing w:line="240" w:lineRule="auto"/>
                    <w:ind w:firstLine="0" w:firstLineChars="0"/>
                    <w:jc w:val="center"/>
                    <w:rPr>
                      <w:color w:val="auto"/>
                      <w:sz w:val="21"/>
                      <w:szCs w:val="21"/>
                    </w:rPr>
                  </w:pPr>
                </w:p>
              </w:tc>
              <w:tc>
                <w:tcPr>
                  <w:tcW w:w="426" w:type="dxa"/>
                  <w:vAlign w:val="center"/>
                </w:tcPr>
                <w:p w14:paraId="176410ED">
                  <w:pPr>
                    <w:adjustRightInd w:val="0"/>
                    <w:snapToGrid w:val="0"/>
                    <w:spacing w:line="240" w:lineRule="auto"/>
                    <w:ind w:firstLine="0" w:firstLineChars="0"/>
                    <w:jc w:val="center"/>
                    <w:rPr>
                      <w:color w:val="auto"/>
                      <w:sz w:val="21"/>
                      <w:szCs w:val="21"/>
                    </w:rPr>
                  </w:pPr>
                  <w:r>
                    <w:rPr>
                      <w:color w:val="auto"/>
                      <w:sz w:val="21"/>
                      <w:szCs w:val="21"/>
                    </w:rPr>
                    <w:t>大气环境质量底线</w:t>
                  </w:r>
                </w:p>
              </w:tc>
              <w:tc>
                <w:tcPr>
                  <w:tcW w:w="3407" w:type="dxa"/>
                  <w:vAlign w:val="center"/>
                </w:tcPr>
                <w:p w14:paraId="74145F56">
                  <w:pPr>
                    <w:adjustRightInd w:val="0"/>
                    <w:snapToGrid w:val="0"/>
                    <w:spacing w:line="240" w:lineRule="auto"/>
                    <w:ind w:firstLine="0" w:firstLineChars="0"/>
                    <w:jc w:val="center"/>
                    <w:rPr>
                      <w:color w:val="auto"/>
                      <w:sz w:val="21"/>
                      <w:szCs w:val="21"/>
                    </w:rPr>
                  </w:pPr>
                  <w:r>
                    <w:rPr>
                      <w:color w:val="auto"/>
                      <w:sz w:val="21"/>
                      <w:szCs w:val="21"/>
                    </w:rPr>
                    <w:t>到2025年，全市环境空气质量稳中向好，中心城区城市空气质量优良天比率保持稳定，主要污染物排放达到国家和省级污染物总控制要求，单位GDP二氧化碳排放控制在省下达指标内。到2035年，全市环境空气质量持续保持优良实现稳中向好，主要污染物排放总量和二氧化排放量持续减。</w:t>
                  </w:r>
                </w:p>
              </w:tc>
              <w:tc>
                <w:tcPr>
                  <w:tcW w:w="2404" w:type="dxa"/>
                  <w:vAlign w:val="center"/>
                </w:tcPr>
                <w:p w14:paraId="223439F1">
                  <w:pPr>
                    <w:adjustRightInd w:val="0"/>
                    <w:snapToGrid w:val="0"/>
                    <w:spacing w:line="240" w:lineRule="auto"/>
                    <w:ind w:firstLine="0" w:firstLineChars="0"/>
                    <w:jc w:val="center"/>
                    <w:rPr>
                      <w:color w:val="auto"/>
                      <w:sz w:val="21"/>
                      <w:szCs w:val="21"/>
                    </w:rPr>
                  </w:pPr>
                  <w:r>
                    <w:rPr>
                      <w:color w:val="auto"/>
                      <w:sz w:val="21"/>
                      <w:szCs w:val="21"/>
                    </w:rPr>
                    <w:t>根据环境质量现状调查，项目所在区域环境空气质量能够满足二类功能区的要求。废气对区域环境空气的影响小，不影响区域环境空气质量提升的目标。</w:t>
                  </w:r>
                </w:p>
              </w:tc>
              <w:tc>
                <w:tcPr>
                  <w:tcW w:w="774" w:type="dxa"/>
                  <w:vAlign w:val="center"/>
                </w:tcPr>
                <w:p w14:paraId="3DC055BB">
                  <w:pPr>
                    <w:adjustRightInd w:val="0"/>
                    <w:snapToGrid w:val="0"/>
                    <w:spacing w:line="240" w:lineRule="auto"/>
                    <w:ind w:firstLine="0" w:firstLineChars="0"/>
                    <w:jc w:val="center"/>
                    <w:rPr>
                      <w:color w:val="auto"/>
                      <w:sz w:val="21"/>
                      <w:szCs w:val="21"/>
                    </w:rPr>
                  </w:pPr>
                  <w:r>
                    <w:rPr>
                      <w:color w:val="auto"/>
                      <w:sz w:val="21"/>
                      <w:szCs w:val="21"/>
                    </w:rPr>
                    <w:t>符合</w:t>
                  </w:r>
                </w:p>
              </w:tc>
            </w:tr>
            <w:tr w14:paraId="6A680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vMerge w:val="continue"/>
                  <w:vAlign w:val="center"/>
                </w:tcPr>
                <w:p w14:paraId="6BE7DF0D">
                  <w:pPr>
                    <w:adjustRightInd w:val="0"/>
                    <w:snapToGrid w:val="0"/>
                    <w:spacing w:line="240" w:lineRule="auto"/>
                    <w:ind w:firstLine="0" w:firstLineChars="0"/>
                    <w:jc w:val="center"/>
                    <w:rPr>
                      <w:color w:val="auto"/>
                      <w:sz w:val="21"/>
                      <w:szCs w:val="21"/>
                    </w:rPr>
                  </w:pPr>
                </w:p>
              </w:tc>
              <w:tc>
                <w:tcPr>
                  <w:tcW w:w="426" w:type="dxa"/>
                  <w:vAlign w:val="center"/>
                </w:tcPr>
                <w:p w14:paraId="3537056B">
                  <w:pPr>
                    <w:adjustRightInd w:val="0"/>
                    <w:snapToGrid w:val="0"/>
                    <w:spacing w:line="240" w:lineRule="auto"/>
                    <w:ind w:firstLine="0" w:firstLineChars="0"/>
                    <w:jc w:val="center"/>
                    <w:rPr>
                      <w:color w:val="auto"/>
                      <w:sz w:val="21"/>
                      <w:szCs w:val="21"/>
                    </w:rPr>
                  </w:pPr>
                  <w:r>
                    <w:rPr>
                      <w:color w:val="auto"/>
                      <w:sz w:val="21"/>
                      <w:szCs w:val="21"/>
                    </w:rPr>
                    <w:t>土壤环境风险防控底线</w:t>
                  </w:r>
                </w:p>
              </w:tc>
              <w:tc>
                <w:tcPr>
                  <w:tcW w:w="3407" w:type="dxa"/>
                  <w:vAlign w:val="center"/>
                </w:tcPr>
                <w:p w14:paraId="2A1E45D6">
                  <w:pPr>
                    <w:adjustRightInd w:val="0"/>
                    <w:snapToGrid w:val="0"/>
                    <w:spacing w:line="240" w:lineRule="auto"/>
                    <w:ind w:firstLine="0" w:firstLineChars="0"/>
                    <w:jc w:val="center"/>
                    <w:rPr>
                      <w:color w:val="auto"/>
                      <w:sz w:val="21"/>
                      <w:szCs w:val="21"/>
                    </w:rPr>
                  </w:pPr>
                  <w:r>
                    <w:rPr>
                      <w:color w:val="auto"/>
                      <w:sz w:val="21"/>
                      <w:szCs w:val="21"/>
                    </w:rPr>
                    <w:t>到2025年，全市土壤环境风</w:t>
                  </w:r>
                  <w:r>
                    <w:rPr>
                      <w:rFonts w:hint="eastAsia"/>
                      <w:color w:val="auto"/>
                      <w:sz w:val="21"/>
                      <w:szCs w:val="21"/>
                      <w:lang w:eastAsia="zh-CN"/>
                    </w:rPr>
                    <w:t>险防</w:t>
                  </w:r>
                  <w:r>
                    <w:rPr>
                      <w:color w:val="auto"/>
                      <w:sz w:val="21"/>
                      <w:szCs w:val="21"/>
                    </w:rPr>
                    <w:t>范体系进一步</w:t>
                  </w:r>
                  <w:r>
                    <w:rPr>
                      <w:rFonts w:hint="eastAsia"/>
                      <w:color w:val="auto"/>
                      <w:sz w:val="21"/>
                      <w:szCs w:val="21"/>
                      <w:lang w:eastAsia="zh-CN"/>
                    </w:rPr>
                    <w:t>完善</w:t>
                  </w:r>
                  <w:r>
                    <w:rPr>
                      <w:color w:val="auto"/>
                      <w:sz w:val="21"/>
                      <w:szCs w:val="21"/>
                    </w:rPr>
                    <w:t>，受</w:t>
                  </w:r>
                  <w:r>
                    <w:rPr>
                      <w:rFonts w:hint="eastAsia"/>
                      <w:color w:val="auto"/>
                      <w:sz w:val="21"/>
                      <w:szCs w:val="21"/>
                      <w:lang w:eastAsia="zh-CN"/>
                    </w:rPr>
                    <w:t>污染</w:t>
                  </w:r>
                  <w:r>
                    <w:rPr>
                      <w:color w:val="auto"/>
                      <w:sz w:val="21"/>
                      <w:szCs w:val="21"/>
                    </w:rPr>
                    <w:t>耕地安全利用率和污染地块安全</w:t>
                  </w:r>
                  <w:r>
                    <w:rPr>
                      <w:rFonts w:hint="eastAsia"/>
                      <w:color w:val="auto"/>
                      <w:sz w:val="21"/>
                      <w:szCs w:val="21"/>
                      <w:lang w:eastAsia="zh-CN"/>
                    </w:rPr>
                    <w:t>利用率</w:t>
                  </w:r>
                  <w:r>
                    <w:rPr>
                      <w:color w:val="auto"/>
                      <w:sz w:val="21"/>
                      <w:szCs w:val="21"/>
                    </w:rPr>
                    <w:t>达到省下达的目标要求。到2035年，全市土壤环境质量稳中向好，用地和建设用地土壤环境安全得到有效保障，受污染耕地安全利率和污染地块安全利用率进一步提高，土壤境风险得到全面管控。</w:t>
                  </w:r>
                </w:p>
              </w:tc>
              <w:tc>
                <w:tcPr>
                  <w:tcW w:w="2404" w:type="dxa"/>
                  <w:vAlign w:val="center"/>
                </w:tcPr>
                <w:p w14:paraId="41B38D83">
                  <w:pPr>
                    <w:adjustRightInd w:val="0"/>
                    <w:snapToGrid w:val="0"/>
                    <w:spacing w:line="240" w:lineRule="auto"/>
                    <w:ind w:firstLine="0" w:firstLineChars="0"/>
                    <w:jc w:val="center"/>
                    <w:rPr>
                      <w:color w:val="auto"/>
                      <w:sz w:val="21"/>
                      <w:szCs w:val="21"/>
                    </w:rPr>
                  </w:pPr>
                  <w:r>
                    <w:rPr>
                      <w:color w:val="auto"/>
                      <w:sz w:val="21"/>
                      <w:szCs w:val="21"/>
                    </w:rPr>
                    <w:t>本项目造成地下水污染的途径主要为污水处理系统废水泄漏下渗及医废暂存间废水下渗。项目污水处理系统已进行一般防渗处理，危废暂存间已进行重点防渗，可防止地下水污染。同时加强管理，降低土壤污染的风险。</w:t>
                  </w:r>
                </w:p>
              </w:tc>
              <w:tc>
                <w:tcPr>
                  <w:tcW w:w="774" w:type="dxa"/>
                  <w:vAlign w:val="center"/>
                </w:tcPr>
                <w:p w14:paraId="53F3B8DA">
                  <w:pPr>
                    <w:adjustRightInd w:val="0"/>
                    <w:snapToGrid w:val="0"/>
                    <w:spacing w:line="240" w:lineRule="auto"/>
                    <w:ind w:firstLine="0" w:firstLineChars="0"/>
                    <w:jc w:val="center"/>
                    <w:rPr>
                      <w:color w:val="auto"/>
                      <w:sz w:val="21"/>
                      <w:szCs w:val="21"/>
                    </w:rPr>
                  </w:pPr>
                  <w:r>
                    <w:rPr>
                      <w:color w:val="auto"/>
                      <w:sz w:val="21"/>
                      <w:szCs w:val="21"/>
                    </w:rPr>
                    <w:t>符合</w:t>
                  </w:r>
                </w:p>
              </w:tc>
            </w:tr>
            <w:tr w14:paraId="7A045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vAlign w:val="center"/>
                </w:tcPr>
                <w:p w14:paraId="6DA719FC">
                  <w:pPr>
                    <w:adjustRightInd w:val="0"/>
                    <w:snapToGrid w:val="0"/>
                    <w:spacing w:line="240" w:lineRule="auto"/>
                    <w:ind w:firstLine="0" w:firstLineChars="0"/>
                    <w:jc w:val="center"/>
                    <w:rPr>
                      <w:color w:val="auto"/>
                      <w:sz w:val="21"/>
                      <w:szCs w:val="21"/>
                    </w:rPr>
                  </w:pPr>
                  <w:r>
                    <w:rPr>
                      <w:color w:val="auto"/>
                      <w:sz w:val="21"/>
                      <w:szCs w:val="21"/>
                    </w:rPr>
                    <w:t>资源利用上线</w:t>
                  </w:r>
                </w:p>
              </w:tc>
              <w:tc>
                <w:tcPr>
                  <w:tcW w:w="426" w:type="dxa"/>
                  <w:vAlign w:val="center"/>
                </w:tcPr>
                <w:p w14:paraId="173DC761">
                  <w:pPr>
                    <w:adjustRightInd w:val="0"/>
                    <w:snapToGrid w:val="0"/>
                    <w:spacing w:line="240" w:lineRule="auto"/>
                    <w:ind w:firstLine="0" w:firstLineChars="0"/>
                    <w:jc w:val="center"/>
                    <w:rPr>
                      <w:color w:val="auto"/>
                      <w:sz w:val="21"/>
                      <w:szCs w:val="21"/>
                    </w:rPr>
                  </w:pPr>
                </w:p>
              </w:tc>
              <w:tc>
                <w:tcPr>
                  <w:tcW w:w="3407" w:type="dxa"/>
                  <w:vAlign w:val="center"/>
                </w:tcPr>
                <w:p w14:paraId="290A8DB6">
                  <w:pPr>
                    <w:adjustRightInd w:val="0"/>
                    <w:snapToGrid w:val="0"/>
                    <w:spacing w:line="240" w:lineRule="auto"/>
                    <w:ind w:firstLine="0" w:firstLineChars="0"/>
                    <w:jc w:val="center"/>
                    <w:rPr>
                      <w:color w:val="auto"/>
                      <w:sz w:val="21"/>
                      <w:szCs w:val="21"/>
                    </w:rPr>
                  </w:pPr>
                  <w:r>
                    <w:rPr>
                      <w:color w:val="auto"/>
                      <w:sz w:val="21"/>
                      <w:szCs w:val="21"/>
                    </w:rPr>
                    <w:t>强化资源能源节约集约利用，持续提升资源能源利用效率，水资源土地资源、能源消耗等达到或优于省下达的总量和强度控制目标。</w:t>
                  </w:r>
                </w:p>
              </w:tc>
              <w:tc>
                <w:tcPr>
                  <w:tcW w:w="2404" w:type="dxa"/>
                  <w:vAlign w:val="center"/>
                </w:tcPr>
                <w:p w14:paraId="7DD9A045">
                  <w:pPr>
                    <w:adjustRightInd w:val="0"/>
                    <w:snapToGrid w:val="0"/>
                    <w:spacing w:line="240" w:lineRule="auto"/>
                    <w:ind w:firstLine="0" w:firstLineChars="0"/>
                    <w:jc w:val="center"/>
                    <w:rPr>
                      <w:color w:val="auto"/>
                      <w:sz w:val="21"/>
                      <w:szCs w:val="21"/>
                    </w:rPr>
                  </w:pPr>
                  <w:r>
                    <w:rPr>
                      <w:color w:val="auto"/>
                      <w:sz w:val="21"/>
                      <w:szCs w:val="21"/>
                    </w:rPr>
                    <w:t>项目所需水资源来源于市政供水管网，不会突破水资源利用上线。项目在原项目范围内扩建，不会突破土地资源利用上线。本项目位于江川区</w:t>
                  </w:r>
                  <w:r>
                    <w:rPr>
                      <w:rFonts w:hint="eastAsia"/>
                      <w:color w:val="auto"/>
                      <w:sz w:val="21"/>
                      <w:szCs w:val="21"/>
                      <w:lang w:val="en-US" w:eastAsia="zh-CN"/>
                    </w:rPr>
                    <w:t>城</w:t>
                  </w:r>
                  <w:r>
                    <w:rPr>
                      <w:color w:val="auto"/>
                      <w:sz w:val="21"/>
                      <w:szCs w:val="21"/>
                    </w:rPr>
                    <w:t>内</w:t>
                  </w:r>
                  <w:r>
                    <w:rPr>
                      <w:rFonts w:hint="eastAsia"/>
                      <w:color w:val="auto"/>
                      <w:sz w:val="21"/>
                      <w:szCs w:val="21"/>
                      <w:lang w:val="en-US" w:eastAsia="zh-CN"/>
                    </w:rPr>
                    <w:t>及江城镇</w:t>
                  </w:r>
                  <w:r>
                    <w:rPr>
                      <w:color w:val="auto"/>
                      <w:sz w:val="21"/>
                      <w:szCs w:val="21"/>
                    </w:rPr>
                    <w:t>，项目用电由市政供电网统一供给，不会突破能源利用上线。</w:t>
                  </w:r>
                </w:p>
              </w:tc>
              <w:tc>
                <w:tcPr>
                  <w:tcW w:w="774" w:type="dxa"/>
                  <w:vAlign w:val="center"/>
                </w:tcPr>
                <w:p w14:paraId="165D75D3">
                  <w:pPr>
                    <w:adjustRightInd w:val="0"/>
                    <w:snapToGrid w:val="0"/>
                    <w:spacing w:line="240" w:lineRule="auto"/>
                    <w:ind w:firstLine="0" w:firstLineChars="0"/>
                    <w:jc w:val="center"/>
                    <w:rPr>
                      <w:color w:val="auto"/>
                      <w:sz w:val="21"/>
                      <w:szCs w:val="21"/>
                    </w:rPr>
                  </w:pPr>
                  <w:r>
                    <w:rPr>
                      <w:color w:val="auto"/>
                      <w:sz w:val="21"/>
                      <w:szCs w:val="21"/>
                    </w:rPr>
                    <w:t>符合</w:t>
                  </w:r>
                </w:p>
              </w:tc>
            </w:tr>
          </w:tbl>
          <w:p w14:paraId="18483BB7">
            <w:pPr>
              <w:widowControl/>
              <w:ind w:firstLine="482"/>
              <w:jc w:val="left"/>
              <w:rPr>
                <w:b/>
                <w:bCs/>
                <w:color w:val="auto"/>
                <w:kern w:val="0"/>
                <w:szCs w:val="24"/>
                <w:lang w:bidi="ar"/>
              </w:rPr>
            </w:pPr>
            <w:r>
              <w:rPr>
                <w:b/>
                <w:bCs/>
                <w:color w:val="auto"/>
                <w:kern w:val="0"/>
                <w:szCs w:val="24"/>
                <w:lang w:bidi="ar"/>
              </w:rPr>
              <w:t>B、项目与玉溪市生态环境管控总体要求对照如下：</w:t>
            </w:r>
          </w:p>
          <w:p w14:paraId="6988B4DC">
            <w:pPr>
              <w:pStyle w:val="2"/>
              <w:jc w:val="center"/>
              <w:rPr>
                <w:b/>
                <w:color w:val="auto"/>
                <w:kern w:val="2"/>
                <w:sz w:val="21"/>
                <w:szCs w:val="21"/>
              </w:rPr>
            </w:pPr>
            <w:r>
              <w:rPr>
                <w:b/>
                <w:color w:val="auto"/>
                <w:kern w:val="2"/>
                <w:sz w:val="21"/>
                <w:szCs w:val="21"/>
              </w:rPr>
              <w:t>表1-3本项目与玉溪市生态环境管控总体要求对照表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5054"/>
              <w:gridCol w:w="2121"/>
            </w:tblGrid>
            <w:tr w14:paraId="556CB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12" w:type="dxa"/>
                  <w:vAlign w:val="center"/>
                </w:tcPr>
                <w:p w14:paraId="4EEF807D">
                  <w:pPr>
                    <w:adjustRightInd w:val="0"/>
                    <w:snapToGrid w:val="0"/>
                    <w:spacing w:line="240" w:lineRule="auto"/>
                    <w:ind w:firstLine="0" w:firstLineChars="0"/>
                    <w:jc w:val="center"/>
                    <w:rPr>
                      <w:color w:val="auto"/>
                      <w:sz w:val="21"/>
                      <w:szCs w:val="21"/>
                    </w:rPr>
                  </w:pPr>
                  <w:r>
                    <w:rPr>
                      <w:color w:val="auto"/>
                      <w:sz w:val="21"/>
                      <w:szCs w:val="21"/>
                    </w:rPr>
                    <w:t>管控领域</w:t>
                  </w:r>
                </w:p>
              </w:tc>
              <w:tc>
                <w:tcPr>
                  <w:tcW w:w="5054" w:type="dxa"/>
                  <w:vAlign w:val="center"/>
                </w:tcPr>
                <w:p w14:paraId="1F57A4A1">
                  <w:pPr>
                    <w:adjustRightInd w:val="0"/>
                    <w:snapToGrid w:val="0"/>
                    <w:spacing w:line="240" w:lineRule="auto"/>
                    <w:ind w:firstLine="0" w:firstLineChars="0"/>
                    <w:jc w:val="center"/>
                    <w:rPr>
                      <w:color w:val="auto"/>
                      <w:sz w:val="21"/>
                      <w:szCs w:val="21"/>
                    </w:rPr>
                  </w:pPr>
                  <w:r>
                    <w:rPr>
                      <w:color w:val="auto"/>
                      <w:sz w:val="21"/>
                      <w:szCs w:val="21"/>
                    </w:rPr>
                    <w:t>管控要求</w:t>
                  </w:r>
                </w:p>
              </w:tc>
              <w:tc>
                <w:tcPr>
                  <w:tcW w:w="2121" w:type="dxa"/>
                  <w:vAlign w:val="center"/>
                </w:tcPr>
                <w:p w14:paraId="22B1E3C9">
                  <w:pPr>
                    <w:adjustRightInd w:val="0"/>
                    <w:snapToGrid w:val="0"/>
                    <w:spacing w:line="240" w:lineRule="auto"/>
                    <w:ind w:firstLine="0" w:firstLineChars="0"/>
                    <w:jc w:val="center"/>
                    <w:rPr>
                      <w:color w:val="auto"/>
                      <w:sz w:val="21"/>
                      <w:szCs w:val="21"/>
                    </w:rPr>
                  </w:pPr>
                  <w:r>
                    <w:rPr>
                      <w:color w:val="auto"/>
                      <w:sz w:val="21"/>
                      <w:szCs w:val="21"/>
                    </w:rPr>
                    <w:t>本项目对照情况</w:t>
                  </w:r>
                </w:p>
              </w:tc>
            </w:tr>
            <w:tr w14:paraId="4F264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712" w:type="dxa"/>
                  <w:vMerge w:val="restart"/>
                  <w:vAlign w:val="center"/>
                </w:tcPr>
                <w:p w14:paraId="2A4EFF9D">
                  <w:pPr>
                    <w:adjustRightInd w:val="0"/>
                    <w:snapToGrid w:val="0"/>
                    <w:spacing w:line="240" w:lineRule="auto"/>
                    <w:ind w:firstLine="0" w:firstLineChars="0"/>
                    <w:jc w:val="center"/>
                    <w:rPr>
                      <w:color w:val="auto"/>
                      <w:sz w:val="21"/>
                      <w:szCs w:val="21"/>
                    </w:rPr>
                  </w:pPr>
                  <w:r>
                    <w:rPr>
                      <w:color w:val="auto"/>
                      <w:sz w:val="21"/>
                      <w:szCs w:val="21"/>
                    </w:rPr>
                    <w:t>空间布局约束</w:t>
                  </w:r>
                </w:p>
              </w:tc>
              <w:tc>
                <w:tcPr>
                  <w:tcW w:w="5054" w:type="dxa"/>
                  <w:vAlign w:val="center"/>
                </w:tcPr>
                <w:p w14:paraId="5F7DAF1A">
                  <w:pPr>
                    <w:adjustRightInd w:val="0"/>
                    <w:snapToGrid w:val="0"/>
                    <w:spacing w:line="240" w:lineRule="auto"/>
                    <w:ind w:firstLine="0" w:firstLineChars="0"/>
                    <w:jc w:val="center"/>
                    <w:rPr>
                      <w:color w:val="auto"/>
                      <w:sz w:val="21"/>
                      <w:szCs w:val="21"/>
                    </w:rPr>
                  </w:pPr>
                  <w:r>
                    <w:rPr>
                      <w:color w:val="auto"/>
                      <w:sz w:val="21"/>
                      <w:szCs w:val="21"/>
                    </w:rPr>
                    <w:t>1.南盘江、元江水系干流沿岸和三大高原湖泊流域，严格控制石化、化工、有色金属冶炼等项目的环境风险，合理布局生产装置及危险化学品仓储等设施。</w:t>
                  </w:r>
                </w:p>
              </w:tc>
              <w:tc>
                <w:tcPr>
                  <w:tcW w:w="2121" w:type="dxa"/>
                  <w:vAlign w:val="center"/>
                </w:tcPr>
                <w:p w14:paraId="1560C29F">
                  <w:pPr>
                    <w:adjustRightInd w:val="0"/>
                    <w:snapToGrid w:val="0"/>
                    <w:spacing w:line="240" w:lineRule="auto"/>
                    <w:ind w:firstLine="0" w:firstLineChars="0"/>
                    <w:jc w:val="center"/>
                    <w:rPr>
                      <w:color w:val="auto"/>
                      <w:sz w:val="21"/>
                      <w:szCs w:val="21"/>
                    </w:rPr>
                  </w:pPr>
                  <w:r>
                    <w:rPr>
                      <w:color w:val="auto"/>
                      <w:sz w:val="21"/>
                      <w:szCs w:val="21"/>
                    </w:rPr>
                    <w:t>本项目为医院建设项目，不属于石化、化工、有色金属冶炼等项目</w:t>
                  </w:r>
                </w:p>
              </w:tc>
            </w:tr>
            <w:tr w14:paraId="626C6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712" w:type="dxa"/>
                  <w:vMerge w:val="continue"/>
                  <w:vAlign w:val="center"/>
                </w:tcPr>
                <w:p w14:paraId="108AAAC3">
                  <w:pPr>
                    <w:adjustRightInd w:val="0"/>
                    <w:snapToGrid w:val="0"/>
                    <w:spacing w:line="240" w:lineRule="auto"/>
                    <w:ind w:firstLine="0" w:firstLineChars="0"/>
                    <w:jc w:val="center"/>
                    <w:rPr>
                      <w:color w:val="auto"/>
                      <w:sz w:val="21"/>
                      <w:szCs w:val="21"/>
                    </w:rPr>
                  </w:pPr>
                </w:p>
              </w:tc>
              <w:tc>
                <w:tcPr>
                  <w:tcW w:w="5054" w:type="dxa"/>
                  <w:vAlign w:val="center"/>
                </w:tcPr>
                <w:p w14:paraId="7EBC7001">
                  <w:pPr>
                    <w:adjustRightInd w:val="0"/>
                    <w:snapToGrid w:val="0"/>
                    <w:spacing w:line="240" w:lineRule="auto"/>
                    <w:ind w:firstLine="0" w:firstLineChars="0"/>
                    <w:jc w:val="center"/>
                    <w:rPr>
                      <w:color w:val="auto"/>
                      <w:sz w:val="21"/>
                      <w:szCs w:val="21"/>
                    </w:rPr>
                  </w:pPr>
                  <w:r>
                    <w:rPr>
                      <w:color w:val="auto"/>
                      <w:sz w:val="21"/>
                      <w:szCs w:val="21"/>
                    </w:rPr>
                    <w:t>2.对不符合城市发展规划的钢铁企业，支持其实施减量、环保搬迁或转型转产。</w:t>
                  </w:r>
                </w:p>
              </w:tc>
              <w:tc>
                <w:tcPr>
                  <w:tcW w:w="2121" w:type="dxa"/>
                  <w:vAlign w:val="center"/>
                </w:tcPr>
                <w:p w14:paraId="03AC1D20">
                  <w:pPr>
                    <w:adjustRightInd w:val="0"/>
                    <w:snapToGrid w:val="0"/>
                    <w:spacing w:line="240" w:lineRule="auto"/>
                    <w:ind w:firstLine="0" w:firstLineChars="0"/>
                    <w:jc w:val="center"/>
                    <w:rPr>
                      <w:color w:val="auto"/>
                      <w:sz w:val="21"/>
                      <w:szCs w:val="21"/>
                    </w:rPr>
                  </w:pPr>
                  <w:r>
                    <w:rPr>
                      <w:color w:val="auto"/>
                      <w:sz w:val="21"/>
                      <w:szCs w:val="21"/>
                    </w:rPr>
                    <w:t>本项目为医院建设项目</w:t>
                  </w:r>
                </w:p>
              </w:tc>
            </w:tr>
            <w:tr w14:paraId="2B41A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712" w:type="dxa"/>
                  <w:vMerge w:val="continue"/>
                  <w:vAlign w:val="center"/>
                </w:tcPr>
                <w:p w14:paraId="77CD45D2">
                  <w:pPr>
                    <w:adjustRightInd w:val="0"/>
                    <w:snapToGrid w:val="0"/>
                    <w:spacing w:line="240" w:lineRule="auto"/>
                    <w:ind w:firstLine="0" w:firstLineChars="0"/>
                    <w:jc w:val="center"/>
                    <w:rPr>
                      <w:color w:val="auto"/>
                      <w:sz w:val="21"/>
                      <w:szCs w:val="21"/>
                    </w:rPr>
                  </w:pPr>
                </w:p>
              </w:tc>
              <w:tc>
                <w:tcPr>
                  <w:tcW w:w="5054" w:type="dxa"/>
                  <w:vAlign w:val="center"/>
                </w:tcPr>
                <w:p w14:paraId="6CB9CE8E">
                  <w:pPr>
                    <w:adjustRightInd w:val="0"/>
                    <w:snapToGrid w:val="0"/>
                    <w:spacing w:line="240" w:lineRule="auto"/>
                    <w:ind w:firstLine="0" w:firstLineChars="0"/>
                    <w:jc w:val="center"/>
                    <w:rPr>
                      <w:color w:val="auto"/>
                      <w:sz w:val="21"/>
                      <w:szCs w:val="21"/>
                    </w:rPr>
                  </w:pPr>
                  <w:r>
                    <w:rPr>
                      <w:color w:val="auto"/>
                      <w:sz w:val="21"/>
                      <w:szCs w:val="21"/>
                    </w:rPr>
                    <w:t>3.严格控制水污染严重地区和敏感区域高耗水、高污染行业发展，畜禽规模化养殖、食品加工、医药制造等涉水项目向环境容量大的县（市、区）布局。</w:t>
                  </w:r>
                </w:p>
              </w:tc>
              <w:tc>
                <w:tcPr>
                  <w:tcW w:w="2121" w:type="dxa"/>
                  <w:vAlign w:val="center"/>
                </w:tcPr>
                <w:p w14:paraId="5EC58963">
                  <w:pPr>
                    <w:adjustRightInd w:val="0"/>
                    <w:snapToGrid w:val="0"/>
                    <w:spacing w:line="240" w:lineRule="auto"/>
                    <w:ind w:firstLine="0" w:firstLineChars="0"/>
                    <w:jc w:val="center"/>
                    <w:rPr>
                      <w:color w:val="auto"/>
                      <w:sz w:val="21"/>
                      <w:szCs w:val="21"/>
                    </w:rPr>
                  </w:pPr>
                  <w:r>
                    <w:rPr>
                      <w:color w:val="auto"/>
                      <w:sz w:val="21"/>
                      <w:szCs w:val="21"/>
                    </w:rPr>
                    <w:t>本项目为医院建设项目，不属于高耗水、高污染行业</w:t>
                  </w:r>
                </w:p>
              </w:tc>
            </w:tr>
            <w:tr w14:paraId="59570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712" w:type="dxa"/>
                  <w:vMerge w:val="restart"/>
                  <w:vAlign w:val="center"/>
                </w:tcPr>
                <w:p w14:paraId="32679073">
                  <w:pPr>
                    <w:adjustRightInd w:val="0"/>
                    <w:snapToGrid w:val="0"/>
                    <w:spacing w:line="240" w:lineRule="auto"/>
                    <w:ind w:firstLine="0" w:firstLineChars="0"/>
                    <w:jc w:val="center"/>
                    <w:rPr>
                      <w:color w:val="auto"/>
                      <w:sz w:val="21"/>
                      <w:szCs w:val="21"/>
                    </w:rPr>
                  </w:pPr>
                  <w:r>
                    <w:rPr>
                      <w:color w:val="auto"/>
                      <w:sz w:val="21"/>
                      <w:szCs w:val="21"/>
                    </w:rPr>
                    <w:t>污染物排放管控</w:t>
                  </w:r>
                </w:p>
              </w:tc>
              <w:tc>
                <w:tcPr>
                  <w:tcW w:w="5054" w:type="dxa"/>
                  <w:vAlign w:val="center"/>
                </w:tcPr>
                <w:p w14:paraId="47CB4870">
                  <w:pPr>
                    <w:adjustRightInd w:val="0"/>
                    <w:snapToGrid w:val="0"/>
                    <w:spacing w:line="240" w:lineRule="auto"/>
                    <w:ind w:firstLine="0" w:firstLineChars="0"/>
                    <w:jc w:val="center"/>
                    <w:rPr>
                      <w:color w:val="auto"/>
                      <w:sz w:val="21"/>
                      <w:szCs w:val="21"/>
                    </w:rPr>
                  </w:pPr>
                  <w:r>
                    <w:rPr>
                      <w:color w:val="auto"/>
                      <w:sz w:val="21"/>
                      <w:szCs w:val="21"/>
                    </w:rPr>
                    <w:t>1.加大“三湖”及“两江”流域的保护和治理，重点流域水污染严重地区，新建、改建、扩建重点行业建设项目实行主要污染物排放减量置换。</w:t>
                  </w:r>
                </w:p>
              </w:tc>
              <w:tc>
                <w:tcPr>
                  <w:tcW w:w="2121" w:type="dxa"/>
                  <w:vAlign w:val="center"/>
                </w:tcPr>
                <w:p w14:paraId="282B1957">
                  <w:pPr>
                    <w:adjustRightInd w:val="0"/>
                    <w:snapToGrid w:val="0"/>
                    <w:spacing w:line="240" w:lineRule="auto"/>
                    <w:ind w:firstLine="0" w:firstLineChars="0"/>
                    <w:jc w:val="center"/>
                    <w:rPr>
                      <w:color w:val="auto"/>
                      <w:sz w:val="21"/>
                      <w:szCs w:val="21"/>
                    </w:rPr>
                  </w:pPr>
                  <w:r>
                    <w:rPr>
                      <w:color w:val="auto"/>
                      <w:sz w:val="21"/>
                      <w:szCs w:val="21"/>
                    </w:rPr>
                    <w:t>本项目不属于重点流域水污染严重地区</w:t>
                  </w:r>
                </w:p>
              </w:tc>
            </w:tr>
            <w:tr w14:paraId="06CE2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712" w:type="dxa"/>
                  <w:vMerge w:val="continue"/>
                  <w:vAlign w:val="center"/>
                </w:tcPr>
                <w:p w14:paraId="625B19D5">
                  <w:pPr>
                    <w:adjustRightInd w:val="0"/>
                    <w:snapToGrid w:val="0"/>
                    <w:spacing w:line="240" w:lineRule="auto"/>
                    <w:ind w:firstLine="0" w:firstLineChars="0"/>
                    <w:jc w:val="center"/>
                    <w:rPr>
                      <w:color w:val="auto"/>
                      <w:sz w:val="21"/>
                      <w:szCs w:val="21"/>
                    </w:rPr>
                  </w:pPr>
                </w:p>
              </w:tc>
              <w:tc>
                <w:tcPr>
                  <w:tcW w:w="5054" w:type="dxa"/>
                  <w:vAlign w:val="center"/>
                </w:tcPr>
                <w:p w14:paraId="7F364707">
                  <w:pPr>
                    <w:adjustRightInd w:val="0"/>
                    <w:snapToGrid w:val="0"/>
                    <w:spacing w:line="240" w:lineRule="auto"/>
                    <w:ind w:firstLine="0" w:firstLineChars="0"/>
                    <w:jc w:val="center"/>
                    <w:rPr>
                      <w:color w:val="auto"/>
                      <w:sz w:val="21"/>
                      <w:szCs w:val="21"/>
                    </w:rPr>
                  </w:pPr>
                  <w:r>
                    <w:rPr>
                      <w:color w:val="auto"/>
                      <w:sz w:val="21"/>
                      <w:szCs w:val="21"/>
                    </w:rPr>
                    <w:t>2.场废弃物综合利用率达到90%以上，规模养殖场粪污处理设施装备配套率达到100%。</w:t>
                  </w:r>
                </w:p>
              </w:tc>
              <w:tc>
                <w:tcPr>
                  <w:tcW w:w="2121" w:type="dxa"/>
                  <w:vAlign w:val="center"/>
                </w:tcPr>
                <w:p w14:paraId="7A5A5FE3">
                  <w:pPr>
                    <w:adjustRightInd w:val="0"/>
                    <w:snapToGrid w:val="0"/>
                    <w:spacing w:line="240" w:lineRule="auto"/>
                    <w:ind w:firstLine="0" w:firstLineChars="0"/>
                    <w:jc w:val="center"/>
                    <w:rPr>
                      <w:color w:val="auto"/>
                      <w:sz w:val="21"/>
                      <w:szCs w:val="21"/>
                    </w:rPr>
                  </w:pPr>
                  <w:r>
                    <w:rPr>
                      <w:color w:val="auto"/>
                      <w:sz w:val="21"/>
                      <w:szCs w:val="21"/>
                    </w:rPr>
                    <w:t>本项目不属于规模畜禽养殖项目</w:t>
                  </w:r>
                </w:p>
              </w:tc>
            </w:tr>
            <w:tr w14:paraId="2B4E9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3" w:hRule="atLeast"/>
              </w:trPr>
              <w:tc>
                <w:tcPr>
                  <w:tcW w:w="712" w:type="dxa"/>
                  <w:vMerge w:val="continue"/>
                  <w:vAlign w:val="center"/>
                </w:tcPr>
                <w:p w14:paraId="0DAFF669">
                  <w:pPr>
                    <w:adjustRightInd w:val="0"/>
                    <w:snapToGrid w:val="0"/>
                    <w:spacing w:line="240" w:lineRule="auto"/>
                    <w:ind w:firstLine="0" w:firstLineChars="0"/>
                    <w:jc w:val="center"/>
                    <w:rPr>
                      <w:color w:val="auto"/>
                      <w:sz w:val="21"/>
                      <w:szCs w:val="21"/>
                    </w:rPr>
                  </w:pPr>
                </w:p>
              </w:tc>
              <w:tc>
                <w:tcPr>
                  <w:tcW w:w="5054" w:type="dxa"/>
                  <w:vAlign w:val="center"/>
                </w:tcPr>
                <w:p w14:paraId="397AB5C3">
                  <w:pPr>
                    <w:adjustRightInd w:val="0"/>
                    <w:snapToGrid w:val="0"/>
                    <w:spacing w:line="240" w:lineRule="auto"/>
                    <w:ind w:firstLine="0" w:firstLineChars="0"/>
                    <w:jc w:val="center"/>
                    <w:rPr>
                      <w:color w:val="auto"/>
                      <w:sz w:val="21"/>
                      <w:szCs w:val="21"/>
                    </w:rPr>
                  </w:pPr>
                  <w:r>
                    <w:rPr>
                      <w:color w:val="auto"/>
                      <w:sz w:val="21"/>
                      <w:szCs w:val="21"/>
                    </w:rPr>
                    <w:t>3.严格保护城乡饮用水水源地，整治饮用水水源保护区内的污染源，确保饮水安全。实现城镇生活污水、垃圾处理设施全覆盖和稳定运行。推进农村面源污染治理。推进工业园区、工矿企业污水处理设施全覆盖和利用效率最大化。</w:t>
                  </w:r>
                </w:p>
              </w:tc>
              <w:tc>
                <w:tcPr>
                  <w:tcW w:w="2121" w:type="dxa"/>
                  <w:vAlign w:val="center"/>
                </w:tcPr>
                <w:p w14:paraId="5ACB1789">
                  <w:pPr>
                    <w:adjustRightInd w:val="0"/>
                    <w:snapToGrid w:val="0"/>
                    <w:spacing w:line="240" w:lineRule="auto"/>
                    <w:ind w:firstLine="0" w:firstLineChars="0"/>
                    <w:jc w:val="center"/>
                    <w:rPr>
                      <w:color w:val="auto"/>
                      <w:sz w:val="21"/>
                      <w:szCs w:val="21"/>
                    </w:rPr>
                  </w:pPr>
                  <w:r>
                    <w:rPr>
                      <w:color w:val="auto"/>
                      <w:sz w:val="21"/>
                      <w:szCs w:val="21"/>
                    </w:rPr>
                    <w:t>本项目不涉及饮用水水源地</w:t>
                  </w:r>
                </w:p>
              </w:tc>
            </w:tr>
            <w:tr w14:paraId="077A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712" w:type="dxa"/>
                  <w:vMerge w:val="continue"/>
                  <w:vAlign w:val="center"/>
                </w:tcPr>
                <w:p w14:paraId="4C5755B6">
                  <w:pPr>
                    <w:adjustRightInd w:val="0"/>
                    <w:snapToGrid w:val="0"/>
                    <w:spacing w:line="240" w:lineRule="auto"/>
                    <w:ind w:firstLine="0" w:firstLineChars="0"/>
                    <w:jc w:val="center"/>
                    <w:rPr>
                      <w:color w:val="auto"/>
                      <w:sz w:val="21"/>
                      <w:szCs w:val="21"/>
                    </w:rPr>
                  </w:pPr>
                </w:p>
              </w:tc>
              <w:tc>
                <w:tcPr>
                  <w:tcW w:w="5054" w:type="dxa"/>
                  <w:vAlign w:val="center"/>
                </w:tcPr>
                <w:p w14:paraId="2EB49B6B">
                  <w:pPr>
                    <w:adjustRightInd w:val="0"/>
                    <w:snapToGrid w:val="0"/>
                    <w:spacing w:line="240" w:lineRule="auto"/>
                    <w:ind w:firstLine="0" w:firstLineChars="0"/>
                    <w:jc w:val="center"/>
                    <w:rPr>
                      <w:color w:val="auto"/>
                      <w:sz w:val="21"/>
                      <w:szCs w:val="21"/>
                    </w:rPr>
                  </w:pPr>
                  <w:r>
                    <w:rPr>
                      <w:color w:val="auto"/>
                      <w:sz w:val="21"/>
                      <w:szCs w:val="21"/>
                    </w:rPr>
                    <w:t>4.加大VOCs减排力度，扎实推动PM2.5和臭氧协同控制，有效提升优良天数比率。在持续推进氮氧化物减排的基础上，重点加大石化、化工及含挥发性有机化合物产品制造企业和喷漆、制鞋、印刷、电子、服装干洗等行业清洁生产和污染治理力度，逐步淘汰挥发性有机化合物含量高的产品生产和使用，严控生产过程中逃逸性有机气体的排放。</w:t>
                  </w:r>
                </w:p>
              </w:tc>
              <w:tc>
                <w:tcPr>
                  <w:tcW w:w="2121" w:type="dxa"/>
                  <w:vAlign w:val="center"/>
                </w:tcPr>
                <w:p w14:paraId="5F1E3549">
                  <w:pPr>
                    <w:adjustRightInd w:val="0"/>
                    <w:snapToGrid w:val="0"/>
                    <w:spacing w:line="240" w:lineRule="auto"/>
                    <w:ind w:firstLine="0" w:firstLineChars="0"/>
                    <w:jc w:val="center"/>
                    <w:rPr>
                      <w:color w:val="auto"/>
                      <w:sz w:val="21"/>
                      <w:szCs w:val="21"/>
                    </w:rPr>
                  </w:pPr>
                  <w:r>
                    <w:rPr>
                      <w:color w:val="auto"/>
                      <w:sz w:val="21"/>
                      <w:szCs w:val="21"/>
                    </w:rPr>
                    <w:t>本项目不涉及前述条款</w:t>
                  </w:r>
                </w:p>
              </w:tc>
            </w:tr>
            <w:tr w14:paraId="7803D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712" w:type="dxa"/>
                  <w:vMerge w:val="continue"/>
                  <w:vAlign w:val="center"/>
                </w:tcPr>
                <w:p w14:paraId="52D11C1C">
                  <w:pPr>
                    <w:adjustRightInd w:val="0"/>
                    <w:snapToGrid w:val="0"/>
                    <w:spacing w:line="240" w:lineRule="auto"/>
                    <w:ind w:firstLine="0" w:firstLineChars="0"/>
                    <w:jc w:val="center"/>
                    <w:rPr>
                      <w:color w:val="auto"/>
                      <w:sz w:val="21"/>
                      <w:szCs w:val="21"/>
                    </w:rPr>
                  </w:pPr>
                </w:p>
              </w:tc>
              <w:tc>
                <w:tcPr>
                  <w:tcW w:w="5054" w:type="dxa"/>
                  <w:vAlign w:val="center"/>
                </w:tcPr>
                <w:p w14:paraId="50355339">
                  <w:pPr>
                    <w:adjustRightInd w:val="0"/>
                    <w:snapToGrid w:val="0"/>
                    <w:spacing w:line="240" w:lineRule="auto"/>
                    <w:ind w:firstLine="0" w:firstLineChars="0"/>
                    <w:jc w:val="center"/>
                    <w:rPr>
                      <w:color w:val="auto"/>
                      <w:sz w:val="21"/>
                      <w:szCs w:val="21"/>
                    </w:rPr>
                  </w:pPr>
                  <w:r>
                    <w:rPr>
                      <w:color w:val="auto"/>
                      <w:sz w:val="21"/>
                      <w:szCs w:val="21"/>
                    </w:rPr>
                    <w:t>5.提高钢铁、水泥等高耗能产业减量置换比例，把高能效和低碳排放纳入产能减量置换门槛，明确重点行业二氧化碳排放达峰目标，控制工业、交通、建筑等行业温室气体排放。实施矿冶、建材、制糖、造纸等非电行业烟气脱硫脱硝工程。</w:t>
                  </w:r>
                </w:p>
              </w:tc>
              <w:tc>
                <w:tcPr>
                  <w:tcW w:w="2121" w:type="dxa"/>
                  <w:vAlign w:val="center"/>
                </w:tcPr>
                <w:p w14:paraId="70DED20F">
                  <w:pPr>
                    <w:adjustRightInd w:val="0"/>
                    <w:snapToGrid w:val="0"/>
                    <w:spacing w:line="240" w:lineRule="auto"/>
                    <w:ind w:firstLine="0" w:firstLineChars="0"/>
                    <w:jc w:val="center"/>
                    <w:rPr>
                      <w:color w:val="auto"/>
                      <w:sz w:val="21"/>
                      <w:szCs w:val="21"/>
                    </w:rPr>
                  </w:pPr>
                  <w:r>
                    <w:rPr>
                      <w:color w:val="auto"/>
                      <w:sz w:val="21"/>
                      <w:szCs w:val="21"/>
                    </w:rPr>
                    <w:t>本项目不涉及前述条款</w:t>
                  </w:r>
                </w:p>
              </w:tc>
            </w:tr>
            <w:tr w14:paraId="06DDB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712" w:type="dxa"/>
                  <w:vMerge w:val="continue"/>
                  <w:vAlign w:val="center"/>
                </w:tcPr>
                <w:p w14:paraId="4F19F301">
                  <w:pPr>
                    <w:adjustRightInd w:val="0"/>
                    <w:snapToGrid w:val="0"/>
                    <w:spacing w:line="240" w:lineRule="auto"/>
                    <w:ind w:firstLine="0" w:firstLineChars="0"/>
                    <w:jc w:val="center"/>
                    <w:rPr>
                      <w:color w:val="auto"/>
                      <w:sz w:val="21"/>
                      <w:szCs w:val="21"/>
                    </w:rPr>
                  </w:pPr>
                </w:p>
              </w:tc>
              <w:tc>
                <w:tcPr>
                  <w:tcW w:w="5054" w:type="dxa"/>
                  <w:vAlign w:val="center"/>
                </w:tcPr>
                <w:p w14:paraId="0FCA197D">
                  <w:pPr>
                    <w:adjustRightInd w:val="0"/>
                    <w:snapToGrid w:val="0"/>
                    <w:spacing w:line="240" w:lineRule="auto"/>
                    <w:ind w:firstLine="0" w:firstLineChars="0"/>
                    <w:jc w:val="center"/>
                    <w:rPr>
                      <w:color w:val="auto"/>
                      <w:sz w:val="21"/>
                      <w:szCs w:val="21"/>
                    </w:rPr>
                  </w:pPr>
                  <w:r>
                    <w:rPr>
                      <w:color w:val="auto"/>
                      <w:sz w:val="21"/>
                      <w:szCs w:val="21"/>
                    </w:rPr>
                    <w:t>6.加强土壤污染防治，对农用地实施分类管理，对建设用地实行准入管理，确定土壤环境污染重点监管企业名单，实施土壤污染风险管控和修复名录制度，对污染地块开发利用实行联动监管。</w:t>
                  </w:r>
                </w:p>
              </w:tc>
              <w:tc>
                <w:tcPr>
                  <w:tcW w:w="2121" w:type="dxa"/>
                  <w:vAlign w:val="center"/>
                </w:tcPr>
                <w:p w14:paraId="7A3AB6A9">
                  <w:pPr>
                    <w:adjustRightInd w:val="0"/>
                    <w:snapToGrid w:val="0"/>
                    <w:spacing w:line="240" w:lineRule="auto"/>
                    <w:ind w:firstLine="0" w:firstLineChars="0"/>
                    <w:jc w:val="center"/>
                    <w:rPr>
                      <w:color w:val="auto"/>
                      <w:sz w:val="21"/>
                      <w:szCs w:val="21"/>
                    </w:rPr>
                  </w:pPr>
                  <w:r>
                    <w:rPr>
                      <w:color w:val="auto"/>
                      <w:sz w:val="21"/>
                      <w:szCs w:val="21"/>
                    </w:rPr>
                    <w:t>本项目不涉及前述条款</w:t>
                  </w:r>
                </w:p>
              </w:tc>
            </w:tr>
            <w:tr w14:paraId="712B3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12" w:type="dxa"/>
                  <w:vMerge w:val="restart"/>
                  <w:vAlign w:val="center"/>
                </w:tcPr>
                <w:p w14:paraId="0D9E5DE3">
                  <w:pPr>
                    <w:adjustRightInd w:val="0"/>
                    <w:snapToGrid w:val="0"/>
                    <w:spacing w:line="240" w:lineRule="auto"/>
                    <w:ind w:firstLine="0" w:firstLineChars="0"/>
                    <w:jc w:val="center"/>
                    <w:rPr>
                      <w:color w:val="auto"/>
                      <w:sz w:val="21"/>
                      <w:szCs w:val="21"/>
                    </w:rPr>
                  </w:pPr>
                  <w:r>
                    <w:rPr>
                      <w:color w:val="auto"/>
                      <w:sz w:val="21"/>
                      <w:szCs w:val="21"/>
                    </w:rPr>
                    <w:t>环境风险防控</w:t>
                  </w:r>
                </w:p>
              </w:tc>
              <w:tc>
                <w:tcPr>
                  <w:tcW w:w="5054" w:type="dxa"/>
                  <w:vAlign w:val="center"/>
                </w:tcPr>
                <w:p w14:paraId="3F401DFD">
                  <w:pPr>
                    <w:adjustRightInd w:val="0"/>
                    <w:snapToGrid w:val="0"/>
                    <w:spacing w:line="240" w:lineRule="auto"/>
                    <w:ind w:firstLine="0" w:firstLineChars="0"/>
                    <w:jc w:val="center"/>
                    <w:rPr>
                      <w:color w:val="auto"/>
                      <w:sz w:val="21"/>
                      <w:szCs w:val="21"/>
                    </w:rPr>
                  </w:pPr>
                  <w:r>
                    <w:rPr>
                      <w:color w:val="auto"/>
                      <w:sz w:val="21"/>
                      <w:szCs w:val="21"/>
                    </w:rPr>
                    <w:t>1.强化与其他滇中城市的大气污染防治联防联控协作机制，加强区域内重污染天气应急联动。</w:t>
                  </w:r>
                </w:p>
              </w:tc>
              <w:tc>
                <w:tcPr>
                  <w:tcW w:w="2121" w:type="dxa"/>
                  <w:vMerge w:val="restart"/>
                  <w:vAlign w:val="center"/>
                </w:tcPr>
                <w:p w14:paraId="26112A65">
                  <w:pPr>
                    <w:adjustRightInd w:val="0"/>
                    <w:snapToGrid w:val="0"/>
                    <w:spacing w:line="240" w:lineRule="auto"/>
                    <w:ind w:firstLine="0" w:firstLineChars="0"/>
                    <w:rPr>
                      <w:color w:val="auto"/>
                      <w:sz w:val="21"/>
                      <w:szCs w:val="21"/>
                    </w:rPr>
                  </w:pPr>
                  <w:r>
                    <w:rPr>
                      <w:color w:val="auto"/>
                      <w:sz w:val="21"/>
                      <w:szCs w:val="21"/>
                    </w:rPr>
                    <w:t>本项目</w:t>
                  </w:r>
                  <w:r>
                    <w:rPr>
                      <w:rFonts w:hint="eastAsia"/>
                      <w:color w:val="auto"/>
                      <w:sz w:val="21"/>
                      <w:szCs w:val="21"/>
                      <w:lang w:val="en-US" w:eastAsia="zh-CN"/>
                    </w:rPr>
                    <w:t>江川区医共体总医院</w:t>
                  </w:r>
                  <w:r>
                    <w:rPr>
                      <w:color w:val="auto"/>
                      <w:sz w:val="21"/>
                      <w:szCs w:val="21"/>
                    </w:rPr>
                    <w:t>已编制突发环境事件应急预案</w:t>
                  </w:r>
                </w:p>
              </w:tc>
            </w:tr>
            <w:tr w14:paraId="7CF3D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12" w:type="dxa"/>
                  <w:vMerge w:val="continue"/>
                  <w:vAlign w:val="center"/>
                </w:tcPr>
                <w:p w14:paraId="775C8309">
                  <w:pPr>
                    <w:adjustRightInd w:val="0"/>
                    <w:snapToGrid w:val="0"/>
                    <w:spacing w:line="240" w:lineRule="auto"/>
                    <w:ind w:firstLine="0" w:firstLineChars="0"/>
                    <w:jc w:val="center"/>
                    <w:rPr>
                      <w:color w:val="auto"/>
                      <w:sz w:val="21"/>
                      <w:szCs w:val="21"/>
                    </w:rPr>
                  </w:pPr>
                </w:p>
              </w:tc>
              <w:tc>
                <w:tcPr>
                  <w:tcW w:w="5054" w:type="dxa"/>
                  <w:vAlign w:val="center"/>
                </w:tcPr>
                <w:p w14:paraId="319C024A">
                  <w:pPr>
                    <w:adjustRightInd w:val="0"/>
                    <w:snapToGrid w:val="0"/>
                    <w:spacing w:line="240" w:lineRule="auto"/>
                    <w:ind w:firstLine="0" w:firstLineChars="0"/>
                    <w:jc w:val="center"/>
                    <w:rPr>
                      <w:color w:val="auto"/>
                      <w:sz w:val="21"/>
                      <w:szCs w:val="21"/>
                    </w:rPr>
                  </w:pPr>
                  <w:r>
                    <w:rPr>
                      <w:color w:val="auto"/>
                      <w:sz w:val="21"/>
                      <w:szCs w:val="21"/>
                    </w:rPr>
                    <w:t>2.加强环境风险防控和应急管理，制定和完善突发环境事件和饮用水水源地突发环境事件应急预案，加强风险防控和突发环境事件应急处理处置能力。</w:t>
                  </w:r>
                </w:p>
              </w:tc>
              <w:tc>
                <w:tcPr>
                  <w:tcW w:w="2121" w:type="dxa"/>
                  <w:vMerge w:val="continue"/>
                  <w:vAlign w:val="center"/>
                </w:tcPr>
                <w:p w14:paraId="1D48CEBC">
                  <w:pPr>
                    <w:adjustRightInd w:val="0"/>
                    <w:snapToGrid w:val="0"/>
                    <w:spacing w:line="240" w:lineRule="auto"/>
                    <w:ind w:firstLine="0" w:firstLineChars="0"/>
                    <w:jc w:val="center"/>
                    <w:rPr>
                      <w:color w:val="auto"/>
                      <w:sz w:val="21"/>
                      <w:szCs w:val="21"/>
                    </w:rPr>
                  </w:pPr>
                </w:p>
              </w:tc>
            </w:tr>
            <w:tr w14:paraId="3BACA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12" w:type="dxa"/>
                  <w:vMerge w:val="restart"/>
                  <w:vAlign w:val="center"/>
                </w:tcPr>
                <w:p w14:paraId="73382F9B">
                  <w:pPr>
                    <w:adjustRightInd w:val="0"/>
                    <w:snapToGrid w:val="0"/>
                    <w:spacing w:line="240" w:lineRule="auto"/>
                    <w:ind w:firstLine="0" w:firstLineChars="0"/>
                    <w:jc w:val="center"/>
                    <w:rPr>
                      <w:color w:val="auto"/>
                      <w:sz w:val="21"/>
                      <w:szCs w:val="21"/>
                    </w:rPr>
                  </w:pPr>
                  <w:r>
                    <w:rPr>
                      <w:color w:val="auto"/>
                      <w:sz w:val="21"/>
                      <w:szCs w:val="21"/>
                    </w:rPr>
                    <w:t>资源开发利用效率</w:t>
                  </w:r>
                </w:p>
              </w:tc>
              <w:tc>
                <w:tcPr>
                  <w:tcW w:w="5054" w:type="dxa"/>
                  <w:vAlign w:val="center"/>
                </w:tcPr>
                <w:p w14:paraId="2EAD51A1">
                  <w:pPr>
                    <w:adjustRightInd w:val="0"/>
                    <w:snapToGrid w:val="0"/>
                    <w:spacing w:line="240" w:lineRule="auto"/>
                    <w:ind w:firstLine="0" w:firstLineChars="0"/>
                    <w:jc w:val="center"/>
                    <w:rPr>
                      <w:color w:val="auto"/>
                      <w:sz w:val="21"/>
                      <w:szCs w:val="21"/>
                    </w:rPr>
                  </w:pPr>
                  <w:r>
                    <w:rPr>
                      <w:color w:val="auto"/>
                      <w:sz w:val="21"/>
                      <w:szCs w:val="21"/>
                    </w:rPr>
                    <w:t>1.降低水、土地、矿产资源消耗强度，强化约束性指标管理。</w:t>
                  </w:r>
                </w:p>
              </w:tc>
              <w:tc>
                <w:tcPr>
                  <w:tcW w:w="2121" w:type="dxa"/>
                  <w:vMerge w:val="restart"/>
                  <w:vAlign w:val="center"/>
                </w:tcPr>
                <w:p w14:paraId="0387A084">
                  <w:pPr>
                    <w:adjustRightInd w:val="0"/>
                    <w:snapToGrid w:val="0"/>
                    <w:spacing w:line="240" w:lineRule="auto"/>
                    <w:ind w:firstLine="0" w:firstLineChars="0"/>
                    <w:jc w:val="center"/>
                    <w:rPr>
                      <w:color w:val="auto"/>
                      <w:sz w:val="21"/>
                      <w:szCs w:val="21"/>
                    </w:rPr>
                  </w:pPr>
                  <w:r>
                    <w:rPr>
                      <w:color w:val="auto"/>
                      <w:sz w:val="21"/>
                      <w:szCs w:val="21"/>
                    </w:rPr>
                    <w:t>本项目为医疗卫生机构建设项目，不新增占地，用水量不大，项目不涉及生态红线，耕地等，项目不涉及高污染燃料</w:t>
                  </w:r>
                </w:p>
              </w:tc>
            </w:tr>
            <w:tr w14:paraId="68C75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5" w:hRule="atLeast"/>
              </w:trPr>
              <w:tc>
                <w:tcPr>
                  <w:tcW w:w="712" w:type="dxa"/>
                  <w:vMerge w:val="continue"/>
                  <w:vAlign w:val="center"/>
                </w:tcPr>
                <w:p w14:paraId="6BAC038F">
                  <w:pPr>
                    <w:adjustRightInd w:val="0"/>
                    <w:snapToGrid w:val="0"/>
                    <w:spacing w:line="240" w:lineRule="auto"/>
                    <w:ind w:firstLine="0" w:firstLineChars="0"/>
                    <w:jc w:val="center"/>
                    <w:rPr>
                      <w:color w:val="auto"/>
                      <w:sz w:val="21"/>
                      <w:szCs w:val="21"/>
                    </w:rPr>
                  </w:pPr>
                </w:p>
              </w:tc>
              <w:tc>
                <w:tcPr>
                  <w:tcW w:w="5054" w:type="dxa"/>
                  <w:vAlign w:val="center"/>
                </w:tcPr>
                <w:p w14:paraId="2E4C74B5">
                  <w:pPr>
                    <w:adjustRightInd w:val="0"/>
                    <w:snapToGrid w:val="0"/>
                    <w:spacing w:line="240" w:lineRule="auto"/>
                    <w:ind w:firstLine="0" w:firstLineChars="0"/>
                    <w:jc w:val="center"/>
                    <w:rPr>
                      <w:color w:val="auto"/>
                      <w:sz w:val="21"/>
                      <w:szCs w:val="21"/>
                    </w:rPr>
                  </w:pPr>
                  <w:r>
                    <w:rPr>
                      <w:color w:val="auto"/>
                      <w:sz w:val="21"/>
                      <w:szCs w:val="21"/>
                    </w:rPr>
                    <w:t>2.实行最严格的水资源管理制度，严格用水总量、强度指标管理，严格取水管控，建立重点监控取水单位名录，强化重点监控取水单位管理。全市年用水总量、万元工业增加值用水量降幅等指标达到省考核要求。</w:t>
                  </w:r>
                </w:p>
              </w:tc>
              <w:tc>
                <w:tcPr>
                  <w:tcW w:w="2121" w:type="dxa"/>
                  <w:vMerge w:val="continue"/>
                  <w:vAlign w:val="center"/>
                </w:tcPr>
                <w:p w14:paraId="3F23F2C2">
                  <w:pPr>
                    <w:adjustRightInd w:val="0"/>
                    <w:snapToGrid w:val="0"/>
                    <w:spacing w:line="240" w:lineRule="auto"/>
                    <w:ind w:firstLine="420"/>
                    <w:jc w:val="center"/>
                    <w:rPr>
                      <w:color w:val="auto"/>
                      <w:sz w:val="21"/>
                      <w:szCs w:val="21"/>
                    </w:rPr>
                  </w:pPr>
                </w:p>
              </w:tc>
            </w:tr>
            <w:tr w14:paraId="5C718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trPr>
              <w:tc>
                <w:tcPr>
                  <w:tcW w:w="712" w:type="dxa"/>
                  <w:vMerge w:val="continue"/>
                  <w:vAlign w:val="center"/>
                </w:tcPr>
                <w:p w14:paraId="3EBD7CB2">
                  <w:pPr>
                    <w:adjustRightInd w:val="0"/>
                    <w:snapToGrid w:val="0"/>
                    <w:spacing w:line="240" w:lineRule="auto"/>
                    <w:ind w:firstLine="0" w:firstLineChars="0"/>
                    <w:jc w:val="center"/>
                    <w:rPr>
                      <w:color w:val="auto"/>
                      <w:sz w:val="21"/>
                      <w:szCs w:val="21"/>
                    </w:rPr>
                  </w:pPr>
                </w:p>
              </w:tc>
              <w:tc>
                <w:tcPr>
                  <w:tcW w:w="5054" w:type="dxa"/>
                  <w:vAlign w:val="center"/>
                </w:tcPr>
                <w:p w14:paraId="3813DB8C">
                  <w:pPr>
                    <w:adjustRightInd w:val="0"/>
                    <w:snapToGrid w:val="0"/>
                    <w:spacing w:line="240" w:lineRule="auto"/>
                    <w:ind w:firstLine="0" w:firstLineChars="0"/>
                    <w:jc w:val="center"/>
                    <w:rPr>
                      <w:color w:val="auto"/>
                      <w:sz w:val="21"/>
                      <w:szCs w:val="21"/>
                    </w:rPr>
                  </w:pPr>
                  <w:r>
                    <w:rPr>
                      <w:color w:val="auto"/>
                      <w:sz w:val="21"/>
                      <w:szCs w:val="21"/>
                    </w:rPr>
                    <w:t>3.坚持最严格的耕地保护制度，守住耕地保护红线。坚持节约用地，严格执行耕地占补平衡等制度，提高土地投资强度和单位面积产出水平。</w:t>
                  </w:r>
                </w:p>
              </w:tc>
              <w:tc>
                <w:tcPr>
                  <w:tcW w:w="2121" w:type="dxa"/>
                  <w:vMerge w:val="continue"/>
                  <w:vAlign w:val="center"/>
                </w:tcPr>
                <w:p w14:paraId="196AF7CC">
                  <w:pPr>
                    <w:adjustRightInd w:val="0"/>
                    <w:snapToGrid w:val="0"/>
                    <w:spacing w:line="240" w:lineRule="auto"/>
                    <w:ind w:firstLine="420"/>
                    <w:jc w:val="center"/>
                    <w:rPr>
                      <w:color w:val="auto"/>
                      <w:sz w:val="21"/>
                      <w:szCs w:val="21"/>
                    </w:rPr>
                  </w:pPr>
                </w:p>
              </w:tc>
            </w:tr>
            <w:tr w14:paraId="3383F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712" w:type="dxa"/>
                  <w:vMerge w:val="continue"/>
                  <w:vAlign w:val="center"/>
                </w:tcPr>
                <w:p w14:paraId="793EA75F">
                  <w:pPr>
                    <w:adjustRightInd w:val="0"/>
                    <w:snapToGrid w:val="0"/>
                    <w:spacing w:line="240" w:lineRule="auto"/>
                    <w:ind w:firstLine="0" w:firstLineChars="0"/>
                    <w:jc w:val="center"/>
                    <w:rPr>
                      <w:color w:val="auto"/>
                      <w:sz w:val="21"/>
                      <w:szCs w:val="21"/>
                    </w:rPr>
                  </w:pPr>
                </w:p>
              </w:tc>
              <w:tc>
                <w:tcPr>
                  <w:tcW w:w="5054" w:type="dxa"/>
                  <w:vAlign w:val="center"/>
                </w:tcPr>
                <w:p w14:paraId="244BC1D8">
                  <w:pPr>
                    <w:adjustRightInd w:val="0"/>
                    <w:snapToGrid w:val="0"/>
                    <w:spacing w:line="240" w:lineRule="auto"/>
                    <w:ind w:firstLine="0" w:firstLineChars="0"/>
                    <w:jc w:val="center"/>
                    <w:rPr>
                      <w:color w:val="auto"/>
                      <w:sz w:val="21"/>
                      <w:szCs w:val="21"/>
                    </w:rPr>
                  </w:pPr>
                  <w:r>
                    <w:rPr>
                      <w:color w:val="auto"/>
                      <w:sz w:val="21"/>
                      <w:szCs w:val="21"/>
                    </w:rPr>
                    <w:t>4.全市单位GDP能耗持续下降，能耗增量控制目标达到省考核要求。</w:t>
                  </w:r>
                </w:p>
              </w:tc>
              <w:tc>
                <w:tcPr>
                  <w:tcW w:w="2121" w:type="dxa"/>
                  <w:vMerge w:val="continue"/>
                  <w:vAlign w:val="center"/>
                </w:tcPr>
                <w:p w14:paraId="321D23AD">
                  <w:pPr>
                    <w:adjustRightInd w:val="0"/>
                    <w:snapToGrid w:val="0"/>
                    <w:spacing w:line="240" w:lineRule="auto"/>
                    <w:ind w:firstLine="420"/>
                    <w:jc w:val="center"/>
                    <w:rPr>
                      <w:color w:val="auto"/>
                      <w:sz w:val="21"/>
                      <w:szCs w:val="21"/>
                    </w:rPr>
                  </w:pPr>
                </w:p>
              </w:tc>
            </w:tr>
            <w:tr w14:paraId="3FAC7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12" w:type="dxa"/>
                  <w:vMerge w:val="continue"/>
                  <w:vAlign w:val="center"/>
                </w:tcPr>
                <w:p w14:paraId="2C6DEE5A">
                  <w:pPr>
                    <w:adjustRightInd w:val="0"/>
                    <w:snapToGrid w:val="0"/>
                    <w:spacing w:line="240" w:lineRule="auto"/>
                    <w:ind w:firstLine="0" w:firstLineChars="0"/>
                    <w:jc w:val="center"/>
                    <w:rPr>
                      <w:color w:val="auto"/>
                      <w:sz w:val="21"/>
                      <w:szCs w:val="21"/>
                    </w:rPr>
                  </w:pPr>
                </w:p>
              </w:tc>
              <w:tc>
                <w:tcPr>
                  <w:tcW w:w="5054" w:type="dxa"/>
                  <w:vAlign w:val="center"/>
                </w:tcPr>
                <w:p w14:paraId="40F4FBFF">
                  <w:pPr>
                    <w:adjustRightInd w:val="0"/>
                    <w:snapToGrid w:val="0"/>
                    <w:spacing w:line="240" w:lineRule="auto"/>
                    <w:ind w:firstLine="0" w:firstLineChars="0"/>
                    <w:jc w:val="center"/>
                    <w:rPr>
                      <w:color w:val="auto"/>
                      <w:sz w:val="21"/>
                      <w:szCs w:val="21"/>
                    </w:rPr>
                  </w:pPr>
                  <w:r>
                    <w:rPr>
                      <w:color w:val="auto"/>
                      <w:sz w:val="21"/>
                      <w:szCs w:val="21"/>
                    </w:rPr>
                    <w:t>5.高污染燃料禁燃区按照《高污染燃料目录》及当地有关禁燃区管理规定执行。</w:t>
                  </w:r>
                </w:p>
              </w:tc>
              <w:tc>
                <w:tcPr>
                  <w:tcW w:w="2121" w:type="dxa"/>
                  <w:vMerge w:val="continue"/>
                  <w:vAlign w:val="center"/>
                </w:tcPr>
                <w:p w14:paraId="2BC8655D">
                  <w:pPr>
                    <w:adjustRightInd w:val="0"/>
                    <w:snapToGrid w:val="0"/>
                    <w:spacing w:line="240" w:lineRule="auto"/>
                    <w:ind w:firstLine="0" w:firstLineChars="0"/>
                    <w:jc w:val="center"/>
                    <w:rPr>
                      <w:color w:val="auto"/>
                      <w:sz w:val="21"/>
                      <w:szCs w:val="21"/>
                    </w:rPr>
                  </w:pPr>
                </w:p>
              </w:tc>
            </w:tr>
          </w:tbl>
          <w:p w14:paraId="428B6217">
            <w:pPr>
              <w:widowControl/>
              <w:ind w:firstLine="482"/>
              <w:jc w:val="left"/>
              <w:rPr>
                <w:b/>
                <w:bCs/>
                <w:color w:val="auto"/>
                <w:kern w:val="0"/>
                <w:szCs w:val="24"/>
                <w:lang w:bidi="ar"/>
              </w:rPr>
            </w:pPr>
            <w:r>
              <w:rPr>
                <w:b/>
                <w:bCs/>
                <w:color w:val="auto"/>
                <w:kern w:val="0"/>
                <w:szCs w:val="24"/>
                <w:lang w:bidi="ar"/>
              </w:rPr>
              <w:t>C、优先保护单元、一般管控单元生态环境准入清单</w:t>
            </w:r>
          </w:p>
          <w:p w14:paraId="32968E8E">
            <w:pPr>
              <w:widowControl/>
              <w:ind w:firstLine="480"/>
              <w:jc w:val="left"/>
              <w:rPr>
                <w:color w:val="auto"/>
              </w:rPr>
            </w:pPr>
            <w:r>
              <w:rPr>
                <w:color w:val="auto"/>
              </w:rPr>
              <w:t>项目与优先保护单元、一般管控单元生态环境准入清单要求对照如下：</w:t>
            </w:r>
          </w:p>
          <w:p w14:paraId="36C160DA">
            <w:pPr>
              <w:pStyle w:val="2"/>
              <w:jc w:val="center"/>
              <w:rPr>
                <w:b/>
                <w:color w:val="auto"/>
                <w:kern w:val="2"/>
                <w:sz w:val="21"/>
                <w:szCs w:val="21"/>
              </w:rPr>
            </w:pPr>
            <w:r>
              <w:rPr>
                <w:b/>
                <w:color w:val="auto"/>
                <w:kern w:val="2"/>
                <w:sz w:val="21"/>
                <w:szCs w:val="21"/>
              </w:rPr>
              <w:t>表1-4与优先保护单元、一般管控单元生态环境准入清单对照表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134"/>
              <w:gridCol w:w="3260"/>
              <w:gridCol w:w="2687"/>
            </w:tblGrid>
            <w:tr w14:paraId="5C70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4" w:type="dxa"/>
                  <w:vAlign w:val="center"/>
                </w:tcPr>
                <w:p w14:paraId="4505CAB6">
                  <w:pPr>
                    <w:pStyle w:val="2"/>
                    <w:jc w:val="center"/>
                    <w:rPr>
                      <w:b/>
                      <w:color w:val="auto"/>
                      <w:kern w:val="2"/>
                      <w:sz w:val="21"/>
                      <w:szCs w:val="21"/>
                    </w:rPr>
                  </w:pPr>
                  <w:r>
                    <w:rPr>
                      <w:b/>
                      <w:color w:val="auto"/>
                      <w:kern w:val="2"/>
                      <w:sz w:val="21"/>
                      <w:szCs w:val="21"/>
                    </w:rPr>
                    <w:t>市县</w:t>
                  </w:r>
                </w:p>
              </w:tc>
              <w:tc>
                <w:tcPr>
                  <w:tcW w:w="1134" w:type="dxa"/>
                  <w:vAlign w:val="center"/>
                </w:tcPr>
                <w:p w14:paraId="5063DACB">
                  <w:pPr>
                    <w:pStyle w:val="2"/>
                    <w:jc w:val="center"/>
                    <w:rPr>
                      <w:b/>
                      <w:color w:val="auto"/>
                      <w:kern w:val="2"/>
                      <w:sz w:val="21"/>
                      <w:szCs w:val="21"/>
                    </w:rPr>
                  </w:pPr>
                  <w:r>
                    <w:rPr>
                      <w:b/>
                      <w:color w:val="auto"/>
                      <w:kern w:val="2"/>
                      <w:sz w:val="21"/>
                      <w:szCs w:val="21"/>
                    </w:rPr>
                    <w:t>单元名称</w:t>
                  </w:r>
                </w:p>
              </w:tc>
              <w:tc>
                <w:tcPr>
                  <w:tcW w:w="3260" w:type="dxa"/>
                  <w:vAlign w:val="center"/>
                </w:tcPr>
                <w:p w14:paraId="1B6A4447">
                  <w:pPr>
                    <w:pStyle w:val="2"/>
                    <w:jc w:val="center"/>
                    <w:rPr>
                      <w:b/>
                      <w:color w:val="auto"/>
                      <w:kern w:val="2"/>
                      <w:sz w:val="21"/>
                      <w:szCs w:val="21"/>
                    </w:rPr>
                  </w:pPr>
                  <w:r>
                    <w:rPr>
                      <w:b/>
                      <w:color w:val="auto"/>
                      <w:kern w:val="2"/>
                      <w:sz w:val="21"/>
                      <w:szCs w:val="21"/>
                    </w:rPr>
                    <w:t>管控要求</w:t>
                  </w:r>
                </w:p>
              </w:tc>
              <w:tc>
                <w:tcPr>
                  <w:tcW w:w="2687" w:type="dxa"/>
                  <w:vAlign w:val="center"/>
                </w:tcPr>
                <w:p w14:paraId="64C2B090">
                  <w:pPr>
                    <w:pStyle w:val="2"/>
                    <w:jc w:val="center"/>
                    <w:rPr>
                      <w:b/>
                      <w:color w:val="auto"/>
                      <w:kern w:val="2"/>
                      <w:sz w:val="21"/>
                      <w:szCs w:val="21"/>
                    </w:rPr>
                  </w:pPr>
                  <w:r>
                    <w:rPr>
                      <w:b/>
                      <w:color w:val="auto"/>
                      <w:kern w:val="2"/>
                      <w:sz w:val="21"/>
                      <w:szCs w:val="21"/>
                    </w:rPr>
                    <w:t>本项目对照情况</w:t>
                  </w:r>
                </w:p>
              </w:tc>
            </w:tr>
            <w:tr w14:paraId="0E895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6" w:hRule="atLeast"/>
              </w:trPr>
              <w:tc>
                <w:tcPr>
                  <w:tcW w:w="794" w:type="dxa"/>
                  <w:vMerge w:val="restart"/>
                  <w:vAlign w:val="center"/>
                </w:tcPr>
                <w:p w14:paraId="6B64287F">
                  <w:pPr>
                    <w:adjustRightInd w:val="0"/>
                    <w:snapToGrid w:val="0"/>
                    <w:spacing w:line="240" w:lineRule="auto"/>
                    <w:ind w:firstLine="0" w:firstLineChars="0"/>
                    <w:jc w:val="center"/>
                    <w:rPr>
                      <w:color w:val="auto"/>
                      <w:sz w:val="21"/>
                      <w:szCs w:val="21"/>
                    </w:rPr>
                  </w:pPr>
                  <w:r>
                    <w:rPr>
                      <w:color w:val="auto"/>
                      <w:sz w:val="21"/>
                      <w:szCs w:val="21"/>
                    </w:rPr>
                    <w:t>各县（区）优先管控单元</w:t>
                  </w:r>
                </w:p>
              </w:tc>
              <w:tc>
                <w:tcPr>
                  <w:tcW w:w="1134" w:type="dxa"/>
                  <w:vAlign w:val="center"/>
                </w:tcPr>
                <w:p w14:paraId="17A0CAB1">
                  <w:pPr>
                    <w:adjustRightInd w:val="0"/>
                    <w:snapToGrid w:val="0"/>
                    <w:spacing w:line="240" w:lineRule="auto"/>
                    <w:ind w:firstLine="0" w:firstLineChars="0"/>
                    <w:jc w:val="center"/>
                    <w:rPr>
                      <w:color w:val="auto"/>
                      <w:sz w:val="21"/>
                      <w:szCs w:val="21"/>
                    </w:rPr>
                  </w:pPr>
                  <w:r>
                    <w:rPr>
                      <w:color w:val="auto"/>
                      <w:sz w:val="21"/>
                      <w:szCs w:val="21"/>
                    </w:rPr>
                    <w:t>生态保护红线优先保护单元</w:t>
                  </w:r>
                </w:p>
              </w:tc>
              <w:tc>
                <w:tcPr>
                  <w:tcW w:w="3260" w:type="dxa"/>
                  <w:vAlign w:val="center"/>
                </w:tcPr>
                <w:p w14:paraId="58FE31EB">
                  <w:pPr>
                    <w:adjustRightInd w:val="0"/>
                    <w:snapToGrid w:val="0"/>
                    <w:spacing w:line="240" w:lineRule="auto"/>
                    <w:ind w:firstLine="0" w:firstLineChars="0"/>
                    <w:jc w:val="center"/>
                    <w:rPr>
                      <w:color w:val="auto"/>
                      <w:sz w:val="21"/>
                      <w:szCs w:val="21"/>
                    </w:rPr>
                  </w:pPr>
                  <w:r>
                    <w:rPr>
                      <w:color w:val="auto"/>
                      <w:sz w:val="21"/>
                      <w:szCs w:val="21"/>
                    </w:rPr>
                    <w:t>1.生态保护红线内，自然保护地核心保护区原则上禁止人为活动，其他区域严格禁止开发性生产性建设活动，法律法规另有规定的，从其规定。</w:t>
                  </w:r>
                </w:p>
                <w:p w14:paraId="56D11DFB">
                  <w:pPr>
                    <w:adjustRightInd w:val="0"/>
                    <w:snapToGrid w:val="0"/>
                    <w:spacing w:line="240" w:lineRule="auto"/>
                    <w:ind w:firstLine="0" w:firstLineChars="0"/>
                    <w:jc w:val="center"/>
                    <w:rPr>
                      <w:color w:val="auto"/>
                      <w:sz w:val="21"/>
                      <w:szCs w:val="21"/>
                    </w:rPr>
                  </w:pPr>
                  <w:r>
                    <w:rPr>
                      <w:color w:val="auto"/>
                      <w:sz w:val="21"/>
                      <w:szCs w:val="21"/>
                    </w:rPr>
                    <w:t>2.生态保护红线相关管控办法出台后，依据其管理规定执行。</w:t>
                  </w:r>
                </w:p>
              </w:tc>
              <w:tc>
                <w:tcPr>
                  <w:tcW w:w="2687" w:type="dxa"/>
                  <w:vAlign w:val="center"/>
                </w:tcPr>
                <w:p w14:paraId="6747BF02">
                  <w:pPr>
                    <w:adjustRightInd w:val="0"/>
                    <w:snapToGrid w:val="0"/>
                    <w:spacing w:line="240" w:lineRule="auto"/>
                    <w:ind w:firstLine="0" w:firstLineChars="0"/>
                    <w:jc w:val="center"/>
                    <w:rPr>
                      <w:color w:val="auto"/>
                      <w:sz w:val="21"/>
                      <w:szCs w:val="21"/>
                    </w:rPr>
                  </w:pPr>
                  <w:r>
                    <w:rPr>
                      <w:b/>
                      <w:bCs/>
                      <w:color w:val="auto"/>
                      <w:sz w:val="21"/>
                      <w:szCs w:val="21"/>
                    </w:rPr>
                    <w:t>符合要求：</w:t>
                  </w:r>
                  <w:r>
                    <w:rPr>
                      <w:color w:val="auto"/>
                      <w:sz w:val="21"/>
                      <w:szCs w:val="21"/>
                    </w:rPr>
                    <w:t>项目位于江川区县城区范围内，用地范围不涉及生态保护红线、自然保护区。</w:t>
                  </w:r>
                </w:p>
              </w:tc>
            </w:tr>
            <w:tr w14:paraId="19BDE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794" w:type="dxa"/>
                  <w:vMerge w:val="continue"/>
                  <w:vAlign w:val="center"/>
                </w:tcPr>
                <w:p w14:paraId="38A4AFCD">
                  <w:pPr>
                    <w:adjustRightInd w:val="0"/>
                    <w:snapToGrid w:val="0"/>
                    <w:spacing w:line="240" w:lineRule="auto"/>
                    <w:ind w:firstLine="0" w:firstLineChars="0"/>
                    <w:jc w:val="center"/>
                    <w:rPr>
                      <w:color w:val="auto"/>
                      <w:sz w:val="21"/>
                      <w:szCs w:val="21"/>
                    </w:rPr>
                  </w:pPr>
                </w:p>
              </w:tc>
              <w:tc>
                <w:tcPr>
                  <w:tcW w:w="1134" w:type="dxa"/>
                  <w:vAlign w:val="center"/>
                </w:tcPr>
                <w:p w14:paraId="6D795856">
                  <w:pPr>
                    <w:adjustRightInd w:val="0"/>
                    <w:snapToGrid w:val="0"/>
                    <w:spacing w:line="240" w:lineRule="auto"/>
                    <w:ind w:firstLine="0" w:firstLineChars="0"/>
                    <w:jc w:val="center"/>
                    <w:rPr>
                      <w:color w:val="auto"/>
                      <w:sz w:val="21"/>
                      <w:szCs w:val="21"/>
                    </w:rPr>
                  </w:pPr>
                  <w:r>
                    <w:rPr>
                      <w:color w:val="auto"/>
                      <w:sz w:val="21"/>
                      <w:szCs w:val="21"/>
                    </w:rPr>
                    <w:t>一般生态空间优先保护单元</w:t>
                  </w:r>
                </w:p>
              </w:tc>
              <w:tc>
                <w:tcPr>
                  <w:tcW w:w="3260" w:type="dxa"/>
                  <w:vAlign w:val="center"/>
                </w:tcPr>
                <w:p w14:paraId="187EE5F4">
                  <w:pPr>
                    <w:adjustRightInd w:val="0"/>
                    <w:snapToGrid w:val="0"/>
                    <w:spacing w:line="240" w:lineRule="auto"/>
                    <w:ind w:firstLine="0" w:firstLineChars="0"/>
                    <w:jc w:val="center"/>
                    <w:rPr>
                      <w:color w:val="auto"/>
                      <w:sz w:val="21"/>
                      <w:szCs w:val="21"/>
                    </w:rPr>
                  </w:pPr>
                  <w:r>
                    <w:rPr>
                      <w:color w:val="auto"/>
                      <w:sz w:val="21"/>
                      <w:szCs w:val="21"/>
                    </w:rPr>
                    <w:t>1.执行《云南省人民政府关于实施“三线一单”生态环境分区管控的意见》（云政发〔2020〕29号）。原则上按照限制开发区域的要求进行管理，严格限制大规模开发建设活动。以保护和修复生态环境、提供生态产品为首要任务，因地制宜地发展不影响主体功能定位的产业。</w:t>
                  </w:r>
                </w:p>
                <w:p w14:paraId="7007EAD4">
                  <w:pPr>
                    <w:adjustRightInd w:val="0"/>
                    <w:snapToGrid w:val="0"/>
                    <w:spacing w:line="240" w:lineRule="auto"/>
                    <w:ind w:firstLine="0" w:firstLineChars="0"/>
                    <w:jc w:val="center"/>
                    <w:rPr>
                      <w:color w:val="auto"/>
                      <w:sz w:val="21"/>
                      <w:szCs w:val="21"/>
                    </w:rPr>
                  </w:pPr>
                  <w:r>
                    <w:rPr>
                      <w:color w:val="auto"/>
                      <w:sz w:val="21"/>
                      <w:szCs w:val="21"/>
                    </w:rPr>
                    <w:t>2.重要湿地依据《湿地保护管理规定》、《国务院办公厅关于印发湿地保护修复制度方案的通知》、《云南省湿地保护条例》、《云南省人民政府关于加强湿地保护工作的意见》等进行管理；生态公益林依据《国家级公益林管理办法》、《云南省地方公益林管理办法》进行管理；天然林依据《国家林业局关于严格保护天然林的通知》（林资发〔2015〕181号）、《中共中央办公厅国务院办公厅关于印发〈天然林保护修复制度方案〉的通知》（厅字〔2019〕39号）等进行管理；基本草原依据《中华人民共和国草原法》进行管理。</w:t>
                  </w:r>
                </w:p>
              </w:tc>
              <w:tc>
                <w:tcPr>
                  <w:tcW w:w="2687" w:type="dxa"/>
                  <w:vAlign w:val="center"/>
                </w:tcPr>
                <w:p w14:paraId="412D5FDE">
                  <w:pPr>
                    <w:adjustRightInd w:val="0"/>
                    <w:snapToGrid w:val="0"/>
                    <w:spacing w:line="240" w:lineRule="auto"/>
                    <w:ind w:firstLine="0" w:firstLineChars="0"/>
                    <w:jc w:val="center"/>
                    <w:rPr>
                      <w:color w:val="auto"/>
                      <w:sz w:val="21"/>
                      <w:szCs w:val="21"/>
                    </w:rPr>
                  </w:pPr>
                  <w:r>
                    <w:rPr>
                      <w:b/>
                      <w:bCs/>
                      <w:color w:val="auto"/>
                      <w:sz w:val="21"/>
                      <w:szCs w:val="21"/>
                    </w:rPr>
                    <w:t>符合要求：</w:t>
                  </w:r>
                  <w:r>
                    <w:rPr>
                      <w:color w:val="auto"/>
                      <w:sz w:val="21"/>
                      <w:szCs w:val="21"/>
                    </w:rPr>
                    <w:t>一般生态空间优先保护单元包含生态保护红线和一般生态空间，主要分布在哀牢山、红河（元江）干热河谷、珠江上游及滇东南喀斯特地带、高原湖泊湖区及流域水源涵养区等生态功能重要、生态环境敏感区域，本项目位于江川区城市规划范围内，不占用生态保护红线，基本农田，符合要求。</w:t>
                  </w:r>
                </w:p>
              </w:tc>
            </w:tr>
            <w:tr w14:paraId="46008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8" w:hRule="atLeast"/>
              </w:trPr>
              <w:tc>
                <w:tcPr>
                  <w:tcW w:w="794" w:type="dxa"/>
                  <w:vMerge w:val="continue"/>
                  <w:vAlign w:val="center"/>
                </w:tcPr>
                <w:p w14:paraId="0D429E61">
                  <w:pPr>
                    <w:adjustRightInd w:val="0"/>
                    <w:snapToGrid w:val="0"/>
                    <w:spacing w:line="240" w:lineRule="auto"/>
                    <w:ind w:firstLine="0" w:firstLineChars="0"/>
                    <w:jc w:val="center"/>
                    <w:rPr>
                      <w:color w:val="auto"/>
                      <w:sz w:val="21"/>
                      <w:szCs w:val="21"/>
                    </w:rPr>
                  </w:pPr>
                </w:p>
              </w:tc>
              <w:tc>
                <w:tcPr>
                  <w:tcW w:w="1134" w:type="dxa"/>
                  <w:vAlign w:val="center"/>
                </w:tcPr>
                <w:p w14:paraId="05A4BC36">
                  <w:pPr>
                    <w:adjustRightInd w:val="0"/>
                    <w:snapToGrid w:val="0"/>
                    <w:spacing w:line="240" w:lineRule="auto"/>
                    <w:ind w:firstLine="0" w:firstLineChars="0"/>
                    <w:jc w:val="center"/>
                    <w:rPr>
                      <w:color w:val="auto"/>
                      <w:sz w:val="21"/>
                      <w:szCs w:val="21"/>
                    </w:rPr>
                  </w:pPr>
                  <w:r>
                    <w:rPr>
                      <w:color w:val="auto"/>
                      <w:sz w:val="21"/>
                      <w:szCs w:val="21"/>
                    </w:rPr>
                    <w:t>饮用水源地优先保护单元</w:t>
                  </w:r>
                </w:p>
              </w:tc>
              <w:tc>
                <w:tcPr>
                  <w:tcW w:w="3260" w:type="dxa"/>
                  <w:vAlign w:val="center"/>
                </w:tcPr>
                <w:p w14:paraId="3E47F673">
                  <w:pPr>
                    <w:adjustRightInd w:val="0"/>
                    <w:snapToGrid w:val="0"/>
                    <w:spacing w:line="240" w:lineRule="auto"/>
                    <w:ind w:firstLine="0" w:firstLineChars="0"/>
                    <w:jc w:val="center"/>
                    <w:rPr>
                      <w:color w:val="auto"/>
                      <w:sz w:val="21"/>
                      <w:szCs w:val="21"/>
                    </w:rPr>
                  </w:pPr>
                  <w:r>
                    <w:rPr>
                      <w:color w:val="auto"/>
                      <w:sz w:val="21"/>
                      <w:szCs w:val="21"/>
                    </w:rPr>
                    <w:t>依据《中华人民共和国水污染防治法》、《饮用水水源保护区污染防治管理规定》、《中华人民共和国水法》、《地下水管理条例》进行管理。</w:t>
                  </w:r>
                </w:p>
              </w:tc>
              <w:tc>
                <w:tcPr>
                  <w:tcW w:w="2687" w:type="dxa"/>
                  <w:vAlign w:val="center"/>
                </w:tcPr>
                <w:p w14:paraId="2D16BAA3">
                  <w:pPr>
                    <w:adjustRightInd w:val="0"/>
                    <w:snapToGrid w:val="0"/>
                    <w:spacing w:line="240" w:lineRule="auto"/>
                    <w:ind w:firstLine="0" w:firstLineChars="0"/>
                    <w:jc w:val="center"/>
                    <w:rPr>
                      <w:color w:val="auto"/>
                      <w:sz w:val="21"/>
                      <w:szCs w:val="21"/>
                    </w:rPr>
                  </w:pPr>
                  <w:r>
                    <w:rPr>
                      <w:b/>
                      <w:bCs/>
                      <w:color w:val="auto"/>
                      <w:sz w:val="21"/>
                      <w:szCs w:val="21"/>
                    </w:rPr>
                    <w:t>符合要求：</w:t>
                  </w:r>
                  <w:r>
                    <w:rPr>
                      <w:color w:val="auto"/>
                      <w:sz w:val="21"/>
                      <w:szCs w:val="21"/>
                    </w:rPr>
                    <w:t>项目位于江川区县城区范围内，用地范围不涉及饮用水源保护区。</w:t>
                  </w:r>
                </w:p>
              </w:tc>
            </w:tr>
            <w:tr w14:paraId="24BF9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794" w:type="dxa"/>
                  <w:vAlign w:val="center"/>
                </w:tcPr>
                <w:p w14:paraId="34EDA31B">
                  <w:pPr>
                    <w:adjustRightInd w:val="0"/>
                    <w:snapToGrid w:val="0"/>
                    <w:spacing w:line="240" w:lineRule="auto"/>
                    <w:ind w:firstLine="0" w:firstLineChars="0"/>
                    <w:jc w:val="center"/>
                    <w:rPr>
                      <w:color w:val="auto"/>
                      <w:sz w:val="21"/>
                      <w:szCs w:val="21"/>
                    </w:rPr>
                  </w:pPr>
                  <w:r>
                    <w:rPr>
                      <w:color w:val="auto"/>
                      <w:sz w:val="21"/>
                      <w:szCs w:val="21"/>
                    </w:rPr>
                    <w:t>各县（区）一般管控单元</w:t>
                  </w:r>
                </w:p>
              </w:tc>
              <w:tc>
                <w:tcPr>
                  <w:tcW w:w="1134" w:type="dxa"/>
                  <w:vAlign w:val="center"/>
                </w:tcPr>
                <w:p w14:paraId="2F14E010">
                  <w:pPr>
                    <w:adjustRightInd w:val="0"/>
                    <w:snapToGrid w:val="0"/>
                    <w:spacing w:line="240" w:lineRule="auto"/>
                    <w:ind w:firstLine="0" w:firstLineChars="0"/>
                    <w:jc w:val="center"/>
                    <w:rPr>
                      <w:color w:val="auto"/>
                      <w:sz w:val="21"/>
                      <w:szCs w:val="21"/>
                    </w:rPr>
                  </w:pPr>
                  <w:r>
                    <w:rPr>
                      <w:color w:val="auto"/>
                      <w:sz w:val="21"/>
                      <w:szCs w:val="21"/>
                    </w:rPr>
                    <w:t>空间布局约束</w:t>
                  </w:r>
                </w:p>
              </w:tc>
              <w:tc>
                <w:tcPr>
                  <w:tcW w:w="3260" w:type="dxa"/>
                  <w:vAlign w:val="center"/>
                </w:tcPr>
                <w:p w14:paraId="4745758A">
                  <w:pPr>
                    <w:adjustRightInd w:val="0"/>
                    <w:snapToGrid w:val="0"/>
                    <w:spacing w:line="240" w:lineRule="auto"/>
                    <w:ind w:firstLine="0" w:firstLineChars="0"/>
                    <w:jc w:val="center"/>
                    <w:rPr>
                      <w:color w:val="auto"/>
                      <w:sz w:val="21"/>
                      <w:szCs w:val="21"/>
                    </w:rPr>
                  </w:pPr>
                  <w:r>
                    <w:rPr>
                      <w:color w:val="auto"/>
                      <w:sz w:val="21"/>
                      <w:szCs w:val="21"/>
                    </w:rPr>
                    <w:t>落实生态环境保护基本要求，项目建设和运行应满足产业准入、总量控制、排放标准等管理规定。</w:t>
                  </w:r>
                </w:p>
              </w:tc>
              <w:tc>
                <w:tcPr>
                  <w:tcW w:w="2687" w:type="dxa"/>
                  <w:vAlign w:val="center"/>
                </w:tcPr>
                <w:p w14:paraId="32D6C110">
                  <w:pPr>
                    <w:adjustRightInd w:val="0"/>
                    <w:snapToGrid w:val="0"/>
                    <w:spacing w:line="240" w:lineRule="auto"/>
                    <w:ind w:firstLine="0" w:firstLineChars="0"/>
                    <w:jc w:val="center"/>
                    <w:rPr>
                      <w:color w:val="auto"/>
                      <w:sz w:val="21"/>
                      <w:szCs w:val="21"/>
                    </w:rPr>
                  </w:pPr>
                  <w:r>
                    <w:rPr>
                      <w:b/>
                      <w:bCs/>
                      <w:color w:val="auto"/>
                      <w:sz w:val="21"/>
                      <w:szCs w:val="21"/>
                    </w:rPr>
                    <w:t>符合要求：</w:t>
                  </w:r>
                  <w:r>
                    <w:rPr>
                      <w:color w:val="auto"/>
                      <w:sz w:val="21"/>
                      <w:szCs w:val="21"/>
                    </w:rPr>
                    <w:t>项目属于《产业结构调整目录（2019年本）》中鼓励类项目，符合产业准入，总量控制、排放标准满足相关规定。</w:t>
                  </w:r>
                </w:p>
              </w:tc>
            </w:tr>
          </w:tbl>
          <w:p w14:paraId="6875DDFA">
            <w:pPr>
              <w:widowControl/>
              <w:ind w:firstLine="482"/>
              <w:jc w:val="left"/>
              <w:rPr>
                <w:b/>
                <w:bCs/>
                <w:color w:val="auto"/>
                <w:kern w:val="0"/>
                <w:szCs w:val="24"/>
                <w:lang w:bidi="ar"/>
              </w:rPr>
            </w:pPr>
            <w:r>
              <w:rPr>
                <w:b/>
                <w:bCs/>
                <w:color w:val="auto"/>
                <w:kern w:val="0"/>
                <w:szCs w:val="24"/>
                <w:lang w:bidi="ar"/>
              </w:rPr>
              <w:t>D、重点管控单元生态环境准入清单</w:t>
            </w:r>
          </w:p>
          <w:p w14:paraId="7A97202C">
            <w:pPr>
              <w:widowControl/>
              <w:ind w:firstLine="480"/>
              <w:jc w:val="left"/>
              <w:rPr>
                <w:color w:val="auto"/>
              </w:rPr>
            </w:pPr>
            <w:r>
              <w:rPr>
                <w:color w:val="auto"/>
              </w:rPr>
              <w:t>项目与重点管控单元生态环境准入清单要求对照如下：项目位于玉溪市江川区星云街道湖滨路北段14号</w:t>
            </w:r>
            <w:r>
              <w:rPr>
                <w:rFonts w:hint="eastAsia"/>
                <w:color w:val="auto"/>
                <w:lang w:val="en-US" w:eastAsia="zh-CN"/>
              </w:rPr>
              <w:t>及</w:t>
            </w:r>
            <w:r>
              <w:rPr>
                <w:rFonts w:hint="eastAsia" w:eastAsia="宋体"/>
                <w:color w:val="auto"/>
                <w:lang w:val="en-US" w:eastAsia="zh-CN"/>
              </w:rPr>
              <w:t>玉溪市江川区江城镇振兴街53号</w:t>
            </w:r>
            <w:r>
              <w:rPr>
                <w:color w:val="auto"/>
              </w:rPr>
              <w:t>属于江川区县城城镇生活污染重点管控单元，与管控要求符合性见表1-5。</w:t>
            </w:r>
          </w:p>
          <w:p w14:paraId="379C6DB7">
            <w:pPr>
              <w:pStyle w:val="2"/>
              <w:jc w:val="center"/>
              <w:rPr>
                <w:b/>
                <w:color w:val="auto"/>
                <w:kern w:val="2"/>
                <w:sz w:val="21"/>
                <w:szCs w:val="21"/>
              </w:rPr>
            </w:pPr>
            <w:r>
              <w:rPr>
                <w:b/>
                <w:color w:val="auto"/>
                <w:kern w:val="2"/>
                <w:sz w:val="21"/>
                <w:szCs w:val="21"/>
              </w:rPr>
              <w:t>表1-5本项目与重点管控单元生态环境准入清单对照表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3"/>
              <w:gridCol w:w="968"/>
              <w:gridCol w:w="859"/>
              <w:gridCol w:w="2509"/>
              <w:gridCol w:w="3014"/>
            </w:tblGrid>
            <w:tr w14:paraId="62956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83" w:type="dxa"/>
                  <w:vAlign w:val="center"/>
                </w:tcPr>
                <w:p w14:paraId="1D1F1789">
                  <w:pPr>
                    <w:pStyle w:val="2"/>
                    <w:jc w:val="center"/>
                    <w:rPr>
                      <w:color w:val="auto"/>
                      <w:sz w:val="21"/>
                      <w:szCs w:val="21"/>
                    </w:rPr>
                  </w:pPr>
                  <w:r>
                    <w:rPr>
                      <w:b/>
                      <w:color w:val="auto"/>
                      <w:kern w:val="2"/>
                      <w:sz w:val="21"/>
                      <w:szCs w:val="21"/>
                    </w:rPr>
                    <w:t>单元名称</w:t>
                  </w:r>
                </w:p>
              </w:tc>
              <w:tc>
                <w:tcPr>
                  <w:tcW w:w="968" w:type="dxa"/>
                  <w:vAlign w:val="center"/>
                </w:tcPr>
                <w:p w14:paraId="69292D87">
                  <w:pPr>
                    <w:pStyle w:val="2"/>
                    <w:jc w:val="center"/>
                    <w:rPr>
                      <w:b/>
                      <w:color w:val="auto"/>
                      <w:kern w:val="2"/>
                      <w:sz w:val="21"/>
                      <w:szCs w:val="21"/>
                    </w:rPr>
                  </w:pPr>
                  <w:r>
                    <w:rPr>
                      <w:b/>
                      <w:color w:val="auto"/>
                      <w:kern w:val="2"/>
                      <w:sz w:val="21"/>
                      <w:szCs w:val="21"/>
                    </w:rPr>
                    <w:t>管控单元分类</w:t>
                  </w:r>
                </w:p>
              </w:tc>
              <w:tc>
                <w:tcPr>
                  <w:tcW w:w="3368" w:type="dxa"/>
                  <w:gridSpan w:val="2"/>
                  <w:vAlign w:val="center"/>
                </w:tcPr>
                <w:p w14:paraId="3478468A">
                  <w:pPr>
                    <w:pStyle w:val="2"/>
                    <w:jc w:val="center"/>
                    <w:rPr>
                      <w:b/>
                      <w:color w:val="auto"/>
                      <w:kern w:val="2"/>
                      <w:sz w:val="21"/>
                      <w:szCs w:val="21"/>
                    </w:rPr>
                  </w:pPr>
                  <w:r>
                    <w:rPr>
                      <w:b/>
                      <w:color w:val="auto"/>
                      <w:kern w:val="2"/>
                      <w:sz w:val="21"/>
                      <w:szCs w:val="21"/>
                    </w:rPr>
                    <w:t>管控要求</w:t>
                  </w:r>
                </w:p>
              </w:tc>
              <w:tc>
                <w:tcPr>
                  <w:tcW w:w="3014" w:type="dxa"/>
                  <w:vAlign w:val="center"/>
                </w:tcPr>
                <w:p w14:paraId="3DCC1E2A">
                  <w:pPr>
                    <w:pStyle w:val="2"/>
                    <w:jc w:val="center"/>
                    <w:rPr>
                      <w:b/>
                      <w:color w:val="auto"/>
                      <w:kern w:val="2"/>
                      <w:sz w:val="21"/>
                      <w:szCs w:val="21"/>
                    </w:rPr>
                  </w:pPr>
                  <w:r>
                    <w:rPr>
                      <w:b/>
                      <w:color w:val="auto"/>
                      <w:kern w:val="2"/>
                      <w:sz w:val="21"/>
                      <w:szCs w:val="21"/>
                    </w:rPr>
                    <w:t>本项目对照情况</w:t>
                  </w:r>
                </w:p>
              </w:tc>
            </w:tr>
            <w:tr w14:paraId="33BB9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983" w:type="dxa"/>
                  <w:vMerge w:val="restart"/>
                  <w:vAlign w:val="center"/>
                </w:tcPr>
                <w:p w14:paraId="1218EE00">
                  <w:pPr>
                    <w:adjustRightInd w:val="0"/>
                    <w:snapToGrid w:val="0"/>
                    <w:spacing w:line="240" w:lineRule="auto"/>
                    <w:ind w:firstLine="0" w:firstLineChars="0"/>
                    <w:jc w:val="center"/>
                    <w:rPr>
                      <w:color w:val="auto"/>
                      <w:sz w:val="21"/>
                      <w:szCs w:val="21"/>
                    </w:rPr>
                  </w:pPr>
                  <w:r>
                    <w:rPr>
                      <w:color w:val="auto"/>
                      <w:sz w:val="21"/>
                      <w:szCs w:val="21"/>
                    </w:rPr>
                    <w:t>江川区县城城镇生活污染重点管控单元</w:t>
                  </w:r>
                </w:p>
              </w:tc>
              <w:tc>
                <w:tcPr>
                  <w:tcW w:w="968" w:type="dxa"/>
                  <w:vMerge w:val="restart"/>
                  <w:vAlign w:val="center"/>
                </w:tcPr>
                <w:p w14:paraId="2BA68D8F">
                  <w:pPr>
                    <w:adjustRightInd w:val="0"/>
                    <w:snapToGrid w:val="0"/>
                    <w:spacing w:line="240" w:lineRule="auto"/>
                    <w:ind w:firstLine="0" w:firstLineChars="0"/>
                    <w:jc w:val="center"/>
                    <w:rPr>
                      <w:color w:val="auto"/>
                      <w:sz w:val="21"/>
                      <w:szCs w:val="21"/>
                    </w:rPr>
                  </w:pPr>
                  <w:r>
                    <w:rPr>
                      <w:color w:val="auto"/>
                      <w:sz w:val="21"/>
                      <w:szCs w:val="21"/>
                    </w:rPr>
                    <w:t>重点管控单元</w:t>
                  </w:r>
                </w:p>
              </w:tc>
              <w:tc>
                <w:tcPr>
                  <w:tcW w:w="859" w:type="dxa"/>
                  <w:vAlign w:val="center"/>
                </w:tcPr>
                <w:p w14:paraId="57C867D6">
                  <w:pPr>
                    <w:adjustRightInd w:val="0"/>
                    <w:snapToGrid w:val="0"/>
                    <w:spacing w:line="240" w:lineRule="auto"/>
                    <w:ind w:firstLine="0" w:firstLineChars="0"/>
                    <w:jc w:val="center"/>
                    <w:rPr>
                      <w:color w:val="auto"/>
                      <w:sz w:val="21"/>
                      <w:szCs w:val="21"/>
                    </w:rPr>
                  </w:pPr>
                  <w:r>
                    <w:rPr>
                      <w:color w:val="auto"/>
                      <w:sz w:val="21"/>
                      <w:szCs w:val="21"/>
                    </w:rPr>
                    <w:t>空间布局约束</w:t>
                  </w:r>
                </w:p>
              </w:tc>
              <w:tc>
                <w:tcPr>
                  <w:tcW w:w="2509" w:type="dxa"/>
                  <w:vAlign w:val="center"/>
                </w:tcPr>
                <w:p w14:paraId="2CC5B5ED">
                  <w:pPr>
                    <w:adjustRightInd w:val="0"/>
                    <w:snapToGrid w:val="0"/>
                    <w:spacing w:line="240" w:lineRule="auto"/>
                    <w:ind w:firstLine="0" w:firstLineChars="0"/>
                    <w:jc w:val="left"/>
                    <w:rPr>
                      <w:color w:val="auto"/>
                      <w:sz w:val="21"/>
                      <w:szCs w:val="21"/>
                    </w:rPr>
                  </w:pPr>
                  <w:r>
                    <w:rPr>
                      <w:color w:val="auto"/>
                      <w:sz w:val="21"/>
                      <w:szCs w:val="21"/>
                    </w:rPr>
                    <w:t>1.禁止在人口集中地区、交通干线附近和其他依法需要特殊保护的区域内焚烧沥青、油毡、橡胶、塑料、皮革、秸秆、落叶、垃圾以及其他产生有毒有害烟尘和恶臭气体的物质。</w:t>
                  </w:r>
                </w:p>
                <w:p w14:paraId="0B394AC9">
                  <w:pPr>
                    <w:adjustRightInd w:val="0"/>
                    <w:snapToGrid w:val="0"/>
                    <w:spacing w:line="240" w:lineRule="auto"/>
                    <w:ind w:firstLine="0" w:firstLineChars="0"/>
                    <w:jc w:val="left"/>
                    <w:rPr>
                      <w:color w:val="auto"/>
                      <w:sz w:val="21"/>
                      <w:szCs w:val="21"/>
                    </w:rPr>
                  </w:pPr>
                  <w:r>
                    <w:rPr>
                      <w:color w:val="auto"/>
                      <w:sz w:val="21"/>
                      <w:szCs w:val="21"/>
                    </w:rPr>
                    <w:t>2.星云湖流域内开发建设活动必须严格遵守《云南省星云湖保护条例》及星云湖保护相关规划要求。</w:t>
                  </w:r>
                </w:p>
              </w:tc>
              <w:tc>
                <w:tcPr>
                  <w:tcW w:w="3014" w:type="dxa"/>
                </w:tcPr>
                <w:p w14:paraId="59265E78">
                  <w:pPr>
                    <w:adjustRightInd w:val="0"/>
                    <w:snapToGrid w:val="0"/>
                    <w:spacing w:line="240" w:lineRule="auto"/>
                    <w:ind w:firstLine="0" w:firstLineChars="0"/>
                    <w:jc w:val="left"/>
                    <w:rPr>
                      <w:color w:val="auto"/>
                      <w:sz w:val="21"/>
                      <w:szCs w:val="21"/>
                    </w:rPr>
                  </w:pPr>
                  <w:r>
                    <w:rPr>
                      <w:b/>
                      <w:bCs/>
                      <w:color w:val="auto"/>
                      <w:sz w:val="21"/>
                      <w:szCs w:val="21"/>
                    </w:rPr>
                    <w:t>符合要求：</w:t>
                  </w:r>
                  <w:r>
                    <w:rPr>
                      <w:color w:val="auto"/>
                      <w:sz w:val="21"/>
                      <w:szCs w:val="21"/>
                    </w:rPr>
                    <w:t>本项目医疗废物及污水处理设施污泥、栅渣、废滤料等委托有资质的单位处置，生活垃圾集中收集后委托环卫部门清运处置，不自行焚烧；</w:t>
                  </w:r>
                </w:p>
                <w:p w14:paraId="746AAEB1">
                  <w:pPr>
                    <w:adjustRightInd w:val="0"/>
                    <w:snapToGrid w:val="0"/>
                    <w:spacing w:line="240" w:lineRule="auto"/>
                    <w:ind w:firstLine="0" w:firstLineChars="0"/>
                    <w:jc w:val="left"/>
                    <w:rPr>
                      <w:color w:val="auto"/>
                    </w:rPr>
                  </w:pPr>
                  <w:r>
                    <w:rPr>
                      <w:color w:val="auto"/>
                      <w:sz w:val="21"/>
                      <w:szCs w:val="21"/>
                    </w:rPr>
                    <w:t>本项目属于医疗卫生机构建设项目，不涉及重污染企业和危险化学品企业的搬迁改造。</w:t>
                  </w:r>
                </w:p>
              </w:tc>
            </w:tr>
            <w:tr w14:paraId="06A77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983" w:type="dxa"/>
                  <w:vMerge w:val="continue"/>
                  <w:vAlign w:val="center"/>
                </w:tcPr>
                <w:p w14:paraId="2FD9A9F4">
                  <w:pPr>
                    <w:adjustRightInd w:val="0"/>
                    <w:snapToGrid w:val="0"/>
                    <w:spacing w:line="240" w:lineRule="auto"/>
                    <w:ind w:firstLine="0" w:firstLineChars="0"/>
                    <w:jc w:val="center"/>
                    <w:rPr>
                      <w:color w:val="auto"/>
                      <w:sz w:val="21"/>
                      <w:szCs w:val="21"/>
                    </w:rPr>
                  </w:pPr>
                </w:p>
              </w:tc>
              <w:tc>
                <w:tcPr>
                  <w:tcW w:w="968" w:type="dxa"/>
                  <w:vMerge w:val="continue"/>
                  <w:vAlign w:val="center"/>
                </w:tcPr>
                <w:p w14:paraId="18EA1F1F">
                  <w:pPr>
                    <w:adjustRightInd w:val="0"/>
                    <w:snapToGrid w:val="0"/>
                    <w:spacing w:line="240" w:lineRule="auto"/>
                    <w:ind w:firstLine="0" w:firstLineChars="0"/>
                    <w:jc w:val="center"/>
                    <w:rPr>
                      <w:color w:val="auto"/>
                      <w:sz w:val="21"/>
                      <w:szCs w:val="21"/>
                    </w:rPr>
                  </w:pPr>
                </w:p>
              </w:tc>
              <w:tc>
                <w:tcPr>
                  <w:tcW w:w="859" w:type="dxa"/>
                  <w:vAlign w:val="center"/>
                </w:tcPr>
                <w:p w14:paraId="18F03890">
                  <w:pPr>
                    <w:adjustRightInd w:val="0"/>
                    <w:snapToGrid w:val="0"/>
                    <w:spacing w:line="240" w:lineRule="auto"/>
                    <w:ind w:firstLine="0" w:firstLineChars="0"/>
                    <w:jc w:val="center"/>
                    <w:rPr>
                      <w:color w:val="auto"/>
                      <w:sz w:val="21"/>
                      <w:szCs w:val="21"/>
                    </w:rPr>
                  </w:pPr>
                  <w:r>
                    <w:rPr>
                      <w:color w:val="auto"/>
                      <w:sz w:val="21"/>
                      <w:szCs w:val="21"/>
                    </w:rPr>
                    <w:t>江川区污染物排放管控</w:t>
                  </w:r>
                </w:p>
              </w:tc>
              <w:tc>
                <w:tcPr>
                  <w:tcW w:w="2509" w:type="dxa"/>
                  <w:vAlign w:val="center"/>
                </w:tcPr>
                <w:p w14:paraId="7827512C">
                  <w:pPr>
                    <w:adjustRightInd w:val="0"/>
                    <w:snapToGrid w:val="0"/>
                    <w:spacing w:line="240" w:lineRule="auto"/>
                    <w:ind w:firstLine="0" w:firstLineChars="0"/>
                    <w:jc w:val="left"/>
                    <w:rPr>
                      <w:color w:val="auto"/>
                      <w:sz w:val="21"/>
                      <w:szCs w:val="21"/>
                    </w:rPr>
                  </w:pPr>
                  <w:r>
                    <w:rPr>
                      <w:color w:val="auto"/>
                      <w:sz w:val="21"/>
                      <w:szCs w:val="21"/>
                    </w:rPr>
                    <w:t>1.现有城镇污水收集管网应逐步扩大覆盖范围，加快完善星云湖流域城镇污水处理设施及配套管网建设。现有城镇污水处理设施收集处理率确保不低于90%。2.现有城镇污水处理设施确保稳定达到《城镇污水处理厂污染物排放标准》（GB18918－2002）一级标准的A标准。3.禁止生产、销售、使用含磷洗涤用品。</w:t>
                  </w:r>
                </w:p>
              </w:tc>
              <w:tc>
                <w:tcPr>
                  <w:tcW w:w="3014" w:type="dxa"/>
                </w:tcPr>
                <w:p w14:paraId="4131C312">
                  <w:pPr>
                    <w:adjustRightInd w:val="0"/>
                    <w:snapToGrid w:val="0"/>
                    <w:spacing w:line="240" w:lineRule="auto"/>
                    <w:ind w:firstLine="0" w:firstLineChars="0"/>
                    <w:jc w:val="left"/>
                    <w:rPr>
                      <w:color w:val="auto"/>
                    </w:rPr>
                  </w:pPr>
                  <w:r>
                    <w:rPr>
                      <w:b/>
                      <w:bCs/>
                      <w:color w:val="auto"/>
                      <w:sz w:val="21"/>
                      <w:szCs w:val="21"/>
                    </w:rPr>
                    <w:t>符合要求：</w:t>
                  </w:r>
                  <w:r>
                    <w:rPr>
                      <w:color w:val="auto"/>
                      <w:sz w:val="21"/>
                      <w:szCs w:val="20"/>
                    </w:rPr>
                    <w:t>项目</w:t>
                  </w:r>
                  <w:r>
                    <w:rPr>
                      <w:rFonts w:hint="eastAsia"/>
                      <w:color w:val="auto"/>
                      <w:sz w:val="21"/>
                      <w:szCs w:val="20"/>
                      <w:lang w:val="en-US" w:eastAsia="zh-CN"/>
                    </w:rPr>
                    <w:t>江川区医共体总院</w:t>
                  </w:r>
                  <w:r>
                    <w:rPr>
                      <w:color w:val="auto"/>
                      <w:sz w:val="21"/>
                      <w:szCs w:val="20"/>
                    </w:rPr>
                    <w:t>废水经污水处理站处理达标后排入市政管网，进入星云湖南片区污水处理厂</w:t>
                  </w:r>
                  <w:r>
                    <w:rPr>
                      <w:rFonts w:hint="eastAsia"/>
                      <w:color w:val="auto"/>
                      <w:sz w:val="21"/>
                      <w:szCs w:val="20"/>
                      <w:lang w:eastAsia="zh-CN"/>
                    </w:rPr>
                    <w:t>；</w:t>
                  </w:r>
                  <w:r>
                    <w:rPr>
                      <w:rFonts w:hint="eastAsia"/>
                      <w:color w:val="auto"/>
                      <w:sz w:val="21"/>
                      <w:szCs w:val="20"/>
                      <w:lang w:val="en-US" w:eastAsia="zh-CN"/>
                    </w:rPr>
                    <w:t>江城镇卫生院污水经污水处理站处理后回用于绿化，不外排</w:t>
                  </w:r>
                  <w:r>
                    <w:rPr>
                      <w:color w:val="auto"/>
                      <w:sz w:val="21"/>
                      <w:szCs w:val="20"/>
                    </w:rPr>
                    <w:t>。本项目属于医疗卫生机构建设项目，不涉及生产、销售、使用含磷洗涤用品</w:t>
                  </w:r>
                </w:p>
              </w:tc>
            </w:tr>
            <w:tr w14:paraId="00FA1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983" w:type="dxa"/>
                  <w:vMerge w:val="continue"/>
                  <w:vAlign w:val="center"/>
                </w:tcPr>
                <w:p w14:paraId="57F02600">
                  <w:pPr>
                    <w:adjustRightInd w:val="0"/>
                    <w:snapToGrid w:val="0"/>
                    <w:spacing w:line="240" w:lineRule="auto"/>
                    <w:ind w:firstLine="0" w:firstLineChars="0"/>
                    <w:jc w:val="center"/>
                    <w:rPr>
                      <w:color w:val="auto"/>
                      <w:sz w:val="21"/>
                      <w:szCs w:val="21"/>
                    </w:rPr>
                  </w:pPr>
                </w:p>
              </w:tc>
              <w:tc>
                <w:tcPr>
                  <w:tcW w:w="968" w:type="dxa"/>
                  <w:vMerge w:val="continue"/>
                  <w:vAlign w:val="center"/>
                </w:tcPr>
                <w:p w14:paraId="52B2539A">
                  <w:pPr>
                    <w:adjustRightInd w:val="0"/>
                    <w:snapToGrid w:val="0"/>
                    <w:spacing w:line="240" w:lineRule="auto"/>
                    <w:ind w:firstLine="0" w:firstLineChars="0"/>
                    <w:jc w:val="center"/>
                    <w:rPr>
                      <w:color w:val="auto"/>
                      <w:sz w:val="21"/>
                      <w:szCs w:val="21"/>
                    </w:rPr>
                  </w:pPr>
                </w:p>
              </w:tc>
              <w:tc>
                <w:tcPr>
                  <w:tcW w:w="859" w:type="dxa"/>
                  <w:vAlign w:val="center"/>
                </w:tcPr>
                <w:p w14:paraId="6DE31503">
                  <w:pPr>
                    <w:adjustRightInd w:val="0"/>
                    <w:snapToGrid w:val="0"/>
                    <w:spacing w:line="240" w:lineRule="auto"/>
                    <w:ind w:firstLine="0" w:firstLineChars="0"/>
                    <w:jc w:val="center"/>
                    <w:rPr>
                      <w:color w:val="auto"/>
                      <w:sz w:val="21"/>
                      <w:szCs w:val="21"/>
                    </w:rPr>
                  </w:pPr>
                  <w:r>
                    <w:rPr>
                      <w:color w:val="auto"/>
                      <w:sz w:val="21"/>
                      <w:szCs w:val="21"/>
                    </w:rPr>
                    <w:t>江川</w:t>
                  </w:r>
                </w:p>
                <w:p w14:paraId="14C99D9E">
                  <w:pPr>
                    <w:adjustRightInd w:val="0"/>
                    <w:snapToGrid w:val="0"/>
                    <w:spacing w:line="240" w:lineRule="auto"/>
                    <w:ind w:firstLine="0" w:firstLineChars="0"/>
                    <w:jc w:val="center"/>
                    <w:rPr>
                      <w:color w:val="auto"/>
                      <w:sz w:val="21"/>
                      <w:szCs w:val="21"/>
                    </w:rPr>
                  </w:pPr>
                  <w:r>
                    <w:rPr>
                      <w:color w:val="auto"/>
                      <w:sz w:val="21"/>
                      <w:szCs w:val="21"/>
                    </w:rPr>
                    <w:t>区环</w:t>
                  </w:r>
                </w:p>
                <w:p w14:paraId="43DFF823">
                  <w:pPr>
                    <w:adjustRightInd w:val="0"/>
                    <w:snapToGrid w:val="0"/>
                    <w:spacing w:line="240" w:lineRule="auto"/>
                    <w:ind w:firstLine="0" w:firstLineChars="0"/>
                    <w:jc w:val="center"/>
                    <w:rPr>
                      <w:color w:val="auto"/>
                      <w:sz w:val="21"/>
                      <w:szCs w:val="21"/>
                    </w:rPr>
                  </w:pPr>
                  <w:r>
                    <w:rPr>
                      <w:color w:val="auto"/>
                      <w:sz w:val="21"/>
                      <w:szCs w:val="21"/>
                    </w:rPr>
                    <w:t>境风</w:t>
                  </w:r>
                </w:p>
                <w:p w14:paraId="7954763B">
                  <w:pPr>
                    <w:adjustRightInd w:val="0"/>
                    <w:snapToGrid w:val="0"/>
                    <w:spacing w:line="240" w:lineRule="auto"/>
                    <w:ind w:firstLine="0" w:firstLineChars="0"/>
                    <w:jc w:val="center"/>
                    <w:rPr>
                      <w:color w:val="auto"/>
                      <w:sz w:val="21"/>
                      <w:szCs w:val="21"/>
                    </w:rPr>
                  </w:pPr>
                  <w:r>
                    <w:rPr>
                      <w:color w:val="auto"/>
                      <w:sz w:val="21"/>
                      <w:szCs w:val="21"/>
                    </w:rPr>
                    <w:t>险防</w:t>
                  </w:r>
                </w:p>
                <w:p w14:paraId="1E519FC3">
                  <w:pPr>
                    <w:adjustRightInd w:val="0"/>
                    <w:snapToGrid w:val="0"/>
                    <w:spacing w:line="240" w:lineRule="auto"/>
                    <w:ind w:firstLine="0" w:firstLineChars="0"/>
                    <w:jc w:val="center"/>
                    <w:rPr>
                      <w:color w:val="auto"/>
                      <w:sz w:val="21"/>
                      <w:szCs w:val="21"/>
                    </w:rPr>
                  </w:pPr>
                  <w:r>
                    <w:rPr>
                      <w:color w:val="auto"/>
                      <w:sz w:val="21"/>
                      <w:szCs w:val="21"/>
                    </w:rPr>
                    <w:t>控</w:t>
                  </w:r>
                </w:p>
              </w:tc>
              <w:tc>
                <w:tcPr>
                  <w:tcW w:w="2509" w:type="dxa"/>
                  <w:vAlign w:val="center"/>
                </w:tcPr>
                <w:p w14:paraId="40C2472E">
                  <w:pPr>
                    <w:adjustRightInd w:val="0"/>
                    <w:snapToGrid w:val="0"/>
                    <w:spacing w:line="240" w:lineRule="auto"/>
                    <w:ind w:firstLine="0" w:firstLineChars="0"/>
                    <w:jc w:val="left"/>
                    <w:rPr>
                      <w:color w:val="auto"/>
                      <w:sz w:val="21"/>
                      <w:szCs w:val="21"/>
                    </w:rPr>
                  </w:pPr>
                  <w:r>
                    <w:rPr>
                      <w:color w:val="auto"/>
                      <w:sz w:val="21"/>
                      <w:szCs w:val="21"/>
                    </w:rPr>
                    <w:t>1.禁止建设排放重金属、“三致物”、剧毒物质污染物的项目，严格控制持久性有机污染物的项目。2.居民点与工业集中区各片区之间应保留足够的安全防护距离。</w:t>
                  </w:r>
                </w:p>
              </w:tc>
              <w:tc>
                <w:tcPr>
                  <w:tcW w:w="3014" w:type="dxa"/>
                </w:tcPr>
                <w:p w14:paraId="72BB9FC2">
                  <w:pPr>
                    <w:adjustRightInd w:val="0"/>
                    <w:snapToGrid w:val="0"/>
                    <w:spacing w:line="240" w:lineRule="auto"/>
                    <w:ind w:firstLine="0" w:firstLineChars="0"/>
                    <w:jc w:val="left"/>
                    <w:rPr>
                      <w:b/>
                      <w:bCs/>
                      <w:color w:val="auto"/>
                      <w:sz w:val="21"/>
                      <w:szCs w:val="21"/>
                    </w:rPr>
                  </w:pPr>
                  <w:r>
                    <w:rPr>
                      <w:b/>
                      <w:bCs/>
                      <w:color w:val="auto"/>
                      <w:sz w:val="21"/>
                      <w:szCs w:val="21"/>
                    </w:rPr>
                    <w:t>符合要求：</w:t>
                  </w:r>
                  <w:r>
                    <w:rPr>
                      <w:color w:val="auto"/>
                      <w:sz w:val="21"/>
                      <w:szCs w:val="21"/>
                    </w:rPr>
                    <w:t>本项目不涉及重金属、“三致物”、剧毒物质污染物、持久性有机污染物的排放。</w:t>
                  </w:r>
                </w:p>
              </w:tc>
            </w:tr>
            <w:tr w14:paraId="58CF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83" w:type="dxa"/>
                  <w:vMerge w:val="continue"/>
                  <w:vAlign w:val="center"/>
                </w:tcPr>
                <w:p w14:paraId="39C3FDB1">
                  <w:pPr>
                    <w:adjustRightInd w:val="0"/>
                    <w:snapToGrid w:val="0"/>
                    <w:spacing w:line="240" w:lineRule="auto"/>
                    <w:ind w:firstLine="0" w:firstLineChars="0"/>
                    <w:jc w:val="center"/>
                    <w:rPr>
                      <w:color w:val="auto"/>
                      <w:sz w:val="21"/>
                      <w:szCs w:val="21"/>
                    </w:rPr>
                  </w:pPr>
                </w:p>
              </w:tc>
              <w:tc>
                <w:tcPr>
                  <w:tcW w:w="968" w:type="dxa"/>
                  <w:vMerge w:val="continue"/>
                  <w:vAlign w:val="center"/>
                </w:tcPr>
                <w:p w14:paraId="7FFA754B">
                  <w:pPr>
                    <w:adjustRightInd w:val="0"/>
                    <w:snapToGrid w:val="0"/>
                    <w:spacing w:line="240" w:lineRule="auto"/>
                    <w:ind w:firstLine="0" w:firstLineChars="0"/>
                    <w:jc w:val="center"/>
                    <w:rPr>
                      <w:color w:val="auto"/>
                      <w:sz w:val="21"/>
                      <w:szCs w:val="21"/>
                    </w:rPr>
                  </w:pPr>
                </w:p>
              </w:tc>
              <w:tc>
                <w:tcPr>
                  <w:tcW w:w="859" w:type="dxa"/>
                  <w:vAlign w:val="center"/>
                </w:tcPr>
                <w:p w14:paraId="2D9B67B5">
                  <w:pPr>
                    <w:adjustRightInd w:val="0"/>
                    <w:snapToGrid w:val="0"/>
                    <w:spacing w:line="240" w:lineRule="auto"/>
                    <w:ind w:firstLine="0" w:firstLineChars="0"/>
                    <w:jc w:val="center"/>
                    <w:rPr>
                      <w:color w:val="auto"/>
                      <w:sz w:val="21"/>
                      <w:szCs w:val="21"/>
                    </w:rPr>
                  </w:pPr>
                  <w:r>
                    <w:rPr>
                      <w:color w:val="auto"/>
                      <w:sz w:val="21"/>
                      <w:szCs w:val="21"/>
                    </w:rPr>
                    <w:t>江川区资源开发效率要求</w:t>
                  </w:r>
                </w:p>
              </w:tc>
              <w:tc>
                <w:tcPr>
                  <w:tcW w:w="2509" w:type="dxa"/>
                  <w:vAlign w:val="center"/>
                </w:tcPr>
                <w:p w14:paraId="69FBD4A1">
                  <w:pPr>
                    <w:adjustRightInd w:val="0"/>
                    <w:snapToGrid w:val="0"/>
                    <w:spacing w:line="240" w:lineRule="auto"/>
                    <w:ind w:firstLine="0" w:firstLineChars="0"/>
                    <w:jc w:val="left"/>
                    <w:rPr>
                      <w:color w:val="auto"/>
                      <w:sz w:val="21"/>
                      <w:szCs w:val="21"/>
                    </w:rPr>
                  </w:pPr>
                  <w:r>
                    <w:rPr>
                      <w:color w:val="auto"/>
                      <w:sz w:val="21"/>
                      <w:szCs w:val="21"/>
                    </w:rPr>
                    <w:t>1.完善再生利用设施及其管道，污水处理厂处理达标后出水优先回用于城市绿化。</w:t>
                  </w:r>
                </w:p>
                <w:p w14:paraId="73B79016">
                  <w:pPr>
                    <w:adjustRightInd w:val="0"/>
                    <w:snapToGrid w:val="0"/>
                    <w:spacing w:line="240" w:lineRule="auto"/>
                    <w:ind w:firstLine="0" w:firstLineChars="0"/>
                    <w:jc w:val="left"/>
                    <w:rPr>
                      <w:color w:val="auto"/>
                      <w:sz w:val="21"/>
                      <w:szCs w:val="21"/>
                    </w:rPr>
                  </w:pPr>
                  <w:r>
                    <w:rPr>
                      <w:color w:val="auto"/>
                      <w:sz w:val="21"/>
                      <w:szCs w:val="21"/>
                    </w:rPr>
                    <w:t>2.推进“煤改气”、“煤改电”。</w:t>
                  </w:r>
                </w:p>
              </w:tc>
              <w:tc>
                <w:tcPr>
                  <w:tcW w:w="3014" w:type="dxa"/>
                </w:tcPr>
                <w:p w14:paraId="5DBE96A4">
                  <w:pPr>
                    <w:adjustRightInd w:val="0"/>
                    <w:snapToGrid w:val="0"/>
                    <w:spacing w:line="240" w:lineRule="auto"/>
                    <w:ind w:firstLine="0" w:firstLineChars="0"/>
                    <w:jc w:val="center"/>
                    <w:rPr>
                      <w:color w:val="auto"/>
                      <w:sz w:val="21"/>
                      <w:szCs w:val="21"/>
                    </w:rPr>
                  </w:pPr>
                  <w:r>
                    <w:rPr>
                      <w:b/>
                      <w:bCs/>
                      <w:color w:val="auto"/>
                      <w:sz w:val="21"/>
                      <w:szCs w:val="21"/>
                    </w:rPr>
                    <w:t>符合要求：</w:t>
                  </w:r>
                  <w:r>
                    <w:rPr>
                      <w:color w:val="auto"/>
                      <w:sz w:val="21"/>
                      <w:szCs w:val="21"/>
                    </w:rPr>
                    <w:t>项目</w:t>
                  </w:r>
                  <w:r>
                    <w:rPr>
                      <w:rFonts w:hint="eastAsia"/>
                      <w:color w:val="auto"/>
                      <w:sz w:val="21"/>
                      <w:szCs w:val="21"/>
                      <w:lang w:val="en-US" w:eastAsia="zh-CN"/>
                    </w:rPr>
                    <w:t>江城镇卫生院</w:t>
                  </w:r>
                  <w:r>
                    <w:rPr>
                      <w:color w:val="auto"/>
                      <w:sz w:val="21"/>
                      <w:szCs w:val="21"/>
                    </w:rPr>
                    <w:t>废水不外排，</w:t>
                  </w:r>
                  <w:r>
                    <w:rPr>
                      <w:rFonts w:hint="eastAsia"/>
                      <w:color w:val="auto"/>
                      <w:sz w:val="21"/>
                      <w:szCs w:val="21"/>
                      <w:lang w:val="en-US" w:eastAsia="zh-CN"/>
                    </w:rPr>
                    <w:t>江川区医共体总院</w:t>
                  </w:r>
                  <w:r>
                    <w:rPr>
                      <w:color w:val="auto"/>
                      <w:sz w:val="21"/>
                      <w:szCs w:val="21"/>
                    </w:rPr>
                    <w:t>经污水处理站处理后排入市政管网进入污水处理厂</w:t>
                  </w:r>
                </w:p>
              </w:tc>
            </w:tr>
          </w:tbl>
          <w:p w14:paraId="1EFBAB9D">
            <w:pPr>
              <w:ind w:firstLine="480"/>
              <w:rPr>
                <w:color w:val="auto"/>
                <w:kern w:val="0"/>
                <w:szCs w:val="24"/>
                <w:lang w:bidi="ar"/>
              </w:rPr>
            </w:pPr>
            <w:r>
              <w:rPr>
                <w:color w:val="auto"/>
                <w:kern w:val="0"/>
                <w:szCs w:val="24"/>
                <w:lang w:bidi="ar"/>
              </w:rPr>
              <w:t>本项目满足产业准入要求，在运营期间项目采取相应的防治措施后，各类污染物能做到达标排放，建成后应严格执行本报告提出的生态环境保护要求后，对生态环境影响甚微。</w:t>
            </w:r>
          </w:p>
          <w:p w14:paraId="36EDA0DB">
            <w:pPr>
              <w:ind w:firstLine="480"/>
              <w:rPr>
                <w:rFonts w:hint="eastAsia" w:ascii="Times New Roman" w:hAnsi="Times New Roman" w:eastAsia="宋体" w:cs="Times New Roman"/>
                <w:color w:val="auto"/>
                <w:kern w:val="0"/>
                <w:szCs w:val="24"/>
                <w:lang w:val="en-US" w:eastAsia="zh-CN" w:bidi="ar"/>
              </w:rPr>
            </w:pPr>
            <w:r>
              <w:rPr>
                <w:rFonts w:hint="eastAsia" w:ascii="Times New Roman" w:hAnsi="Times New Roman" w:eastAsia="宋体" w:cs="Times New Roman"/>
                <w:color w:val="auto"/>
                <w:kern w:val="0"/>
                <w:szCs w:val="24"/>
                <w:lang w:val="en-US" w:eastAsia="zh-CN" w:bidi="ar"/>
              </w:rPr>
              <w:t>根据《玉溪市生态环境局关于印发玉溪市生态环境分区管控动态更新调整方案（2023年）的通知》（玉市环〔2024〕40号）基本情况如下。</w:t>
            </w:r>
          </w:p>
          <w:p w14:paraId="3FA2B0A7">
            <w:pPr>
              <w:pStyle w:val="2"/>
              <w:jc w:val="center"/>
              <w:rPr>
                <w:b/>
                <w:color w:val="auto"/>
                <w:kern w:val="2"/>
                <w:sz w:val="21"/>
                <w:szCs w:val="21"/>
              </w:rPr>
            </w:pPr>
            <w:r>
              <w:rPr>
                <w:b/>
                <w:color w:val="auto"/>
                <w:kern w:val="2"/>
                <w:sz w:val="21"/>
                <w:szCs w:val="21"/>
              </w:rPr>
              <w:t>表1-</w:t>
            </w:r>
            <w:r>
              <w:rPr>
                <w:rFonts w:hint="eastAsia"/>
                <w:b/>
                <w:color w:val="auto"/>
                <w:kern w:val="2"/>
                <w:sz w:val="21"/>
                <w:szCs w:val="21"/>
                <w:lang w:val="en-US" w:eastAsia="zh-CN"/>
              </w:rPr>
              <w:t>6</w:t>
            </w:r>
            <w:r>
              <w:rPr>
                <w:b/>
                <w:color w:val="auto"/>
                <w:kern w:val="2"/>
                <w:sz w:val="21"/>
                <w:szCs w:val="21"/>
              </w:rPr>
              <w:t>本项目与</w:t>
            </w:r>
            <w:r>
              <w:rPr>
                <w:rFonts w:hint="eastAsia" w:ascii="Times New Roman" w:hAnsi="Times New Roman" w:eastAsia="宋体" w:cs="Times New Roman"/>
                <w:color w:val="auto"/>
                <w:kern w:val="0"/>
                <w:szCs w:val="24"/>
                <w:lang w:val="en-US" w:eastAsia="zh-CN" w:bidi="ar"/>
              </w:rPr>
              <w:t>《玉溪市生态环境局关于印发玉溪市生态环境分区管控动态更新调整方案（2023年）的通知》（玉市环〔2024〕40号）</w:t>
            </w:r>
            <w:r>
              <w:rPr>
                <w:b/>
                <w:color w:val="auto"/>
                <w:kern w:val="2"/>
                <w:sz w:val="21"/>
                <w:szCs w:val="21"/>
              </w:rPr>
              <w:t>对照表</w:t>
            </w:r>
          </w:p>
          <w:tbl>
            <w:tblPr>
              <w:tblStyle w:val="20"/>
              <w:tblpPr w:leftFromText="180" w:rightFromText="180" w:vertAnchor="text" w:horzAnchor="page" w:tblpX="133" w:tblpY="404"/>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
              <w:gridCol w:w="4421"/>
              <w:gridCol w:w="2516"/>
              <w:gridCol w:w="975"/>
            </w:tblGrid>
            <w:tr w14:paraId="7418C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0345BFCC">
                  <w:pPr>
                    <w:keepNext w:val="0"/>
                    <w:keepLines w:val="0"/>
                    <w:pageBreakBefore w:val="0"/>
                    <w:widowControl w:val="0"/>
                    <w:kinsoku/>
                    <w:wordWrap/>
                    <w:overflowPunct/>
                    <w:topLinePunct w:val="0"/>
                    <w:autoSpaceDE/>
                    <w:autoSpaceDN/>
                    <w:bidi w:val="0"/>
                    <w:adjustRightInd/>
                    <w:snapToGrid w:val="0"/>
                    <w:spacing w:before="95" w:beforeLines="30" w:after="95" w:afterLines="30" w:line="240" w:lineRule="auto"/>
                    <w:ind w:firstLine="0" w:firstLineChars="0"/>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rPr>
                    <w:t>项目</w:t>
                  </w:r>
                </w:p>
              </w:tc>
              <w:tc>
                <w:tcPr>
                  <w:tcW w:w="2493" w:type="pct"/>
                  <w:vAlign w:val="center"/>
                </w:tcPr>
                <w:p w14:paraId="12A898E6">
                  <w:pPr>
                    <w:keepNext w:val="0"/>
                    <w:keepLines w:val="0"/>
                    <w:pageBreakBefore w:val="0"/>
                    <w:widowControl w:val="0"/>
                    <w:kinsoku/>
                    <w:wordWrap/>
                    <w:overflowPunct/>
                    <w:topLinePunct w:val="0"/>
                    <w:autoSpaceDE/>
                    <w:autoSpaceDN/>
                    <w:bidi w:val="0"/>
                    <w:adjustRightInd/>
                    <w:snapToGrid w:val="0"/>
                    <w:spacing w:before="95" w:beforeLines="30" w:after="95" w:afterLines="30" w:line="240" w:lineRule="auto"/>
                    <w:ind w:firstLine="0" w:firstLineChars="0"/>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rPr>
                    <w:t>分析内容</w:t>
                  </w:r>
                </w:p>
              </w:tc>
              <w:tc>
                <w:tcPr>
                  <w:tcW w:w="1419" w:type="pct"/>
                  <w:vAlign w:val="center"/>
                </w:tcPr>
                <w:p w14:paraId="0E164C82">
                  <w:pPr>
                    <w:keepNext w:val="0"/>
                    <w:keepLines w:val="0"/>
                    <w:pageBreakBefore w:val="0"/>
                    <w:widowControl w:val="0"/>
                    <w:kinsoku/>
                    <w:wordWrap/>
                    <w:overflowPunct/>
                    <w:topLinePunct w:val="0"/>
                    <w:autoSpaceDE/>
                    <w:autoSpaceDN/>
                    <w:bidi w:val="0"/>
                    <w:adjustRightInd/>
                    <w:snapToGrid w:val="0"/>
                    <w:spacing w:before="95" w:beforeLines="30" w:after="95" w:afterLines="30" w:line="240" w:lineRule="auto"/>
                    <w:ind w:firstLine="0" w:firstLineChars="0"/>
                    <w:jc w:val="center"/>
                    <w:textAlignment w:val="auto"/>
                    <w:rPr>
                      <w:rFonts w:hint="eastAsia"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rPr>
                    <w:t>项目情况</w:t>
                  </w:r>
                </w:p>
              </w:tc>
              <w:tc>
                <w:tcPr>
                  <w:tcW w:w="547" w:type="pct"/>
                  <w:vAlign w:val="center"/>
                </w:tcPr>
                <w:p w14:paraId="27748BBF">
                  <w:pPr>
                    <w:keepNext w:val="0"/>
                    <w:keepLines w:val="0"/>
                    <w:pageBreakBefore w:val="0"/>
                    <w:widowControl w:val="0"/>
                    <w:kinsoku/>
                    <w:wordWrap/>
                    <w:overflowPunct/>
                    <w:topLinePunct w:val="0"/>
                    <w:autoSpaceDE/>
                    <w:autoSpaceDN/>
                    <w:bidi w:val="0"/>
                    <w:adjustRightInd/>
                    <w:snapToGrid w:val="0"/>
                    <w:spacing w:before="95" w:beforeLines="30" w:after="95" w:afterLines="30" w:line="240" w:lineRule="auto"/>
                    <w:ind w:firstLine="0" w:firstLineChars="0"/>
                    <w:jc w:val="center"/>
                    <w:textAlignment w:val="auto"/>
                    <w:rPr>
                      <w:rFonts w:hint="eastAsia"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lang w:eastAsia="zh-CN"/>
                    </w:rPr>
                    <w:t>符合性</w:t>
                  </w:r>
                </w:p>
              </w:tc>
            </w:tr>
            <w:tr w14:paraId="5ABDD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1BF1F6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环境管控单元调整结果</w:t>
                  </w:r>
                </w:p>
              </w:tc>
              <w:tc>
                <w:tcPr>
                  <w:tcW w:w="2493" w:type="pct"/>
                  <w:vAlign w:val="center"/>
                </w:tcPr>
                <w:p w14:paraId="6BBDC4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调整后，全市环境管控单元数量由原有的82个调整至83个。</w:t>
                  </w:r>
                </w:p>
                <w:p w14:paraId="6935CE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优先保护单元：个数不变；面积占比由49、90%调整49、68%，较原有减少0、22%。</w:t>
                  </w:r>
                </w:p>
                <w:p w14:paraId="04C992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重点管控单元：增加1个；面积占比由14、28%调整为9、57%，较原有减少4、71%。</w:t>
                  </w:r>
                </w:p>
                <w:p w14:paraId="14A556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一般管控单元：个数不变；面积占比由35、82%调整40、75%，较原有增加4、93%。</w:t>
                  </w:r>
                </w:p>
              </w:tc>
              <w:tc>
                <w:tcPr>
                  <w:tcW w:w="1419" w:type="pct"/>
                  <w:vAlign w:val="center"/>
                </w:tcPr>
                <w:p w14:paraId="6B9D7E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根据云南省生态环境厅分区管控单元查询结果，本项目江城卫生院位于江川区乡镇生活污染重点管控单元；江川区医共体总院位于江川区城区生活污染重点管控单元</w:t>
                  </w:r>
                  <w:r>
                    <w:rPr>
                      <w:rFonts w:hint="default" w:ascii="Times New Roman" w:hAnsi="Times New Roman" w:eastAsia="宋体" w:cs="Times New Roman"/>
                      <w:color w:val="auto"/>
                      <w:sz w:val="21"/>
                      <w:szCs w:val="21"/>
                      <w:highlight w:val="none"/>
                      <w:lang w:val="en-US" w:eastAsia="zh-CN"/>
                    </w:rPr>
                    <w:t>。</w:t>
                  </w:r>
                </w:p>
              </w:tc>
              <w:tc>
                <w:tcPr>
                  <w:tcW w:w="547" w:type="pct"/>
                  <w:vAlign w:val="center"/>
                </w:tcPr>
                <w:p w14:paraId="20F36F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7EA7D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129830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江川区农业农村面源污染重点管控单元符合性分析</w:t>
                  </w:r>
                </w:p>
              </w:tc>
            </w:tr>
            <w:tr w14:paraId="03F4E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0B7303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空间布局约束</w:t>
                  </w:r>
                </w:p>
              </w:tc>
              <w:tc>
                <w:tcPr>
                  <w:tcW w:w="2493" w:type="pct"/>
                  <w:vAlign w:val="center"/>
                </w:tcPr>
                <w:p w14:paraId="60BEF9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1.严禁以任何形式围垦河湖、违法占用河湖水域。</w:t>
                  </w:r>
                </w:p>
                <w:p w14:paraId="53C982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2.严格执行禁养区制度。</w:t>
                  </w:r>
                </w:p>
                <w:p w14:paraId="60B5C9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3.优化种植结构调整，缩减高耗肥耗药作物种植面积。</w:t>
                  </w:r>
                </w:p>
              </w:tc>
              <w:tc>
                <w:tcPr>
                  <w:tcW w:w="1419" w:type="pct"/>
                  <w:vAlign w:val="center"/>
                </w:tcPr>
                <w:p w14:paraId="0A84F8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1、本项目未占用河湖水域、围垦河湖</w:t>
                  </w:r>
                  <w:r>
                    <w:rPr>
                      <w:rFonts w:hint="eastAsia" w:ascii="Times New Roman" w:hAnsi="Times New Roman" w:eastAsia="宋体" w:cs="Times New Roman"/>
                      <w:color w:val="auto"/>
                      <w:sz w:val="21"/>
                      <w:szCs w:val="21"/>
                      <w:lang w:eastAsia="zh-CN"/>
                    </w:rPr>
                    <w:t>。</w:t>
                  </w:r>
                </w:p>
                <w:p w14:paraId="281A9A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2、本项目不涉及养殖。</w:t>
                  </w:r>
                </w:p>
                <w:p w14:paraId="6B467C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3、本项目不涉及农业种植结构调整。</w:t>
                  </w:r>
                </w:p>
              </w:tc>
              <w:tc>
                <w:tcPr>
                  <w:tcW w:w="547" w:type="pct"/>
                  <w:vAlign w:val="center"/>
                </w:tcPr>
                <w:p w14:paraId="5E860A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符合</w:t>
                  </w:r>
                </w:p>
              </w:tc>
            </w:tr>
            <w:tr w14:paraId="50ABC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6902C5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污染物排放管控</w:t>
                  </w:r>
                </w:p>
              </w:tc>
              <w:tc>
                <w:tcPr>
                  <w:tcW w:w="2493" w:type="pct"/>
                  <w:vAlign w:val="center"/>
                </w:tcPr>
                <w:p w14:paraId="4024E0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1.完善抚仙湖、星云湖流域农村污水处理设施及配套管网建设，完成非正规垃圾堆放点整治，实现流域内农村人居环境整治全覆盖。</w:t>
                  </w:r>
                </w:p>
                <w:p w14:paraId="02A2E1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2.开展九溪河、董炳河等东风水库流域河道整治，完善抚仙湖、星云湖湿地保护生态修复及沿湖带状调蓄系统等。</w:t>
                  </w:r>
                </w:p>
                <w:p w14:paraId="37B556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3.化肥农药减量增效，主要农作物化肥农药使用量实现负增长，从源头上削减农业面源污染负荷。</w:t>
                  </w:r>
                </w:p>
                <w:p w14:paraId="0EBF0B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4.加强畜禽粪污综合利用，实现粪污全收处、不外排。</w:t>
                  </w:r>
                </w:p>
              </w:tc>
              <w:tc>
                <w:tcPr>
                  <w:tcW w:w="1419" w:type="pct"/>
                  <w:vAlign w:val="center"/>
                </w:tcPr>
                <w:p w14:paraId="15F752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z w:val="21"/>
                      <w:szCs w:val="21"/>
                      <w:lang w:val="en-US" w:eastAsia="zh-CN"/>
                    </w:rPr>
                    <w:t>1、本项目不涉及</w:t>
                  </w:r>
                  <w:r>
                    <w:rPr>
                      <w:rFonts w:hint="eastAsia" w:ascii="Times New Roman" w:hAnsi="Times New Roman" w:eastAsia="宋体" w:cs="Times New Roman"/>
                      <w:i w:val="0"/>
                      <w:iCs w:val="0"/>
                      <w:color w:val="auto"/>
                      <w:sz w:val="21"/>
                      <w:szCs w:val="21"/>
                      <w:highlight w:val="none"/>
                      <w:lang w:val="en-US" w:eastAsia="zh-CN"/>
                    </w:rPr>
                    <w:t>。</w:t>
                  </w:r>
                </w:p>
                <w:p w14:paraId="2FB8EE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2、本项目不涉及。</w:t>
                  </w:r>
                </w:p>
                <w:p w14:paraId="462095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3、本项目不涉及。</w:t>
                  </w:r>
                </w:p>
                <w:p w14:paraId="6FA9E4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4、本项目不涉及。</w:t>
                  </w:r>
                </w:p>
              </w:tc>
              <w:tc>
                <w:tcPr>
                  <w:tcW w:w="547" w:type="pct"/>
                  <w:vAlign w:val="center"/>
                </w:tcPr>
                <w:p w14:paraId="68572C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A17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3D23DE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环境风险防控</w:t>
                  </w:r>
                </w:p>
              </w:tc>
              <w:tc>
                <w:tcPr>
                  <w:tcW w:w="2493" w:type="pct"/>
                  <w:vAlign w:val="center"/>
                </w:tcPr>
                <w:p w14:paraId="4296F1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1.开展星云湖蓝藻水华和湖泊底泥防控体系。</w:t>
                  </w:r>
                </w:p>
                <w:p w14:paraId="4F803A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2.禁止向农田灌溉渠道排放工业废水或者医疗污水。</w:t>
                  </w:r>
                </w:p>
                <w:p w14:paraId="59FBFA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3.农田灌溉用水应当符合相应的水质标准，防止土壤、地下水和农产品污染。</w:t>
                  </w:r>
                </w:p>
                <w:p w14:paraId="709393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禁止生产、销售、使用国家明令禁止的农业投入品。开展农用地土壤污染防治宣传和技术培训活动，扶持农业生产专业化服务，指导农业生产者合理使用农药、兽药、肥料、饲料、农用薄膜等农业投入品，控制农药、兽药、化肥等的使用量。</w:t>
                  </w:r>
                </w:p>
                <w:p w14:paraId="604577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5.实施农作物秸秆资源化利用，严防因秸秆露天焚烧造成区域性重污染天气。</w:t>
                  </w:r>
                </w:p>
              </w:tc>
              <w:tc>
                <w:tcPr>
                  <w:tcW w:w="1419" w:type="pct"/>
                  <w:vAlign w:val="center"/>
                </w:tcPr>
                <w:p w14:paraId="6F1C84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1、本项目不涉及；</w:t>
                  </w:r>
                </w:p>
                <w:p w14:paraId="553E94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2、本项目江川区医共体总院生活污水及医疗废水污水全部排入市政污水管网最终进入污水处理厂处理</w:t>
                  </w:r>
                  <w:r>
                    <w:rPr>
                      <w:rFonts w:hint="eastAsia" w:cs="Times New Roman"/>
                      <w:color w:val="auto"/>
                      <w:sz w:val="21"/>
                      <w:szCs w:val="21"/>
                      <w:lang w:val="en-US" w:eastAsia="zh-CN"/>
                    </w:rPr>
                    <w:t>；江城镇卫生院废水经自建污水处理站处理后回用于绿化，不外排，</w:t>
                  </w:r>
                  <w:r>
                    <w:rPr>
                      <w:rFonts w:hint="eastAsia" w:ascii="Times New Roman" w:hAnsi="Times New Roman" w:eastAsia="宋体" w:cs="Times New Roman"/>
                      <w:color w:val="auto"/>
                      <w:sz w:val="21"/>
                      <w:szCs w:val="21"/>
                      <w:lang w:val="en-US" w:eastAsia="zh-CN"/>
                    </w:rPr>
                    <w:t>不涉及；</w:t>
                  </w:r>
                </w:p>
                <w:p w14:paraId="282027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3、本项目不涉及；</w:t>
                  </w:r>
                </w:p>
                <w:p w14:paraId="70CF18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4、本项目不涉及；</w:t>
                  </w:r>
                </w:p>
                <w:p w14:paraId="3873E1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5、本项目不涉及。</w:t>
                  </w:r>
                </w:p>
              </w:tc>
              <w:tc>
                <w:tcPr>
                  <w:tcW w:w="547" w:type="pct"/>
                  <w:vAlign w:val="center"/>
                </w:tcPr>
                <w:p w14:paraId="296AE9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851D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vAlign w:val="center"/>
                </w:tcPr>
                <w:p w14:paraId="6D06F7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资源开发效率要求</w:t>
                  </w:r>
                </w:p>
              </w:tc>
              <w:tc>
                <w:tcPr>
                  <w:tcW w:w="2493" w:type="pct"/>
                  <w:vAlign w:val="center"/>
                </w:tcPr>
                <w:p w14:paraId="6A5E4B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强化农业节水增效，加强农田尾水循环利用，2035年灌溉水利用系数达到0.6。</w:t>
                  </w:r>
                </w:p>
              </w:tc>
              <w:tc>
                <w:tcPr>
                  <w:tcW w:w="1419" w:type="pct"/>
                  <w:vAlign w:val="center"/>
                </w:tcPr>
                <w:p w14:paraId="56E5FC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本项目不涉及。</w:t>
                  </w:r>
                </w:p>
              </w:tc>
              <w:tc>
                <w:tcPr>
                  <w:tcW w:w="547" w:type="pct"/>
                  <w:vAlign w:val="center"/>
                </w:tcPr>
                <w:p w14:paraId="4167B2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05F25366">
            <w:pPr>
              <w:ind w:left="0" w:leftChars="0" w:firstLine="0" w:firstLineChars="0"/>
              <w:rPr>
                <w:color w:val="auto"/>
                <w:kern w:val="0"/>
                <w:szCs w:val="24"/>
                <w:lang w:bidi="ar"/>
              </w:rPr>
            </w:pPr>
          </w:p>
          <w:p w14:paraId="5B2450D5">
            <w:pPr>
              <w:numPr>
                <w:ilvl w:val="0"/>
                <w:numId w:val="1"/>
              </w:numPr>
              <w:ind w:firstLine="482"/>
              <w:rPr>
                <w:b/>
                <w:bCs/>
                <w:color w:val="auto"/>
              </w:rPr>
            </w:pPr>
            <w:r>
              <w:rPr>
                <w:b/>
                <w:bCs/>
                <w:color w:val="auto"/>
              </w:rPr>
              <w:t>项目与《云南省星云湖管理条例》的相符性分析</w:t>
            </w:r>
          </w:p>
          <w:p w14:paraId="0DE352E7">
            <w:pPr>
              <w:ind w:firstLine="480"/>
              <w:rPr>
                <w:color w:val="auto"/>
                <w:kern w:val="0"/>
                <w:szCs w:val="24"/>
                <w:lang w:bidi="ar"/>
              </w:rPr>
            </w:pPr>
            <w:r>
              <w:rPr>
                <w:color w:val="auto"/>
                <w:kern w:val="0"/>
                <w:szCs w:val="24"/>
                <w:lang w:bidi="ar"/>
              </w:rPr>
              <w:t>按照《云南省星云湖保护条例》要求，根据星云湖湖滨生态红线、湖泊生态黄线划定成果，确定星云湖生态保护核心区、生态保护缓冲区和绿色发展区（以下简称</w:t>
            </w:r>
            <w:r>
              <w:rPr>
                <w:rFonts w:hint="default"/>
                <w:color w:val="auto"/>
                <w:kern w:val="0"/>
                <w:szCs w:val="24"/>
                <w:lang w:bidi="ar"/>
              </w:rPr>
              <w:t>“三区”）具体范围。</w:t>
            </w:r>
          </w:p>
          <w:p w14:paraId="0475F8FC">
            <w:pPr>
              <w:ind w:firstLine="480"/>
              <w:rPr>
                <w:rFonts w:hint="eastAsia"/>
                <w:color w:val="auto"/>
                <w:kern w:val="0"/>
                <w:szCs w:val="24"/>
                <w:lang w:bidi="ar"/>
              </w:rPr>
            </w:pPr>
            <w:r>
              <w:rPr>
                <w:color w:val="auto"/>
                <w:kern w:val="0"/>
                <w:szCs w:val="24"/>
                <w:lang w:bidi="ar"/>
              </w:rPr>
              <w:t>一、</w:t>
            </w:r>
            <w:r>
              <w:rPr>
                <w:rFonts w:hint="default"/>
                <w:color w:val="auto"/>
                <w:kern w:val="0"/>
                <w:szCs w:val="24"/>
                <w:lang w:bidi="ar"/>
              </w:rPr>
              <w:t>“两线”、“三区”含义</w:t>
            </w:r>
          </w:p>
          <w:p w14:paraId="634BE42C">
            <w:pPr>
              <w:ind w:firstLine="480"/>
              <w:rPr>
                <w:rFonts w:hint="eastAsia"/>
                <w:color w:val="auto"/>
                <w:kern w:val="0"/>
                <w:szCs w:val="24"/>
                <w:lang w:bidi="ar"/>
              </w:rPr>
            </w:pPr>
            <w:r>
              <w:rPr>
                <w:rFonts w:hint="default"/>
                <w:color w:val="auto"/>
                <w:kern w:val="0"/>
                <w:szCs w:val="24"/>
                <w:lang w:bidi="ar"/>
              </w:rPr>
              <w:t>“两线”分别是湖滨生态红线、湖泊生态黄线。</w:t>
            </w:r>
          </w:p>
          <w:p w14:paraId="251CCC29">
            <w:pPr>
              <w:ind w:firstLine="480"/>
              <w:rPr>
                <w:rFonts w:hint="eastAsia"/>
                <w:color w:val="auto"/>
                <w:kern w:val="0"/>
                <w:szCs w:val="24"/>
                <w:lang w:bidi="ar"/>
              </w:rPr>
            </w:pPr>
            <w:r>
              <w:rPr>
                <w:rFonts w:hint="default"/>
                <w:color w:val="auto"/>
                <w:kern w:val="0"/>
                <w:szCs w:val="24"/>
                <w:lang w:bidi="ar"/>
              </w:rPr>
              <w:t>“三区”分别是生态保护核心区、生态保护缓冲区、绿色发展区。生态保护核心区是指湖滨生态红线以内的水域和陆域，生态保护缓冲区是指湖滨生态红线与湖泊生态黄线之间的区域，绿色发展区是指湖泊生态黄线与湖泊流域分水线之间的区域。</w:t>
            </w:r>
          </w:p>
          <w:p w14:paraId="421E5700">
            <w:pPr>
              <w:ind w:firstLine="480"/>
              <w:rPr>
                <w:rFonts w:hint="eastAsia"/>
                <w:color w:val="auto"/>
                <w:kern w:val="0"/>
                <w:szCs w:val="24"/>
                <w:lang w:bidi="ar"/>
              </w:rPr>
            </w:pPr>
            <w:r>
              <w:rPr>
                <w:rFonts w:hint="default"/>
                <w:color w:val="auto"/>
                <w:kern w:val="0"/>
                <w:szCs w:val="24"/>
                <w:lang w:bidi="ar"/>
              </w:rPr>
              <w:t>二、“三区”功能定位</w:t>
            </w:r>
          </w:p>
          <w:p w14:paraId="72DC0433">
            <w:pPr>
              <w:ind w:firstLine="480"/>
              <w:rPr>
                <w:rFonts w:hint="eastAsia"/>
                <w:color w:val="auto"/>
                <w:kern w:val="0"/>
                <w:szCs w:val="24"/>
                <w:lang w:bidi="ar"/>
              </w:rPr>
            </w:pPr>
            <w:r>
              <w:rPr>
                <w:rFonts w:hint="default"/>
                <w:color w:val="auto"/>
                <w:kern w:val="0"/>
                <w:szCs w:val="24"/>
                <w:lang w:bidi="ar"/>
              </w:rPr>
              <w:t>生态保护核心区实行最严格的生态保护制度，严格管控建设活动，引导人口和产业逐步退出，最大限度减少人为干扰，筑牢湖泊生态安全底线，提升水生态系统质量和稳定性。</w:t>
            </w:r>
          </w:p>
          <w:p w14:paraId="215D2A80">
            <w:pPr>
              <w:ind w:firstLine="480"/>
              <w:rPr>
                <w:rFonts w:hint="eastAsia"/>
                <w:color w:val="auto"/>
                <w:kern w:val="0"/>
                <w:szCs w:val="24"/>
                <w:lang w:bidi="ar"/>
              </w:rPr>
            </w:pPr>
            <w:r>
              <w:rPr>
                <w:rFonts w:hint="default"/>
                <w:color w:val="auto"/>
                <w:kern w:val="0"/>
                <w:szCs w:val="24"/>
                <w:lang w:bidi="ar"/>
              </w:rPr>
              <w:t>生态保护缓冲区实行负面清单管控，减少人口、产业、建设用地、污染物排放总量，实行严格的管控措施，禁止新增工业、商品住宅以及高污染、高耗水、高耗能等项目。与生态功能定位不符的开发性、生产性建设活动应当有序退出，合法合规保留的除外。引导人口和产业有序退出，增强湖泊生态净化能力、调节能力和修复能力，降低入湖污染负荷，实现湖泊生态扩容增量。</w:t>
            </w:r>
          </w:p>
          <w:p w14:paraId="0453BA5A">
            <w:pPr>
              <w:ind w:firstLine="480"/>
              <w:rPr>
                <w:rFonts w:hint="default"/>
                <w:color w:val="auto"/>
                <w:kern w:val="0"/>
                <w:szCs w:val="24"/>
                <w:lang w:bidi="ar"/>
              </w:rPr>
            </w:pPr>
            <w:r>
              <w:rPr>
                <w:rFonts w:hint="default"/>
                <w:color w:val="auto"/>
                <w:kern w:val="0"/>
                <w:szCs w:val="24"/>
                <w:lang w:bidi="ar"/>
              </w:rPr>
              <w:t>绿色发展区推进流域生态修复、提升生态涵养功能，淘汰落后产能，发展绿色低碳循环经济，促进富民就业，以生态环境高水平保护进流域经济社会高质量发展</w:t>
            </w:r>
            <w:r>
              <w:rPr>
                <w:rFonts w:hint="default"/>
                <w:color w:val="auto"/>
                <w:kern w:val="0"/>
                <w:szCs w:val="24"/>
                <w:lang w:bidi="ar"/>
              </w:rPr>
              <w:t>。</w:t>
            </w:r>
          </w:p>
          <w:p w14:paraId="2E66AB81">
            <w:pPr>
              <w:ind w:left="0" w:leftChars="0" w:firstLine="0" w:firstLineChars="0"/>
              <w:rPr>
                <w:rFonts w:hint="eastAsia" w:eastAsia="宋体"/>
                <w:color w:val="auto"/>
                <w:kern w:val="0"/>
                <w:szCs w:val="24"/>
                <w:lang w:eastAsia="zh-CN" w:bidi="ar"/>
              </w:rPr>
            </w:pP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3481070</wp:posOffset>
                      </wp:positionH>
                      <wp:positionV relativeFrom="paragraph">
                        <wp:posOffset>-1553210</wp:posOffset>
                      </wp:positionV>
                      <wp:extent cx="1109345" cy="209550"/>
                      <wp:effectExtent l="4445" t="5080" r="10160" b="13970"/>
                      <wp:wrapNone/>
                      <wp:docPr id="91" name="文本框 91"/>
                      <wp:cNvGraphicFramePr/>
                      <a:graphic xmlns:a="http://schemas.openxmlformats.org/drawingml/2006/main">
                        <a:graphicData uri="http://schemas.microsoft.com/office/word/2010/wordprocessingShape">
                          <wps:wsp>
                            <wps:cNvSpPr txBox="1"/>
                            <wps:spPr>
                              <a:xfrm>
                                <a:off x="4658995" y="2927985"/>
                                <a:ext cx="1109345" cy="209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70852AF">
                                  <w:pPr>
                                    <w:ind w:left="0" w:leftChars="0" w:firstLine="0" w:firstLineChars="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1pt;margin-top:-122.3pt;height:16.5pt;width:87.35pt;z-index:251703296;mso-width-relative:page;mso-height-relative:page;" fillcolor="#FFFFFF [3201]" filled="t" stroked="t" coordsize="21600,21600" o:gfxdata="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yXUNB2QAAAA0BAAAPAAAAAAAAAAEAIAAAACIAAABkcnMvZG93bnJldi54bWxQSwEC&#10;FAAUAAAACACHTuJAemsmj2UCAADFBAAADgAAAAAAAAABACAAAAAoAQAAZHJzL2Uyb0RvYy54bWxQ&#10;SwUGAAAAAAYABgBZAQAA/wUAAAAA&#10;">
                      <v:fill on="t" focussize="0,0"/>
                      <v:stroke weight="0.5pt" color="#000000 [3204]" joinstyle="round"/>
                      <v:imagedata o:title=""/>
                      <o:lock v:ext="edit" aspectratio="f"/>
                      <v:textbox>
                        <w:txbxContent>
                          <w:p w14:paraId="070852AF">
                            <w:pPr>
                              <w:ind w:left="0" w:leftChars="0" w:firstLine="0" w:firstLineChars="0"/>
                            </w:pPr>
                          </w:p>
                        </w:txbxContent>
                      </v:textbox>
                    </v:shape>
                  </w:pict>
                </mc:Fallback>
              </mc:AlternateContent>
            </w:r>
            <w:r>
              <w:rPr>
                <w:rFonts w:hint="eastAsia" w:eastAsia="宋体"/>
                <w:color w:val="auto"/>
                <w:kern w:val="0"/>
                <w:szCs w:val="24"/>
                <w:lang w:eastAsia="zh-CN" w:bidi="ar"/>
              </w:rPr>
              <w:drawing>
                <wp:anchor distT="0" distB="0" distL="114300" distR="114300" simplePos="0" relativeHeight="251699200" behindDoc="0" locked="0" layoutInCell="1" allowOverlap="1">
                  <wp:simplePos x="0" y="0"/>
                  <wp:positionH relativeFrom="column">
                    <wp:posOffset>-24765</wp:posOffset>
                  </wp:positionH>
                  <wp:positionV relativeFrom="paragraph">
                    <wp:posOffset>-3532505</wp:posOffset>
                  </wp:positionV>
                  <wp:extent cx="5636895" cy="7552055"/>
                  <wp:effectExtent l="0" t="0" r="1905" b="10795"/>
                  <wp:wrapTopAndBottom/>
                  <wp:docPr id="86" name="图片 86" descr="62f5becf91c056b10aec7277b0a2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62f5becf91c056b10aec7277b0a21463"/>
                          <pic:cNvPicPr>
                            <a:picLocks noChangeAspect="1"/>
                          </pic:cNvPicPr>
                        </pic:nvPicPr>
                        <pic:blipFill>
                          <a:blip r:embed="rId14"/>
                          <a:stretch>
                            <a:fillRect/>
                          </a:stretch>
                        </pic:blipFill>
                        <pic:spPr>
                          <a:xfrm>
                            <a:off x="0" y="0"/>
                            <a:ext cx="5636895" cy="7552055"/>
                          </a:xfrm>
                          <a:prstGeom prst="rect">
                            <a:avLst/>
                          </a:prstGeom>
                        </pic:spPr>
                      </pic:pic>
                    </a:graphicData>
                  </a:graphic>
                </wp:anchor>
              </w:drawing>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3616960</wp:posOffset>
                      </wp:positionH>
                      <wp:positionV relativeFrom="paragraph">
                        <wp:posOffset>-1569085</wp:posOffset>
                      </wp:positionV>
                      <wp:extent cx="775970" cy="209550"/>
                      <wp:effectExtent l="4445" t="4445" r="19685" b="14605"/>
                      <wp:wrapNone/>
                      <wp:docPr id="90" name="文本框 90"/>
                      <wp:cNvGraphicFramePr/>
                      <a:graphic xmlns:a="http://schemas.openxmlformats.org/drawingml/2006/main">
                        <a:graphicData uri="http://schemas.microsoft.com/office/word/2010/wordprocessingShape">
                          <wps:wsp>
                            <wps:cNvSpPr txBox="1"/>
                            <wps:spPr>
                              <a:xfrm>
                                <a:off x="4794885" y="2912110"/>
                                <a:ext cx="775970" cy="209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4D27F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8pt;margin-top:-123.55pt;height:16.5pt;width:61.1pt;z-index:251702272;mso-width-relative:page;mso-height-relative:page;" fillcolor="#FFFFFF [3201]" filled="t" stroked="t" coordsize="21600,21600" o:gfxdata="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cyNP92QAAAA0BAAAPAAAAAAAAAAEAIAAAACIAAABkcnMvZG93bnJldi54bWxQSwEC&#10;FAAUAAAACACHTuJAEEpLM2UCAADEBAAADgAAAAAAAAABACAAAAAoAQAAZHJzL2Uyb0RvYy54bWxQ&#10;SwUGAAAAAAYABgBZAQAA/wUAAAAA&#10;">
                      <v:fill on="t" focussize="0,0"/>
                      <v:stroke weight="0.5pt" color="#000000 [3204]" joinstyle="round"/>
                      <v:imagedata o:title=""/>
                      <o:lock v:ext="edit" aspectratio="f"/>
                      <v:textbox>
                        <w:txbxContent>
                          <w:p w14:paraId="194D27F2"/>
                        </w:txbxContent>
                      </v:textbox>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2452370</wp:posOffset>
                      </wp:positionH>
                      <wp:positionV relativeFrom="paragraph">
                        <wp:posOffset>5006340</wp:posOffset>
                      </wp:positionV>
                      <wp:extent cx="105410" cy="132080"/>
                      <wp:effectExtent l="6350" t="6350" r="21590" b="13970"/>
                      <wp:wrapNone/>
                      <wp:docPr id="89" name="椭圆 89"/>
                      <wp:cNvGraphicFramePr/>
                      <a:graphic xmlns:a="http://schemas.openxmlformats.org/drawingml/2006/main">
                        <a:graphicData uri="http://schemas.microsoft.com/office/word/2010/wordprocessingShape">
                          <wps:wsp>
                            <wps:cNvSpPr/>
                            <wps:spPr>
                              <a:xfrm>
                                <a:off x="0" y="0"/>
                                <a:ext cx="105410" cy="13208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3.1pt;margin-top:394.2pt;height:10.4pt;width:8.3pt;z-index:251701248;v-text-anchor:middle;mso-width-relative:page;mso-height-relative:page;" fillcolor="#FF0000" filled="t" stroked="t" coordsize="21600,21600" o:gfxdata="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iQuXzXAAAACwEAAA8AAAAAAAAAAQAgAAAAIgAAAGRycy9kb3ducmV2&#10;LnhtbFBLAQIUABQAAAAIAIdO4kAiC4zSbwIAAPgEAAAOAAAAAAAAAAEAIAAAACYBAABkcnMvZTJv&#10;RG9jLnhtbFBLBQYAAAAABgAGAFkBAAAHBgAAAAA=&#10;">
                      <v:fill on="t" focussize="0,0"/>
                      <v:stroke weight="1pt" color="#FF0000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3510915</wp:posOffset>
                      </wp:positionH>
                      <wp:positionV relativeFrom="paragraph">
                        <wp:posOffset>2139315</wp:posOffset>
                      </wp:positionV>
                      <wp:extent cx="105410" cy="132080"/>
                      <wp:effectExtent l="6350" t="6350" r="21590" b="13970"/>
                      <wp:wrapNone/>
                      <wp:docPr id="88" name="椭圆 88"/>
                      <wp:cNvGraphicFramePr/>
                      <a:graphic xmlns:a="http://schemas.openxmlformats.org/drawingml/2006/main">
                        <a:graphicData uri="http://schemas.microsoft.com/office/word/2010/wordprocessingShape">
                          <wps:wsp>
                            <wps:cNvSpPr/>
                            <wps:spPr>
                              <a:xfrm>
                                <a:off x="0" y="0"/>
                                <a:ext cx="105410" cy="13208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6.45pt;margin-top:168.45pt;height:10.4pt;width:8.3pt;z-index:251700224;v-text-anchor:middle;mso-width-relative:page;mso-height-relative:page;" fillcolor="#FF0000" filled="t" stroked="t" coordsize="21600,21600" o:gfxdata="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C/BCtcAAAALAQAADwAAAAAAAAABACAAAAAiAAAAZHJzL2Rvd25yZXYu&#10;eG1sUEsBAhQAFAAAAAgAh07iQNGF7pJuAgAA+AQAAA4AAAAAAAAAAQAgAAAAJgEAAGRycy9lMm9E&#10;b2MueG1sUEsFBgAAAAAGAAYAWQEAAAYGAAAAAA==&#10;">
                      <v:fill on="t" focussize="0,0"/>
                      <v:stroke weight="1pt" color="#FF0000 [2404]" miterlimit="8" joinstyle="miter"/>
                      <v:imagedata o:title=""/>
                      <o:lock v:ext="edit" aspectratio="f"/>
                    </v:shape>
                  </w:pict>
                </mc:Fallback>
              </mc:AlternateContent>
            </w:r>
          </w:p>
          <w:p w14:paraId="09AB6B62">
            <w:pPr>
              <w:ind w:firstLine="480"/>
              <w:rPr>
                <w:color w:val="auto"/>
                <w:kern w:val="0"/>
                <w:szCs w:val="24"/>
                <w:lang w:bidi="ar"/>
              </w:rPr>
            </w:pPr>
            <w:r>
              <w:rPr>
                <w:color w:val="auto"/>
                <w:kern w:val="0"/>
                <w:szCs w:val="24"/>
                <w:lang w:bidi="ar"/>
              </w:rPr>
              <w:t>本项目位于</w:t>
            </w:r>
            <w:r>
              <w:rPr>
                <w:color w:val="auto"/>
              </w:rPr>
              <w:t>玉溪市江川区星云街道湖滨路北段14号</w:t>
            </w:r>
            <w:r>
              <w:rPr>
                <w:rFonts w:hint="eastAsia"/>
                <w:color w:val="auto"/>
                <w:lang w:eastAsia="zh-CN"/>
              </w:rPr>
              <w:t>（</w:t>
            </w:r>
            <w:r>
              <w:rPr>
                <w:rFonts w:hint="eastAsia"/>
                <w:color w:val="auto"/>
                <w:lang w:val="en-US" w:eastAsia="zh-CN"/>
              </w:rPr>
              <w:t>玉溪市江川区医共体总院</w:t>
            </w:r>
            <w:r>
              <w:rPr>
                <w:rFonts w:hint="eastAsia"/>
                <w:color w:val="auto"/>
                <w:lang w:eastAsia="zh-CN"/>
              </w:rPr>
              <w:t>）</w:t>
            </w:r>
            <w:r>
              <w:rPr>
                <w:rFonts w:hint="eastAsia"/>
                <w:color w:val="auto"/>
                <w:lang w:val="en-US" w:eastAsia="zh-CN"/>
              </w:rPr>
              <w:t>及</w:t>
            </w:r>
            <w:r>
              <w:rPr>
                <w:rFonts w:hint="eastAsia" w:eastAsia="宋体"/>
                <w:color w:val="auto"/>
                <w:lang w:val="en-US" w:eastAsia="zh-CN"/>
              </w:rPr>
              <w:t>玉溪市江川区江城镇振兴街53号</w:t>
            </w:r>
            <w:r>
              <w:rPr>
                <w:rFonts w:hint="eastAsia"/>
                <w:color w:val="auto"/>
                <w:lang w:val="en-US" w:eastAsia="zh-CN"/>
              </w:rPr>
              <w:t>（江城镇卫生院）</w:t>
            </w:r>
            <w:r>
              <w:rPr>
                <w:color w:val="auto"/>
                <w:kern w:val="0"/>
                <w:szCs w:val="24"/>
                <w:lang w:bidi="ar"/>
              </w:rPr>
              <w:t>，项目所在区域位于星云湖</w:t>
            </w:r>
            <w:r>
              <w:rPr>
                <w:rFonts w:hint="eastAsia"/>
                <w:color w:val="auto"/>
                <w:kern w:val="0"/>
                <w:szCs w:val="24"/>
                <w:lang w:val="en-US" w:eastAsia="zh-CN" w:bidi="ar"/>
              </w:rPr>
              <w:t>绿色发展区</w:t>
            </w:r>
            <w:r>
              <w:rPr>
                <w:color w:val="auto"/>
                <w:kern w:val="0"/>
                <w:szCs w:val="24"/>
                <w:lang w:bidi="ar"/>
              </w:rPr>
              <w:t>。</w:t>
            </w:r>
          </w:p>
          <w:p w14:paraId="0C4F8659">
            <w:pPr>
              <w:ind w:firstLine="480"/>
              <w:rPr>
                <w:color w:val="auto"/>
                <w:kern w:val="0"/>
                <w:szCs w:val="24"/>
                <w:lang w:bidi="ar"/>
              </w:rPr>
            </w:pPr>
            <w:r>
              <w:rPr>
                <w:color w:val="auto"/>
                <w:kern w:val="0"/>
                <w:szCs w:val="24"/>
                <w:lang w:bidi="ar"/>
              </w:rPr>
              <w:t>根据《云南省星云湖管理条例》第</w:t>
            </w:r>
            <w:r>
              <w:rPr>
                <w:rFonts w:hint="eastAsia"/>
                <w:color w:val="auto"/>
                <w:kern w:val="0"/>
                <w:szCs w:val="24"/>
                <w:lang w:val="en-US" w:eastAsia="zh-CN" w:bidi="ar"/>
              </w:rPr>
              <w:t>二十二</w:t>
            </w:r>
            <w:r>
              <w:rPr>
                <w:color w:val="auto"/>
                <w:kern w:val="0"/>
                <w:szCs w:val="24"/>
                <w:lang w:bidi="ar"/>
              </w:rPr>
              <w:t>条，生态保护缓冲区禁止下列行为：</w:t>
            </w:r>
          </w:p>
          <w:p w14:paraId="435689EC">
            <w:pPr>
              <w:ind w:firstLine="480"/>
              <w:rPr>
                <w:color w:val="auto"/>
                <w:kern w:val="0"/>
                <w:szCs w:val="24"/>
                <w:lang w:bidi="ar"/>
              </w:rPr>
            </w:pPr>
            <w:r>
              <w:rPr>
                <w:rFonts w:hint="eastAsia"/>
                <w:color w:val="auto"/>
                <w:kern w:val="0"/>
                <w:szCs w:val="24"/>
                <w:lang w:bidi="ar"/>
              </w:rPr>
              <w:t>（一）新建除城镇污水集中处理设施排污口外的排污口；</w:t>
            </w:r>
          </w:p>
          <w:p w14:paraId="67EF0FC6">
            <w:pPr>
              <w:ind w:firstLine="480"/>
              <w:rPr>
                <w:rFonts w:hint="eastAsia"/>
                <w:color w:val="auto"/>
                <w:kern w:val="0"/>
                <w:szCs w:val="24"/>
                <w:lang w:bidi="ar"/>
              </w:rPr>
            </w:pPr>
            <w:r>
              <w:rPr>
                <w:rFonts w:hint="eastAsia"/>
                <w:color w:val="auto"/>
                <w:kern w:val="0"/>
                <w:szCs w:val="24"/>
                <w:lang w:bidi="ar"/>
              </w:rPr>
              <w:t>（二）焚烧垃圾、秸秆；</w:t>
            </w:r>
          </w:p>
          <w:p w14:paraId="7AA13FC7">
            <w:pPr>
              <w:ind w:firstLine="480"/>
              <w:rPr>
                <w:rFonts w:hint="eastAsia"/>
                <w:color w:val="auto"/>
                <w:kern w:val="0"/>
                <w:szCs w:val="24"/>
                <w:lang w:bidi="ar"/>
              </w:rPr>
            </w:pPr>
            <w:r>
              <w:rPr>
                <w:rFonts w:hint="eastAsia"/>
                <w:color w:val="auto"/>
                <w:kern w:val="0"/>
                <w:szCs w:val="24"/>
                <w:lang w:bidi="ar"/>
              </w:rPr>
              <w:t>（三）损毁或者擅自移动界桩、星云湖保护相关标识标牌、环卫设施；</w:t>
            </w:r>
          </w:p>
          <w:p w14:paraId="3A6D0A00">
            <w:pPr>
              <w:ind w:firstLine="480"/>
              <w:rPr>
                <w:rFonts w:hint="eastAsia"/>
                <w:color w:val="auto"/>
                <w:kern w:val="0"/>
                <w:szCs w:val="24"/>
                <w:lang w:bidi="ar"/>
              </w:rPr>
            </w:pPr>
            <w:r>
              <w:rPr>
                <w:rFonts w:hint="eastAsia"/>
                <w:color w:val="auto"/>
                <w:kern w:val="0"/>
                <w:szCs w:val="24"/>
                <w:lang w:bidi="ar"/>
              </w:rPr>
              <w:t>（四）绿色发展区禁止的行为。</w:t>
            </w:r>
          </w:p>
          <w:p w14:paraId="35EFF325">
            <w:pPr>
              <w:ind w:firstLine="480"/>
              <w:rPr>
                <w:rFonts w:hint="eastAsia"/>
                <w:color w:val="auto"/>
                <w:kern w:val="0"/>
                <w:szCs w:val="24"/>
                <w:lang w:bidi="ar"/>
              </w:rPr>
            </w:pPr>
            <w:r>
              <w:rPr>
                <w:rFonts w:hint="eastAsia"/>
                <w:color w:val="auto"/>
                <w:kern w:val="0"/>
                <w:szCs w:val="24"/>
                <w:lang w:bidi="ar"/>
              </w:rPr>
              <w:t>第二十三条　绿色发展区推进流域生态修复、提升生态涵养功能，淘汰落后产能，发展绿色低碳循环经济，促进富民就业，以生态环境高水平保护促进流域经济社会高质量发展。</w:t>
            </w:r>
          </w:p>
          <w:p w14:paraId="5F539BFF">
            <w:pPr>
              <w:ind w:firstLine="480"/>
              <w:rPr>
                <w:rFonts w:hint="eastAsia"/>
                <w:color w:val="auto"/>
                <w:kern w:val="0"/>
                <w:szCs w:val="24"/>
                <w:lang w:bidi="ar"/>
              </w:rPr>
            </w:pPr>
            <w:r>
              <w:rPr>
                <w:rFonts w:hint="eastAsia"/>
                <w:color w:val="auto"/>
                <w:kern w:val="0"/>
                <w:szCs w:val="24"/>
                <w:lang w:bidi="ar"/>
              </w:rPr>
              <w:t>绿色发展区禁止新建、改建、扩建严重污染环境、破坏生态的项目；星云湖面山区域禁止连片房地产开发；科学确定人口和城镇建设规模，合理确定并严格控制新增建设用地总规模，提高土地节约集约利用水平，保障土地的可持续利用。</w:t>
            </w:r>
          </w:p>
          <w:p w14:paraId="36063CF0">
            <w:pPr>
              <w:ind w:firstLine="480"/>
              <w:rPr>
                <w:rFonts w:hint="eastAsia"/>
                <w:color w:val="auto"/>
                <w:kern w:val="0"/>
                <w:szCs w:val="24"/>
                <w:lang w:bidi="ar"/>
              </w:rPr>
            </w:pPr>
            <w:r>
              <w:rPr>
                <w:rFonts w:hint="eastAsia"/>
                <w:color w:val="auto"/>
                <w:kern w:val="0"/>
                <w:szCs w:val="24"/>
                <w:lang w:bidi="ar"/>
              </w:rPr>
              <w:t>第二十四条　绿色发展区禁止下列行为：</w:t>
            </w:r>
          </w:p>
          <w:p w14:paraId="232EAF39">
            <w:pPr>
              <w:ind w:firstLine="480"/>
              <w:rPr>
                <w:rFonts w:hint="eastAsia"/>
                <w:color w:val="auto"/>
                <w:kern w:val="0"/>
                <w:szCs w:val="24"/>
                <w:lang w:bidi="ar"/>
              </w:rPr>
            </w:pPr>
            <w:r>
              <w:rPr>
                <w:rFonts w:hint="eastAsia"/>
                <w:color w:val="auto"/>
                <w:kern w:val="0"/>
                <w:szCs w:val="24"/>
                <w:lang w:bidi="ar"/>
              </w:rPr>
              <w:t>（一）利用渗井、渗坑、裂隙，私设暗管，篡改、伪造监测数据，或者不正常运行水污染防治设施等逃避监管的方式排放水污染物；</w:t>
            </w:r>
          </w:p>
          <w:p w14:paraId="490C53F5">
            <w:pPr>
              <w:ind w:firstLine="480"/>
              <w:rPr>
                <w:rFonts w:hint="eastAsia"/>
                <w:color w:val="auto"/>
                <w:kern w:val="0"/>
                <w:szCs w:val="24"/>
                <w:lang w:bidi="ar"/>
              </w:rPr>
            </w:pPr>
            <w:r>
              <w:rPr>
                <w:rFonts w:hint="eastAsia"/>
                <w:color w:val="auto"/>
                <w:kern w:val="0"/>
                <w:szCs w:val="24"/>
                <w:lang w:bidi="ar"/>
              </w:rPr>
              <w:t>（二）向入湖河道、沟渠、城镇排水管网排放超过国家、地方水污染物排放标准或者超过重点水污染物排放总量控制指标的水污染物；</w:t>
            </w:r>
          </w:p>
          <w:p w14:paraId="325DD097">
            <w:pPr>
              <w:ind w:firstLine="480"/>
              <w:rPr>
                <w:rFonts w:hint="eastAsia"/>
                <w:color w:val="auto"/>
                <w:kern w:val="0"/>
                <w:szCs w:val="24"/>
                <w:lang w:bidi="ar"/>
              </w:rPr>
            </w:pPr>
            <w:r>
              <w:rPr>
                <w:rFonts w:hint="eastAsia"/>
                <w:color w:val="auto"/>
                <w:kern w:val="0"/>
                <w:szCs w:val="24"/>
                <w:lang w:bidi="ar"/>
              </w:rPr>
              <w:t>（三）向入湖河道、沟渠、水库排放、倾倒、填埋油类、酸液、碱液、剧毒废液（渣）等；</w:t>
            </w:r>
          </w:p>
          <w:p w14:paraId="7432B685">
            <w:pPr>
              <w:ind w:firstLine="480"/>
              <w:rPr>
                <w:rFonts w:hint="eastAsia"/>
                <w:color w:val="auto"/>
                <w:kern w:val="0"/>
                <w:szCs w:val="24"/>
                <w:lang w:bidi="ar"/>
              </w:rPr>
            </w:pPr>
            <w:r>
              <w:rPr>
                <w:rFonts w:hint="eastAsia"/>
                <w:color w:val="auto"/>
                <w:kern w:val="0"/>
                <w:szCs w:val="24"/>
                <w:lang w:bidi="ar"/>
              </w:rPr>
              <w:t>（四）在入湖河道、沟渠、水库最高水位线以下的滩地和岸坡倾倒、堆放、贮存、填埋固体废弃物或者其他污染物，丢弃或者填埋病死动物、病害动物产品；</w:t>
            </w:r>
          </w:p>
          <w:p w14:paraId="521BDB76">
            <w:pPr>
              <w:ind w:firstLine="480"/>
              <w:rPr>
                <w:rFonts w:hint="eastAsia"/>
                <w:color w:val="auto"/>
                <w:kern w:val="0"/>
                <w:szCs w:val="24"/>
                <w:lang w:bidi="ar"/>
              </w:rPr>
            </w:pPr>
            <w:r>
              <w:rPr>
                <w:rFonts w:hint="eastAsia"/>
                <w:color w:val="auto"/>
                <w:kern w:val="0"/>
                <w:szCs w:val="24"/>
                <w:lang w:bidi="ar"/>
              </w:rPr>
              <w:t>（五）在入湖河道、沟渠、水库内丢弃农药、农药包装物，清洗施药器械；</w:t>
            </w:r>
          </w:p>
          <w:p w14:paraId="4B5E5373">
            <w:pPr>
              <w:ind w:firstLine="480"/>
              <w:rPr>
                <w:rFonts w:hint="eastAsia"/>
                <w:color w:val="auto"/>
                <w:kern w:val="0"/>
                <w:szCs w:val="24"/>
                <w:lang w:bidi="ar"/>
              </w:rPr>
            </w:pPr>
            <w:r>
              <w:rPr>
                <w:rFonts w:hint="eastAsia"/>
                <w:color w:val="auto"/>
                <w:kern w:val="0"/>
                <w:szCs w:val="24"/>
                <w:lang w:bidi="ar"/>
              </w:rPr>
              <w:t>（六）向农用地排放重金属或者其他有毒有害物质含量超标的污水、污泥，以及可能造成土壤污染的清淤底泥、尾矿、矿渣等；</w:t>
            </w:r>
          </w:p>
          <w:p w14:paraId="19DC2AD8">
            <w:pPr>
              <w:ind w:firstLine="480"/>
              <w:rPr>
                <w:rFonts w:hint="eastAsia"/>
                <w:color w:val="auto"/>
                <w:kern w:val="0"/>
                <w:szCs w:val="24"/>
                <w:lang w:bidi="ar"/>
              </w:rPr>
            </w:pPr>
            <w:r>
              <w:rPr>
                <w:rFonts w:hint="eastAsia"/>
                <w:color w:val="auto"/>
                <w:kern w:val="0"/>
                <w:szCs w:val="24"/>
                <w:lang w:bidi="ar"/>
              </w:rPr>
              <w:t>（七）随意倾倒、堆放、填埋废弃菜叶等农业废弃物；</w:t>
            </w:r>
          </w:p>
          <w:p w14:paraId="348BB83C">
            <w:pPr>
              <w:ind w:firstLine="480"/>
              <w:rPr>
                <w:rFonts w:hint="eastAsia"/>
                <w:color w:val="auto"/>
                <w:kern w:val="0"/>
                <w:szCs w:val="24"/>
                <w:lang w:bidi="ar"/>
              </w:rPr>
            </w:pPr>
            <w:r>
              <w:rPr>
                <w:rFonts w:hint="eastAsia"/>
                <w:color w:val="auto"/>
                <w:kern w:val="0"/>
                <w:szCs w:val="24"/>
                <w:lang w:bidi="ar"/>
              </w:rPr>
              <w:t>（八）生产、销售、使用含磷洗涤用品和国家明令禁止或者明令淘汰的一次性发泡塑料餐具、塑料袋；</w:t>
            </w:r>
          </w:p>
          <w:p w14:paraId="113AF177">
            <w:pPr>
              <w:ind w:firstLine="480"/>
              <w:rPr>
                <w:rFonts w:hint="eastAsia"/>
                <w:color w:val="auto"/>
                <w:kern w:val="0"/>
                <w:szCs w:val="24"/>
                <w:lang w:bidi="ar"/>
              </w:rPr>
            </w:pPr>
            <w:r>
              <w:rPr>
                <w:rFonts w:hint="eastAsia"/>
                <w:color w:val="auto"/>
                <w:kern w:val="0"/>
                <w:szCs w:val="24"/>
                <w:lang w:bidi="ar"/>
              </w:rPr>
              <w:t>（九）经营、使用杀鼠剂以外的限制使用类农药；</w:t>
            </w:r>
          </w:p>
          <w:p w14:paraId="18827D4A">
            <w:pPr>
              <w:ind w:firstLine="480"/>
              <w:rPr>
                <w:rFonts w:hint="eastAsia"/>
                <w:color w:val="auto"/>
                <w:kern w:val="0"/>
                <w:szCs w:val="24"/>
                <w:lang w:bidi="ar"/>
              </w:rPr>
            </w:pPr>
            <w:r>
              <w:rPr>
                <w:rFonts w:hint="eastAsia"/>
                <w:color w:val="auto"/>
                <w:kern w:val="0"/>
                <w:szCs w:val="24"/>
                <w:lang w:bidi="ar"/>
              </w:rPr>
              <w:t>（十）违反规定处置生活垃圾，倾倒粪便或者直排畜禽养殖粪污；</w:t>
            </w:r>
          </w:p>
          <w:p w14:paraId="09D440F4">
            <w:pPr>
              <w:ind w:firstLine="480"/>
              <w:rPr>
                <w:rFonts w:hint="eastAsia"/>
                <w:color w:val="auto"/>
                <w:kern w:val="0"/>
                <w:szCs w:val="24"/>
                <w:lang w:bidi="ar"/>
              </w:rPr>
            </w:pPr>
            <w:r>
              <w:rPr>
                <w:rFonts w:hint="eastAsia"/>
                <w:color w:val="auto"/>
                <w:kern w:val="0"/>
                <w:szCs w:val="24"/>
                <w:lang w:bidi="ar"/>
              </w:rPr>
              <w:t>（十一）侵占湿地、水库，擅自填堵、覆盖河道；</w:t>
            </w:r>
          </w:p>
          <w:p w14:paraId="065AE1F2">
            <w:pPr>
              <w:ind w:firstLine="480"/>
              <w:rPr>
                <w:rFonts w:hint="eastAsia"/>
                <w:color w:val="auto"/>
                <w:kern w:val="0"/>
                <w:szCs w:val="24"/>
                <w:lang w:bidi="ar"/>
              </w:rPr>
            </w:pPr>
            <w:r>
              <w:rPr>
                <w:rFonts w:hint="eastAsia"/>
                <w:color w:val="auto"/>
                <w:kern w:val="0"/>
                <w:szCs w:val="24"/>
                <w:lang w:bidi="ar"/>
              </w:rPr>
              <w:t>（十二）新增采矿、选矿；</w:t>
            </w:r>
          </w:p>
          <w:p w14:paraId="2FD87C12">
            <w:pPr>
              <w:ind w:firstLine="480"/>
              <w:rPr>
                <w:rFonts w:hint="eastAsia"/>
                <w:color w:val="auto"/>
                <w:kern w:val="0"/>
                <w:szCs w:val="24"/>
                <w:lang w:bidi="ar"/>
              </w:rPr>
            </w:pPr>
            <w:r>
              <w:rPr>
                <w:rFonts w:hint="eastAsia"/>
                <w:color w:val="auto"/>
                <w:kern w:val="0"/>
                <w:szCs w:val="24"/>
                <w:lang w:bidi="ar"/>
              </w:rPr>
              <w:t>（十三）开山、采石、挖砂、取土、毁林毁草；</w:t>
            </w:r>
          </w:p>
          <w:p w14:paraId="5ABED861">
            <w:pPr>
              <w:ind w:firstLine="480"/>
              <w:rPr>
                <w:rFonts w:hint="eastAsia"/>
                <w:color w:val="auto"/>
                <w:kern w:val="0"/>
                <w:szCs w:val="24"/>
                <w:lang w:bidi="ar"/>
              </w:rPr>
            </w:pPr>
            <w:r>
              <w:rPr>
                <w:rFonts w:hint="eastAsia"/>
                <w:color w:val="auto"/>
                <w:kern w:val="0"/>
                <w:szCs w:val="24"/>
                <w:lang w:bidi="ar"/>
              </w:rPr>
              <w:t>（十四）擅自取水或者违反取水许可规定取水；</w:t>
            </w:r>
          </w:p>
          <w:p w14:paraId="5708E665">
            <w:pPr>
              <w:ind w:firstLine="480"/>
              <w:rPr>
                <w:rFonts w:hint="eastAsia"/>
                <w:color w:val="auto"/>
                <w:kern w:val="0"/>
                <w:szCs w:val="24"/>
                <w:lang w:bidi="ar"/>
              </w:rPr>
            </w:pPr>
            <w:r>
              <w:rPr>
                <w:rFonts w:hint="eastAsia"/>
                <w:color w:val="auto"/>
                <w:kern w:val="0"/>
                <w:szCs w:val="24"/>
                <w:lang w:bidi="ar"/>
              </w:rPr>
              <w:t>（十五）擅自释放或者丢弃外来物种；</w:t>
            </w:r>
          </w:p>
          <w:p w14:paraId="26037890">
            <w:pPr>
              <w:ind w:firstLine="480"/>
              <w:rPr>
                <w:rFonts w:hint="eastAsia"/>
                <w:color w:val="auto"/>
                <w:kern w:val="0"/>
                <w:szCs w:val="24"/>
                <w:lang w:bidi="ar"/>
              </w:rPr>
            </w:pPr>
            <w:r>
              <w:rPr>
                <w:rFonts w:hint="eastAsia"/>
                <w:color w:val="auto"/>
                <w:kern w:val="0"/>
                <w:szCs w:val="24"/>
                <w:lang w:bidi="ar"/>
              </w:rPr>
              <w:t>（十六）法律、法规禁止的其他行为。</w:t>
            </w:r>
          </w:p>
          <w:p w14:paraId="5191E187">
            <w:pPr>
              <w:ind w:firstLine="480"/>
              <w:rPr>
                <w:rFonts w:hint="eastAsia"/>
                <w:color w:val="auto"/>
              </w:rPr>
            </w:pPr>
            <w:r>
              <w:rPr>
                <w:rFonts w:hint="eastAsia"/>
                <w:color w:val="auto"/>
                <w:kern w:val="0"/>
                <w:szCs w:val="24"/>
                <w:lang w:bidi="ar"/>
              </w:rPr>
              <w:t>星云湖流域内原建成的磷化工等工矿企业和其他项目，应当严格管控，不得扩大原有矿山规模，采取措施防治污染，提升环保标准，确保污染物排放达到规定标准。</w:t>
            </w:r>
          </w:p>
          <w:p w14:paraId="41770F09">
            <w:pPr>
              <w:ind w:firstLine="480"/>
              <w:rPr>
                <w:color w:val="auto"/>
                <w:kern w:val="0"/>
                <w:szCs w:val="24"/>
                <w:lang w:bidi="ar"/>
              </w:rPr>
            </w:pPr>
            <w:r>
              <w:rPr>
                <w:color w:val="auto"/>
                <w:kern w:val="0"/>
                <w:szCs w:val="24"/>
                <w:lang w:bidi="ar"/>
              </w:rPr>
              <w:t>本项目属于医疗卫生机构建设项目，不属于对湖泊水质造成严重污染的项目；此外，项目生产废水、生活废水经项目污水处理站处理达标后排入市政污水管网进入污水处理厂。因此，项目运营期不直接向周边入湖河道及沟渠排放废污水。故本项目与《云南省星云湖管理条例》的相关规定不冲突。</w:t>
            </w:r>
          </w:p>
          <w:p w14:paraId="303CDC0C">
            <w:pPr>
              <w:ind w:firstLine="480"/>
              <w:rPr>
                <w:b/>
                <w:bCs/>
                <w:color w:val="auto"/>
                <w:kern w:val="2"/>
                <w:sz w:val="24"/>
                <w:szCs w:val="22"/>
              </w:rPr>
            </w:pPr>
            <w:r>
              <w:rPr>
                <w:color w:val="auto"/>
                <w:kern w:val="0"/>
                <w:szCs w:val="24"/>
                <w:lang w:bidi="ar"/>
              </w:rPr>
              <w:t>综上所述，项目土地权清晰，占地不涉及自然保护区、风景名胜区、名胜古迹、饮用水源保护区等环境敏感区；项目建设与《云南省星云湖管理条例》相关规定不冲突；</w:t>
            </w:r>
          </w:p>
          <w:p w14:paraId="4106FAB2">
            <w:pPr>
              <w:pStyle w:val="2"/>
              <w:ind w:firstLine="482" w:firstLineChars="200"/>
              <w:rPr>
                <w:b/>
                <w:bCs/>
                <w:color w:val="auto"/>
                <w:kern w:val="2"/>
                <w:sz w:val="24"/>
                <w:szCs w:val="22"/>
              </w:rPr>
            </w:pPr>
            <w:r>
              <w:rPr>
                <w:b/>
                <w:bCs/>
                <w:color w:val="auto"/>
                <w:kern w:val="2"/>
                <w:sz w:val="24"/>
                <w:szCs w:val="22"/>
              </w:rPr>
              <w:t>（</w:t>
            </w:r>
            <w:r>
              <w:rPr>
                <w:rFonts w:hint="eastAsia"/>
                <w:b/>
                <w:bCs/>
                <w:color w:val="auto"/>
                <w:kern w:val="2"/>
                <w:sz w:val="24"/>
                <w:szCs w:val="22"/>
                <w:lang w:val="en-US" w:eastAsia="zh-CN"/>
              </w:rPr>
              <w:t>4</w:t>
            </w:r>
            <w:r>
              <w:rPr>
                <w:b/>
                <w:bCs/>
                <w:color w:val="auto"/>
                <w:kern w:val="2"/>
                <w:sz w:val="24"/>
                <w:szCs w:val="22"/>
              </w:rPr>
              <w:t>）与《云南省长江经济带发展负面清单指南实施细则（试行，2022年版）》的相符性分析</w:t>
            </w:r>
          </w:p>
          <w:p w14:paraId="1E845AC3">
            <w:pPr>
              <w:spacing w:line="240" w:lineRule="auto"/>
              <w:ind w:firstLine="422"/>
              <w:jc w:val="center"/>
              <w:rPr>
                <w:b/>
                <w:bCs/>
                <w:color w:val="auto"/>
                <w:sz w:val="21"/>
                <w:szCs w:val="21"/>
              </w:rPr>
            </w:pPr>
            <w:r>
              <w:rPr>
                <w:b/>
                <w:bCs/>
                <w:color w:val="auto"/>
                <w:sz w:val="21"/>
                <w:szCs w:val="21"/>
              </w:rPr>
              <w:t>表1-7项目与《云南省推动长江经济带发展领导小组办公室关于印发&lt;云南省长江经济带发展负面清单指南实施细则（试行，2022版）&gt;的通知》（云发改基础〔2022〕894号）符合性分析</w:t>
            </w:r>
          </w:p>
          <w:tbl>
            <w:tblPr>
              <w:tblStyle w:val="20"/>
              <w:tblW w:w="79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5"/>
              <w:gridCol w:w="2694"/>
              <w:gridCol w:w="959"/>
            </w:tblGrid>
            <w:tr w14:paraId="5FFDD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4335" w:type="dxa"/>
                  <w:vAlign w:val="center"/>
                </w:tcPr>
                <w:p w14:paraId="10ED9992">
                  <w:pPr>
                    <w:spacing w:line="240" w:lineRule="auto"/>
                    <w:ind w:firstLine="0" w:firstLineChars="0"/>
                    <w:jc w:val="center"/>
                    <w:rPr>
                      <w:b/>
                      <w:bCs/>
                      <w:color w:val="auto"/>
                      <w:sz w:val="21"/>
                      <w:szCs w:val="21"/>
                    </w:rPr>
                  </w:pPr>
                  <w:r>
                    <w:rPr>
                      <w:b/>
                      <w:bCs/>
                      <w:color w:val="auto"/>
                      <w:sz w:val="21"/>
                      <w:szCs w:val="21"/>
                    </w:rPr>
                    <w:t>内容</w:t>
                  </w:r>
                </w:p>
              </w:tc>
              <w:tc>
                <w:tcPr>
                  <w:tcW w:w="2694" w:type="dxa"/>
                  <w:vAlign w:val="center"/>
                </w:tcPr>
                <w:p w14:paraId="0CD0228A">
                  <w:pPr>
                    <w:spacing w:line="240" w:lineRule="auto"/>
                    <w:ind w:firstLine="0" w:firstLineChars="0"/>
                    <w:jc w:val="center"/>
                    <w:rPr>
                      <w:b/>
                      <w:bCs/>
                      <w:color w:val="auto"/>
                      <w:sz w:val="21"/>
                      <w:szCs w:val="21"/>
                    </w:rPr>
                  </w:pPr>
                  <w:r>
                    <w:rPr>
                      <w:b/>
                      <w:bCs/>
                      <w:color w:val="auto"/>
                      <w:sz w:val="21"/>
                      <w:szCs w:val="21"/>
                    </w:rPr>
                    <w:t>项目情况</w:t>
                  </w:r>
                </w:p>
              </w:tc>
              <w:tc>
                <w:tcPr>
                  <w:tcW w:w="959" w:type="dxa"/>
                  <w:vAlign w:val="center"/>
                </w:tcPr>
                <w:p w14:paraId="54B1BD40">
                  <w:pPr>
                    <w:spacing w:line="240" w:lineRule="auto"/>
                    <w:ind w:firstLine="0" w:firstLineChars="0"/>
                    <w:jc w:val="center"/>
                    <w:rPr>
                      <w:b/>
                      <w:bCs/>
                      <w:color w:val="auto"/>
                      <w:sz w:val="21"/>
                      <w:szCs w:val="21"/>
                    </w:rPr>
                  </w:pPr>
                  <w:r>
                    <w:rPr>
                      <w:b/>
                      <w:bCs/>
                      <w:color w:val="auto"/>
                      <w:sz w:val="21"/>
                      <w:szCs w:val="21"/>
                    </w:rPr>
                    <w:t>符合性</w:t>
                  </w:r>
                </w:p>
              </w:tc>
            </w:tr>
            <w:tr w14:paraId="4019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4335" w:type="dxa"/>
                  <w:vAlign w:val="center"/>
                </w:tcPr>
                <w:p w14:paraId="5680E7A3">
                  <w:pPr>
                    <w:spacing w:line="240" w:lineRule="auto"/>
                    <w:ind w:firstLine="0" w:firstLineChars="0"/>
                    <w:jc w:val="center"/>
                    <w:rPr>
                      <w:color w:val="auto"/>
                      <w:sz w:val="21"/>
                      <w:szCs w:val="21"/>
                    </w:rPr>
                  </w:pPr>
                  <w:r>
                    <w:rPr>
                      <w:color w:val="auto"/>
                      <w:sz w:val="21"/>
                      <w:szCs w:val="21"/>
                    </w:rPr>
                    <w:t>禁止新建、改建和扩建不符合《全国内河航道与港口布局规划》等全国港口规划和《昭通市港口码头岸线规划(金沙江段2019年-2035年)》、《景洪港总体规划(2019--2035年)》等州(市)级以上港口布局规划以及港口总体规划的码头项目</w:t>
                  </w:r>
                </w:p>
              </w:tc>
              <w:tc>
                <w:tcPr>
                  <w:tcW w:w="2694" w:type="dxa"/>
                  <w:vAlign w:val="center"/>
                </w:tcPr>
                <w:p w14:paraId="2B57456C">
                  <w:pPr>
                    <w:spacing w:line="240" w:lineRule="auto"/>
                    <w:ind w:firstLine="0" w:firstLineChars="0"/>
                    <w:jc w:val="center"/>
                    <w:rPr>
                      <w:color w:val="auto"/>
                      <w:sz w:val="21"/>
                      <w:szCs w:val="21"/>
                    </w:rPr>
                  </w:pPr>
                  <w:r>
                    <w:rPr>
                      <w:color w:val="auto"/>
                      <w:sz w:val="21"/>
                      <w:szCs w:val="21"/>
                    </w:rPr>
                    <w:t>本项目为医院扩建项目，不属于码头项目</w:t>
                  </w:r>
                </w:p>
              </w:tc>
              <w:tc>
                <w:tcPr>
                  <w:tcW w:w="959" w:type="dxa"/>
                  <w:vAlign w:val="center"/>
                </w:tcPr>
                <w:p w14:paraId="56173B0E">
                  <w:pPr>
                    <w:spacing w:line="240" w:lineRule="auto"/>
                    <w:ind w:firstLine="0" w:firstLineChars="0"/>
                    <w:jc w:val="center"/>
                    <w:rPr>
                      <w:color w:val="auto"/>
                      <w:sz w:val="21"/>
                      <w:szCs w:val="21"/>
                    </w:rPr>
                  </w:pPr>
                  <w:r>
                    <w:rPr>
                      <w:color w:val="auto"/>
                      <w:sz w:val="21"/>
                      <w:szCs w:val="21"/>
                    </w:rPr>
                    <w:t>符合</w:t>
                  </w:r>
                </w:p>
              </w:tc>
            </w:tr>
            <w:tr w14:paraId="2EDA2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3" w:hRule="atLeast"/>
              </w:trPr>
              <w:tc>
                <w:tcPr>
                  <w:tcW w:w="4335" w:type="dxa"/>
                  <w:vAlign w:val="center"/>
                </w:tcPr>
                <w:p w14:paraId="3CEF031A">
                  <w:pPr>
                    <w:spacing w:line="240" w:lineRule="auto"/>
                    <w:ind w:firstLine="0" w:firstLineChars="0"/>
                    <w:jc w:val="center"/>
                    <w:rPr>
                      <w:color w:val="auto"/>
                      <w:sz w:val="21"/>
                      <w:szCs w:val="21"/>
                    </w:rPr>
                  </w:pPr>
                  <w:r>
                    <w:rPr>
                      <w:color w:val="auto"/>
                      <w:sz w:val="21"/>
                      <w:szCs w:val="21"/>
                    </w:rPr>
                    <w:t>禁止在自然保护区核心区、缓冲区的岸线和河段范围内投资建设旅游和生产经营项目。禁止建设与自然保护区保护向不一致的旅游项目。禁止在自然保护区内进行开矿、采石、挖沙等活动。禁止在自然保护区的核心区和缓冲区内建设任何生产设施，禁止在自然保护区的实验区内建设污染环境、破坏资源或者景观的生产设施</w:t>
                  </w:r>
                </w:p>
              </w:tc>
              <w:tc>
                <w:tcPr>
                  <w:tcW w:w="2694" w:type="dxa"/>
                  <w:vAlign w:val="center"/>
                </w:tcPr>
                <w:p w14:paraId="3D1B4220">
                  <w:pPr>
                    <w:spacing w:line="240" w:lineRule="auto"/>
                    <w:ind w:firstLine="0" w:firstLineChars="0"/>
                    <w:jc w:val="center"/>
                    <w:rPr>
                      <w:color w:val="auto"/>
                      <w:sz w:val="21"/>
                      <w:szCs w:val="21"/>
                    </w:rPr>
                  </w:pPr>
                  <w:r>
                    <w:rPr>
                      <w:color w:val="auto"/>
                      <w:sz w:val="21"/>
                      <w:szCs w:val="21"/>
                    </w:rPr>
                    <w:t>本项目在原项目占地内扩建，不占用各级自然保护区，也不在自然保护区内从事法律法规禁止的活动</w:t>
                  </w:r>
                </w:p>
              </w:tc>
              <w:tc>
                <w:tcPr>
                  <w:tcW w:w="959" w:type="dxa"/>
                  <w:vAlign w:val="center"/>
                </w:tcPr>
                <w:p w14:paraId="74984255">
                  <w:pPr>
                    <w:spacing w:line="240" w:lineRule="auto"/>
                    <w:ind w:firstLine="0" w:firstLineChars="0"/>
                    <w:jc w:val="center"/>
                    <w:rPr>
                      <w:color w:val="auto"/>
                      <w:sz w:val="21"/>
                      <w:szCs w:val="21"/>
                    </w:rPr>
                  </w:pPr>
                  <w:r>
                    <w:rPr>
                      <w:color w:val="auto"/>
                      <w:sz w:val="21"/>
                      <w:szCs w:val="21"/>
                    </w:rPr>
                    <w:t>符合</w:t>
                  </w:r>
                </w:p>
              </w:tc>
            </w:tr>
            <w:tr w14:paraId="5154A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trPr>
              <w:tc>
                <w:tcPr>
                  <w:tcW w:w="4335" w:type="dxa"/>
                  <w:vAlign w:val="center"/>
                </w:tcPr>
                <w:p w14:paraId="3BA85462">
                  <w:pPr>
                    <w:spacing w:line="240" w:lineRule="auto"/>
                    <w:ind w:firstLine="0" w:firstLineChars="0"/>
                    <w:jc w:val="center"/>
                    <w:rPr>
                      <w:color w:val="auto"/>
                      <w:sz w:val="21"/>
                      <w:szCs w:val="21"/>
                    </w:rPr>
                  </w:pPr>
                  <w:r>
                    <w:rPr>
                      <w:color w:val="auto"/>
                      <w:sz w:val="21"/>
                      <w:szCs w:val="21"/>
                    </w:rPr>
                    <w:t>禁止在风景名胜区核心景区的岸线和河段范围内投资建设与风景名胜资源保护无关的项目。禁止在风景名胜区内进行开山、采石、开矿、开荒、修坟立碑等破坏景观、植被和地形地貌的活动以及修建储存爆炸性、易燃性、放射性、毒害性、腐蚀性物品的设施；禁止在风景名胜区内设立开发区和在核心景区内建设宾馆、会所、培训中心、疗养院以及与风景名胜资源保护无关的投资建设项目</w:t>
                  </w:r>
                </w:p>
              </w:tc>
              <w:tc>
                <w:tcPr>
                  <w:tcW w:w="2694" w:type="dxa"/>
                  <w:vAlign w:val="center"/>
                </w:tcPr>
                <w:p w14:paraId="59D8AB79">
                  <w:pPr>
                    <w:spacing w:line="240" w:lineRule="auto"/>
                    <w:ind w:firstLine="0" w:firstLineChars="0"/>
                    <w:jc w:val="center"/>
                    <w:rPr>
                      <w:color w:val="auto"/>
                      <w:sz w:val="21"/>
                      <w:szCs w:val="21"/>
                    </w:rPr>
                  </w:pPr>
                  <w:r>
                    <w:rPr>
                      <w:color w:val="auto"/>
                      <w:sz w:val="21"/>
                      <w:szCs w:val="21"/>
                    </w:rPr>
                    <w:t>本项目在原项目占地内扩建，不占用旅游景区等相关内容，也不在风景名胜区内从事法律法规禁止的活动</w:t>
                  </w:r>
                </w:p>
              </w:tc>
              <w:tc>
                <w:tcPr>
                  <w:tcW w:w="959" w:type="dxa"/>
                  <w:vAlign w:val="center"/>
                </w:tcPr>
                <w:p w14:paraId="751406BD">
                  <w:pPr>
                    <w:spacing w:line="240" w:lineRule="auto"/>
                    <w:ind w:firstLine="0" w:firstLineChars="0"/>
                    <w:jc w:val="center"/>
                    <w:rPr>
                      <w:color w:val="auto"/>
                      <w:sz w:val="21"/>
                      <w:szCs w:val="21"/>
                    </w:rPr>
                  </w:pPr>
                  <w:r>
                    <w:rPr>
                      <w:color w:val="auto"/>
                      <w:sz w:val="21"/>
                      <w:szCs w:val="21"/>
                    </w:rPr>
                    <w:t>符合</w:t>
                  </w:r>
                </w:p>
              </w:tc>
            </w:tr>
            <w:tr w14:paraId="0E244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2" w:hRule="atLeast"/>
              </w:trPr>
              <w:tc>
                <w:tcPr>
                  <w:tcW w:w="4335" w:type="dxa"/>
                  <w:vAlign w:val="center"/>
                </w:tcPr>
                <w:p w14:paraId="7F945A77">
                  <w:pPr>
                    <w:spacing w:line="240" w:lineRule="auto"/>
                    <w:ind w:firstLine="0" w:firstLineChars="0"/>
                    <w:jc w:val="center"/>
                    <w:rPr>
                      <w:color w:val="auto"/>
                      <w:sz w:val="21"/>
                      <w:szCs w:val="21"/>
                    </w:rPr>
                  </w:pPr>
                  <w:r>
                    <w:rPr>
                      <w:color w:val="auto"/>
                      <w:sz w:val="21"/>
                      <w:szCs w:val="21"/>
                    </w:rPr>
                    <w:t>禁止在饮用水水源一级保护区的岸线和河段范围内新建、改建、扩建与供水设施和保护水源无关的投资建设项目，以及网箱养殖、畜禽养殖、旅游等可能污染饮用水水体的投资建设项目。禁止在饮用水水源二级保护区的岸线和河段范围内新建、改建、扩建排放污染物的投资建设项目</w:t>
                  </w:r>
                </w:p>
              </w:tc>
              <w:tc>
                <w:tcPr>
                  <w:tcW w:w="2694" w:type="dxa"/>
                  <w:vAlign w:val="center"/>
                </w:tcPr>
                <w:p w14:paraId="7C44C952">
                  <w:pPr>
                    <w:spacing w:line="240" w:lineRule="auto"/>
                    <w:ind w:firstLine="0" w:firstLineChars="0"/>
                    <w:jc w:val="center"/>
                    <w:rPr>
                      <w:color w:val="auto"/>
                      <w:sz w:val="21"/>
                      <w:szCs w:val="21"/>
                    </w:rPr>
                  </w:pPr>
                  <w:r>
                    <w:rPr>
                      <w:color w:val="auto"/>
                      <w:sz w:val="21"/>
                      <w:szCs w:val="21"/>
                    </w:rPr>
                    <w:t>本项目未占用饮用水水源保护范围，也不在饮用水水源保护范围内从事法律法规禁止的活动</w:t>
                  </w:r>
                </w:p>
              </w:tc>
              <w:tc>
                <w:tcPr>
                  <w:tcW w:w="959" w:type="dxa"/>
                  <w:vAlign w:val="center"/>
                </w:tcPr>
                <w:p w14:paraId="521345EB">
                  <w:pPr>
                    <w:spacing w:line="240" w:lineRule="auto"/>
                    <w:ind w:firstLine="0" w:firstLineChars="0"/>
                    <w:jc w:val="center"/>
                    <w:rPr>
                      <w:color w:val="auto"/>
                      <w:sz w:val="21"/>
                      <w:szCs w:val="21"/>
                    </w:rPr>
                  </w:pPr>
                  <w:r>
                    <w:rPr>
                      <w:color w:val="auto"/>
                      <w:sz w:val="21"/>
                      <w:szCs w:val="21"/>
                    </w:rPr>
                    <w:t>符合</w:t>
                  </w:r>
                </w:p>
              </w:tc>
            </w:tr>
            <w:tr w14:paraId="68088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2" w:hRule="atLeast"/>
              </w:trPr>
              <w:tc>
                <w:tcPr>
                  <w:tcW w:w="4335" w:type="dxa"/>
                  <w:vAlign w:val="center"/>
                </w:tcPr>
                <w:p w14:paraId="3210C324">
                  <w:pPr>
                    <w:spacing w:line="240" w:lineRule="auto"/>
                    <w:ind w:firstLine="0" w:firstLineChars="0"/>
                    <w:jc w:val="center"/>
                    <w:rPr>
                      <w:color w:val="auto"/>
                      <w:sz w:val="21"/>
                      <w:szCs w:val="21"/>
                    </w:rPr>
                  </w:pPr>
                  <w:r>
                    <w:rPr>
                      <w:color w:val="auto"/>
                      <w:sz w:val="21"/>
                      <w:szCs w:val="21"/>
                    </w:rPr>
                    <w:t>禁止在水产种质资源保护区的岸线和河段范围内新建围湖造田、围湖造地或围填海等投资建设项目。禁止擅自征收、占用国家湿地公园的土地；禁止在国家湿地公园内挖沙、采矿，以及建设度假村、高尔夫球场等任何不符合主体功能定位的投资建设项目</w:t>
                  </w:r>
                </w:p>
              </w:tc>
              <w:tc>
                <w:tcPr>
                  <w:tcW w:w="2694" w:type="dxa"/>
                  <w:vAlign w:val="center"/>
                </w:tcPr>
                <w:p w14:paraId="0E1EDF83">
                  <w:pPr>
                    <w:spacing w:line="240" w:lineRule="auto"/>
                    <w:ind w:firstLine="0" w:firstLineChars="0"/>
                    <w:jc w:val="center"/>
                    <w:rPr>
                      <w:color w:val="auto"/>
                      <w:sz w:val="21"/>
                      <w:szCs w:val="21"/>
                    </w:rPr>
                  </w:pPr>
                  <w:r>
                    <w:rPr>
                      <w:color w:val="auto"/>
                      <w:sz w:val="21"/>
                      <w:szCs w:val="21"/>
                    </w:rPr>
                    <w:t>本项目未占用水产种质资源保护区及其岸线和河段范围，也无征收、占用、挖沙、采矿等破坏湿地的活动</w:t>
                  </w:r>
                </w:p>
              </w:tc>
              <w:tc>
                <w:tcPr>
                  <w:tcW w:w="959" w:type="dxa"/>
                  <w:vAlign w:val="center"/>
                </w:tcPr>
                <w:p w14:paraId="5E4A3D93">
                  <w:pPr>
                    <w:spacing w:line="240" w:lineRule="auto"/>
                    <w:ind w:firstLine="0" w:firstLineChars="0"/>
                    <w:jc w:val="center"/>
                    <w:rPr>
                      <w:color w:val="auto"/>
                      <w:sz w:val="21"/>
                      <w:szCs w:val="21"/>
                    </w:rPr>
                  </w:pPr>
                  <w:r>
                    <w:rPr>
                      <w:color w:val="auto"/>
                      <w:sz w:val="21"/>
                      <w:szCs w:val="21"/>
                    </w:rPr>
                    <w:t>符合</w:t>
                  </w:r>
                </w:p>
              </w:tc>
            </w:tr>
            <w:tr w14:paraId="0E07D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2" w:hRule="atLeast"/>
              </w:trPr>
              <w:tc>
                <w:tcPr>
                  <w:tcW w:w="4335" w:type="dxa"/>
                  <w:vAlign w:val="center"/>
                </w:tcPr>
                <w:p w14:paraId="58DC31B1">
                  <w:pPr>
                    <w:spacing w:line="240" w:lineRule="auto"/>
                    <w:ind w:firstLine="0" w:firstLineChars="0"/>
                    <w:jc w:val="center"/>
                    <w:rPr>
                      <w:color w:val="auto"/>
                      <w:sz w:val="21"/>
                      <w:szCs w:val="21"/>
                    </w:rPr>
                  </w:pPr>
                  <w:r>
                    <w:rPr>
                      <w:color w:val="auto"/>
                      <w:sz w:val="21"/>
                      <w:szCs w:val="21"/>
                    </w:rPr>
                    <w:t>禁止违法利用、占用长江流域河湖岸线。禁止在金沙江岸线保护区和保留区内投资建设除事关公共安全及公众利益的防洪护岸、河道治理、供水、生态环境保护、航道整治、国家重要基础设施以外的项目。禁止在金沙江干流、九大高原湖泊保护区、保留区内投资建设不利于水资源及自然生态保护的项目</w:t>
                  </w:r>
                </w:p>
              </w:tc>
              <w:tc>
                <w:tcPr>
                  <w:tcW w:w="2694" w:type="dxa"/>
                  <w:vAlign w:val="center"/>
                </w:tcPr>
                <w:p w14:paraId="5C06CC59">
                  <w:pPr>
                    <w:spacing w:line="240" w:lineRule="auto"/>
                    <w:ind w:firstLine="0" w:firstLineChars="0"/>
                    <w:jc w:val="center"/>
                    <w:rPr>
                      <w:color w:val="auto"/>
                      <w:sz w:val="21"/>
                      <w:szCs w:val="21"/>
                    </w:rPr>
                  </w:pPr>
                  <w:r>
                    <w:rPr>
                      <w:color w:val="auto"/>
                      <w:sz w:val="21"/>
                      <w:szCs w:val="21"/>
                    </w:rPr>
                    <w:t>本项目为医院扩建项目，项目位于玉溪市江川区星云街道湖滨路北段14号</w:t>
                  </w:r>
                  <w:r>
                    <w:rPr>
                      <w:rFonts w:hint="eastAsia"/>
                      <w:color w:val="auto"/>
                      <w:sz w:val="21"/>
                      <w:szCs w:val="21"/>
                      <w:lang w:val="en-US" w:eastAsia="zh-CN"/>
                    </w:rPr>
                    <w:t>及玉溪市江川区江城镇振兴街53号</w:t>
                  </w:r>
                  <w:r>
                    <w:rPr>
                      <w:color w:val="auto"/>
                      <w:sz w:val="21"/>
                      <w:szCs w:val="21"/>
                    </w:rPr>
                    <w:t>，不在金沙江、长江流域河湖岸线内，也不在岸线内从</w:t>
                  </w:r>
                  <w:r>
                    <w:rPr>
                      <w:rFonts w:hint="eastAsia"/>
                      <w:color w:val="auto"/>
                      <w:sz w:val="21"/>
                      <w:szCs w:val="21"/>
                      <w:lang w:eastAsia="zh-CN"/>
                    </w:rPr>
                    <w:t>事</w:t>
                  </w:r>
                  <w:r>
                    <w:rPr>
                      <w:color w:val="auto"/>
                      <w:sz w:val="21"/>
                      <w:szCs w:val="21"/>
                    </w:rPr>
                    <w:t>法律法规禁止的活动</w:t>
                  </w:r>
                </w:p>
              </w:tc>
              <w:tc>
                <w:tcPr>
                  <w:tcW w:w="959" w:type="dxa"/>
                  <w:vAlign w:val="center"/>
                </w:tcPr>
                <w:p w14:paraId="77EF2BD8">
                  <w:pPr>
                    <w:spacing w:line="240" w:lineRule="auto"/>
                    <w:ind w:firstLine="0" w:firstLineChars="0"/>
                    <w:jc w:val="center"/>
                    <w:rPr>
                      <w:color w:val="auto"/>
                      <w:sz w:val="21"/>
                      <w:szCs w:val="21"/>
                    </w:rPr>
                  </w:pPr>
                  <w:r>
                    <w:rPr>
                      <w:color w:val="auto"/>
                      <w:sz w:val="21"/>
                      <w:szCs w:val="21"/>
                    </w:rPr>
                    <w:t>符合</w:t>
                  </w:r>
                </w:p>
              </w:tc>
            </w:tr>
            <w:tr w14:paraId="0A08B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 w:hRule="atLeast"/>
              </w:trPr>
              <w:tc>
                <w:tcPr>
                  <w:tcW w:w="4335" w:type="dxa"/>
                  <w:vAlign w:val="center"/>
                </w:tcPr>
                <w:p w14:paraId="3D440C44">
                  <w:pPr>
                    <w:spacing w:line="240" w:lineRule="auto"/>
                    <w:ind w:firstLine="0" w:firstLineChars="0"/>
                    <w:jc w:val="center"/>
                    <w:rPr>
                      <w:color w:val="auto"/>
                      <w:sz w:val="21"/>
                      <w:szCs w:val="21"/>
                    </w:rPr>
                  </w:pPr>
                  <w:r>
                    <w:rPr>
                      <w:color w:val="auto"/>
                      <w:sz w:val="21"/>
                      <w:szCs w:val="21"/>
                    </w:rPr>
                    <w:t>禁止在金沙江干流、长江一级支流建设除党中央、国务院、国家投资主管部门、省级有关部门批复同意以外的过江基础设施项目；禁止未经许可在金沙江干流、长江一级支流、九大高原湖泊流域新设、改设或扩大排污口</w:t>
                  </w:r>
                </w:p>
              </w:tc>
              <w:tc>
                <w:tcPr>
                  <w:tcW w:w="2694" w:type="dxa"/>
                  <w:vAlign w:val="center"/>
                </w:tcPr>
                <w:p w14:paraId="048E6598">
                  <w:pPr>
                    <w:spacing w:line="240" w:lineRule="auto"/>
                    <w:ind w:firstLine="0" w:firstLineChars="0"/>
                    <w:jc w:val="center"/>
                    <w:rPr>
                      <w:color w:val="auto"/>
                      <w:sz w:val="21"/>
                      <w:szCs w:val="21"/>
                    </w:rPr>
                  </w:pPr>
                  <w:r>
                    <w:rPr>
                      <w:color w:val="auto"/>
                      <w:sz w:val="21"/>
                      <w:szCs w:val="21"/>
                    </w:rPr>
                    <w:t>本项目为医院扩建项目，项目位于玉溪市江川区星云街道湖滨路北段14号</w:t>
                  </w:r>
                  <w:r>
                    <w:rPr>
                      <w:rFonts w:hint="eastAsia"/>
                      <w:color w:val="auto"/>
                      <w:sz w:val="21"/>
                      <w:szCs w:val="21"/>
                      <w:lang w:val="en-US" w:eastAsia="zh-CN"/>
                    </w:rPr>
                    <w:t>及玉溪市江川区江城镇振兴街53号</w:t>
                  </w:r>
                  <w:r>
                    <w:rPr>
                      <w:color w:val="auto"/>
                      <w:sz w:val="21"/>
                      <w:szCs w:val="21"/>
                    </w:rPr>
                    <w:t>，不在金沙江干流、长江一级支流及九大高原湖泊流域边界内新设、改设或扩大排污口</w:t>
                  </w:r>
                </w:p>
              </w:tc>
              <w:tc>
                <w:tcPr>
                  <w:tcW w:w="959" w:type="dxa"/>
                  <w:vAlign w:val="center"/>
                </w:tcPr>
                <w:p w14:paraId="29D9E957">
                  <w:pPr>
                    <w:spacing w:line="240" w:lineRule="auto"/>
                    <w:ind w:firstLine="0" w:firstLineChars="0"/>
                    <w:jc w:val="center"/>
                    <w:rPr>
                      <w:color w:val="auto"/>
                      <w:sz w:val="21"/>
                      <w:szCs w:val="21"/>
                    </w:rPr>
                  </w:pPr>
                  <w:r>
                    <w:rPr>
                      <w:color w:val="auto"/>
                      <w:sz w:val="21"/>
                      <w:szCs w:val="21"/>
                    </w:rPr>
                    <w:t>符合</w:t>
                  </w:r>
                </w:p>
              </w:tc>
            </w:tr>
            <w:tr w14:paraId="1543D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4335" w:type="dxa"/>
                  <w:vAlign w:val="center"/>
                </w:tcPr>
                <w:p w14:paraId="01C53D59">
                  <w:pPr>
                    <w:spacing w:line="240" w:lineRule="auto"/>
                    <w:ind w:firstLine="0" w:firstLineChars="0"/>
                    <w:jc w:val="center"/>
                    <w:rPr>
                      <w:color w:val="auto"/>
                      <w:sz w:val="21"/>
                      <w:szCs w:val="21"/>
                    </w:rPr>
                  </w:pPr>
                  <w:r>
                    <w:rPr>
                      <w:color w:val="auto"/>
                      <w:sz w:val="21"/>
                      <w:szCs w:val="21"/>
                    </w:rPr>
                    <w:t>禁止在金沙江干流、长江一级支流、水生生物保护区和长江流域禁捕水域开展天然渔业资源生产性捕捞</w:t>
                  </w:r>
                </w:p>
              </w:tc>
              <w:tc>
                <w:tcPr>
                  <w:tcW w:w="2694" w:type="dxa"/>
                  <w:vAlign w:val="center"/>
                </w:tcPr>
                <w:p w14:paraId="6A932899">
                  <w:pPr>
                    <w:spacing w:line="240" w:lineRule="auto"/>
                    <w:ind w:firstLine="0" w:firstLineChars="0"/>
                    <w:jc w:val="center"/>
                    <w:rPr>
                      <w:color w:val="auto"/>
                      <w:sz w:val="21"/>
                      <w:szCs w:val="21"/>
                    </w:rPr>
                  </w:pPr>
                  <w:r>
                    <w:rPr>
                      <w:color w:val="auto"/>
                      <w:sz w:val="21"/>
                      <w:szCs w:val="21"/>
                    </w:rPr>
                    <w:t>本项目为医院扩建项目，不涉及捕捞活动</w:t>
                  </w:r>
                </w:p>
              </w:tc>
              <w:tc>
                <w:tcPr>
                  <w:tcW w:w="959" w:type="dxa"/>
                  <w:vAlign w:val="center"/>
                </w:tcPr>
                <w:p w14:paraId="7B4191B8">
                  <w:pPr>
                    <w:spacing w:line="240" w:lineRule="auto"/>
                    <w:ind w:firstLine="0" w:firstLineChars="0"/>
                    <w:jc w:val="center"/>
                    <w:rPr>
                      <w:color w:val="auto"/>
                      <w:sz w:val="21"/>
                      <w:szCs w:val="21"/>
                    </w:rPr>
                  </w:pPr>
                  <w:r>
                    <w:rPr>
                      <w:color w:val="auto"/>
                      <w:sz w:val="21"/>
                      <w:szCs w:val="21"/>
                    </w:rPr>
                    <w:t>符合</w:t>
                  </w:r>
                </w:p>
              </w:tc>
            </w:tr>
            <w:tr w14:paraId="21284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2" w:hRule="atLeast"/>
              </w:trPr>
              <w:tc>
                <w:tcPr>
                  <w:tcW w:w="4335" w:type="dxa"/>
                  <w:vAlign w:val="center"/>
                </w:tcPr>
                <w:p w14:paraId="6BF201B0">
                  <w:pPr>
                    <w:spacing w:line="240" w:lineRule="auto"/>
                    <w:ind w:firstLine="0" w:firstLineChars="0"/>
                    <w:jc w:val="center"/>
                    <w:rPr>
                      <w:color w:val="auto"/>
                      <w:sz w:val="21"/>
                      <w:szCs w:val="21"/>
                    </w:rPr>
                  </w:pPr>
                  <w:r>
                    <w:rPr>
                      <w:color w:val="auto"/>
                      <w:sz w:val="21"/>
                      <w:szCs w:val="21"/>
                    </w:rPr>
                    <w:t>禁止在金沙江干流，长江一级支流和九大高原湖泊岸线一公里范围内新建、扩建化工园区和化工项目。禁止在金沙江干流岸线三公里范围内和长江一级支流岸线一公里范围内新建、改建、扩建尾矿库、冶炼渣库和磷石膏库，以提升安全、生态环境保护水平为目的的改建除外</w:t>
                  </w:r>
                </w:p>
              </w:tc>
              <w:tc>
                <w:tcPr>
                  <w:tcW w:w="2694" w:type="dxa"/>
                  <w:vAlign w:val="center"/>
                </w:tcPr>
                <w:p w14:paraId="5E8C7B44">
                  <w:pPr>
                    <w:spacing w:line="240" w:lineRule="auto"/>
                    <w:ind w:firstLine="0" w:firstLineChars="0"/>
                    <w:jc w:val="center"/>
                    <w:rPr>
                      <w:color w:val="auto"/>
                      <w:sz w:val="21"/>
                      <w:szCs w:val="21"/>
                    </w:rPr>
                  </w:pPr>
                  <w:r>
                    <w:rPr>
                      <w:color w:val="auto"/>
                      <w:sz w:val="21"/>
                      <w:szCs w:val="21"/>
                    </w:rPr>
                    <w:t>本项目为医院扩建项目，项目位于玉溪市江川区星云街道湖滨路北段14号</w:t>
                  </w:r>
                  <w:r>
                    <w:rPr>
                      <w:rFonts w:hint="eastAsia"/>
                      <w:color w:val="auto"/>
                      <w:sz w:val="21"/>
                      <w:szCs w:val="21"/>
                      <w:lang w:val="en-US" w:eastAsia="zh-CN"/>
                    </w:rPr>
                    <w:t>及玉溪市江川区江城镇振兴街53号</w:t>
                  </w:r>
                  <w:r>
                    <w:rPr>
                      <w:color w:val="auto"/>
                      <w:sz w:val="21"/>
                      <w:szCs w:val="21"/>
                    </w:rPr>
                    <w:t>，不在金沙江干流，长江一级支流和九大高原湖泊岸线三公里边界内，不属于化工园区、化工及尾矿库、冶炼渣库和磷石膏库类项目</w:t>
                  </w:r>
                </w:p>
              </w:tc>
              <w:tc>
                <w:tcPr>
                  <w:tcW w:w="959" w:type="dxa"/>
                  <w:vAlign w:val="center"/>
                </w:tcPr>
                <w:p w14:paraId="77353711">
                  <w:pPr>
                    <w:spacing w:line="240" w:lineRule="auto"/>
                    <w:ind w:firstLine="0" w:firstLineChars="0"/>
                    <w:jc w:val="center"/>
                    <w:rPr>
                      <w:color w:val="auto"/>
                      <w:sz w:val="21"/>
                      <w:szCs w:val="21"/>
                    </w:rPr>
                  </w:pPr>
                  <w:r>
                    <w:rPr>
                      <w:color w:val="auto"/>
                      <w:sz w:val="21"/>
                      <w:szCs w:val="21"/>
                    </w:rPr>
                    <w:t>符合</w:t>
                  </w:r>
                </w:p>
              </w:tc>
            </w:tr>
            <w:tr w14:paraId="7EA48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4335" w:type="dxa"/>
                  <w:vAlign w:val="center"/>
                </w:tcPr>
                <w:p w14:paraId="4E988EBB">
                  <w:pPr>
                    <w:spacing w:line="240" w:lineRule="auto"/>
                    <w:ind w:firstLine="0" w:firstLineChars="0"/>
                    <w:jc w:val="center"/>
                    <w:rPr>
                      <w:color w:val="auto"/>
                      <w:sz w:val="21"/>
                      <w:szCs w:val="21"/>
                    </w:rPr>
                  </w:pPr>
                  <w:r>
                    <w:rPr>
                      <w:color w:val="auto"/>
                      <w:sz w:val="21"/>
                      <w:szCs w:val="21"/>
                    </w:rPr>
                    <w:t>禁止在合规园区外新建、扩建钢铁、石化、化工、焦化、建材、有色、制浆造纸行业中的高污染项目</w:t>
                  </w:r>
                </w:p>
              </w:tc>
              <w:tc>
                <w:tcPr>
                  <w:tcW w:w="2694" w:type="dxa"/>
                  <w:vAlign w:val="center"/>
                </w:tcPr>
                <w:p w14:paraId="1DEA195E">
                  <w:pPr>
                    <w:spacing w:line="240" w:lineRule="auto"/>
                    <w:ind w:firstLine="0" w:firstLineChars="0"/>
                    <w:jc w:val="center"/>
                    <w:rPr>
                      <w:color w:val="auto"/>
                      <w:sz w:val="21"/>
                      <w:szCs w:val="21"/>
                    </w:rPr>
                  </w:pPr>
                  <w:r>
                    <w:rPr>
                      <w:color w:val="auto"/>
                      <w:sz w:val="21"/>
                      <w:szCs w:val="21"/>
                    </w:rPr>
                    <w:t>本项目为医院扩建项目，不属于钢铁、石化、化工、焦化、建材、有色、制浆造纸等高污染项目</w:t>
                  </w:r>
                </w:p>
              </w:tc>
              <w:tc>
                <w:tcPr>
                  <w:tcW w:w="959" w:type="dxa"/>
                  <w:vAlign w:val="center"/>
                </w:tcPr>
                <w:p w14:paraId="6AD40F22">
                  <w:pPr>
                    <w:spacing w:line="240" w:lineRule="auto"/>
                    <w:ind w:firstLine="0" w:firstLineChars="0"/>
                    <w:jc w:val="center"/>
                    <w:rPr>
                      <w:color w:val="auto"/>
                      <w:sz w:val="21"/>
                      <w:szCs w:val="21"/>
                    </w:rPr>
                  </w:pPr>
                  <w:r>
                    <w:rPr>
                      <w:color w:val="auto"/>
                      <w:sz w:val="21"/>
                      <w:szCs w:val="21"/>
                    </w:rPr>
                    <w:t>符合</w:t>
                  </w:r>
                </w:p>
              </w:tc>
            </w:tr>
            <w:tr w14:paraId="24D09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 w:hRule="atLeast"/>
              </w:trPr>
              <w:tc>
                <w:tcPr>
                  <w:tcW w:w="4335" w:type="dxa"/>
                  <w:vAlign w:val="center"/>
                </w:tcPr>
                <w:p w14:paraId="316C34D7">
                  <w:pPr>
                    <w:spacing w:line="240" w:lineRule="auto"/>
                    <w:ind w:firstLine="0" w:firstLineChars="0"/>
                    <w:jc w:val="center"/>
                    <w:rPr>
                      <w:color w:val="auto"/>
                      <w:sz w:val="21"/>
                      <w:szCs w:val="21"/>
                    </w:rPr>
                  </w:pPr>
                  <w:r>
                    <w:rPr>
                      <w:color w:val="auto"/>
                      <w:sz w:val="21"/>
                      <w:szCs w:val="21"/>
                    </w:rPr>
                    <w:t>禁止新建、扩建不符合国家石化、现代煤化工等产业布局规划的项目。禁止列入《云南省城镇人口密集区危险化学品生产企业搬迁改造名单》的搬迁改造企业在原址新建、扩建危险化学品生产项目</w:t>
                  </w:r>
                </w:p>
              </w:tc>
              <w:tc>
                <w:tcPr>
                  <w:tcW w:w="2694" w:type="dxa"/>
                  <w:vAlign w:val="center"/>
                </w:tcPr>
                <w:p w14:paraId="3E9A829D">
                  <w:pPr>
                    <w:spacing w:line="240" w:lineRule="auto"/>
                    <w:ind w:firstLine="0" w:firstLineChars="0"/>
                    <w:jc w:val="center"/>
                    <w:rPr>
                      <w:color w:val="auto"/>
                      <w:sz w:val="21"/>
                      <w:szCs w:val="21"/>
                    </w:rPr>
                  </w:pPr>
                  <w:r>
                    <w:rPr>
                      <w:color w:val="auto"/>
                      <w:sz w:val="21"/>
                      <w:szCs w:val="21"/>
                    </w:rPr>
                    <w:t>本项目为医院扩建项目，不属于石化、现代煤化工及危险化学品类项目</w:t>
                  </w:r>
                </w:p>
              </w:tc>
              <w:tc>
                <w:tcPr>
                  <w:tcW w:w="959" w:type="dxa"/>
                  <w:vAlign w:val="center"/>
                </w:tcPr>
                <w:p w14:paraId="09034920">
                  <w:pPr>
                    <w:spacing w:line="240" w:lineRule="auto"/>
                    <w:ind w:firstLine="0" w:firstLineChars="0"/>
                    <w:jc w:val="center"/>
                    <w:rPr>
                      <w:color w:val="auto"/>
                      <w:sz w:val="21"/>
                      <w:szCs w:val="21"/>
                    </w:rPr>
                  </w:pPr>
                  <w:r>
                    <w:rPr>
                      <w:color w:val="auto"/>
                      <w:sz w:val="21"/>
                      <w:szCs w:val="21"/>
                    </w:rPr>
                    <w:t>符合</w:t>
                  </w:r>
                </w:p>
              </w:tc>
            </w:tr>
            <w:tr w14:paraId="05838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7" w:hRule="atLeast"/>
              </w:trPr>
              <w:tc>
                <w:tcPr>
                  <w:tcW w:w="4335" w:type="dxa"/>
                  <w:vAlign w:val="center"/>
                </w:tcPr>
                <w:p w14:paraId="4CC60B42">
                  <w:pPr>
                    <w:spacing w:line="240" w:lineRule="auto"/>
                    <w:ind w:firstLine="0" w:firstLineChars="0"/>
                    <w:jc w:val="center"/>
                    <w:rPr>
                      <w:color w:val="auto"/>
                      <w:sz w:val="21"/>
                      <w:szCs w:val="21"/>
                    </w:rPr>
                  </w:pPr>
                  <w:r>
                    <w:rPr>
                      <w:color w:val="auto"/>
                      <w:sz w:val="21"/>
                      <w:szCs w:val="21"/>
                    </w:rPr>
                    <w:t>禁止新建、扩建法律法规和相关政策</w:t>
                  </w:r>
                  <w:r>
                    <w:rPr>
                      <w:rFonts w:hint="eastAsia"/>
                      <w:color w:val="auto"/>
                      <w:sz w:val="21"/>
                      <w:szCs w:val="21"/>
                      <w:lang w:eastAsia="zh-CN"/>
                    </w:rPr>
                    <w:t>明令禁止</w:t>
                  </w:r>
                  <w:r>
                    <w:rPr>
                      <w:color w:val="auto"/>
                      <w:sz w:val="21"/>
                      <w:szCs w:val="21"/>
                    </w:rPr>
                    <w:t>的落后产能项目，依法依规关停退出能耗、环保、质量、安全不达标产能和技术落后产能。禁止新建、扩建不符合国家产能置换要求的过剩产能行业的项目。禁止新建、扩建不符合要求的高耗能、高排放项目，推动退出重点高耗能行业“限制类”产能。禁止建设高毒高残留以及对环境影响大的农药原药生产装置，严控尿素、磷铵、电石、焦炭、黄磷、烧碱、纯碱、聚氯乙烯等行业新增产能</w:t>
                  </w:r>
                </w:p>
              </w:tc>
              <w:tc>
                <w:tcPr>
                  <w:tcW w:w="2694" w:type="dxa"/>
                  <w:vAlign w:val="center"/>
                </w:tcPr>
                <w:p w14:paraId="7DE6FCE6">
                  <w:pPr>
                    <w:spacing w:line="240" w:lineRule="auto"/>
                    <w:ind w:firstLine="0" w:firstLineChars="0"/>
                    <w:jc w:val="center"/>
                    <w:rPr>
                      <w:color w:val="auto"/>
                      <w:sz w:val="21"/>
                      <w:szCs w:val="21"/>
                    </w:rPr>
                  </w:pPr>
                  <w:r>
                    <w:rPr>
                      <w:color w:val="auto"/>
                      <w:sz w:val="21"/>
                      <w:szCs w:val="21"/>
                    </w:rPr>
                    <w:t>本项目不属于尿素、磷铵、电石、焦炭、黄磷、烧碱、纯碱、聚氯乙烯等高耗能、高排放项目</w:t>
                  </w:r>
                </w:p>
              </w:tc>
              <w:tc>
                <w:tcPr>
                  <w:tcW w:w="959" w:type="dxa"/>
                  <w:vAlign w:val="center"/>
                </w:tcPr>
                <w:p w14:paraId="07361A3E">
                  <w:pPr>
                    <w:spacing w:line="240" w:lineRule="auto"/>
                    <w:ind w:firstLine="0" w:firstLineChars="0"/>
                    <w:jc w:val="center"/>
                    <w:rPr>
                      <w:color w:val="auto"/>
                      <w:sz w:val="21"/>
                      <w:szCs w:val="21"/>
                    </w:rPr>
                  </w:pPr>
                  <w:r>
                    <w:rPr>
                      <w:color w:val="auto"/>
                      <w:sz w:val="21"/>
                      <w:szCs w:val="21"/>
                    </w:rPr>
                    <w:t>符合</w:t>
                  </w:r>
                </w:p>
              </w:tc>
            </w:tr>
          </w:tbl>
          <w:p w14:paraId="20E7CB4D">
            <w:pPr>
              <w:pStyle w:val="2"/>
              <w:ind w:firstLine="482" w:firstLineChars="200"/>
              <w:rPr>
                <w:b/>
                <w:bCs/>
                <w:color w:val="auto"/>
                <w:kern w:val="2"/>
                <w:sz w:val="24"/>
                <w:szCs w:val="22"/>
              </w:rPr>
            </w:pPr>
            <w:r>
              <w:rPr>
                <w:b/>
                <w:bCs/>
                <w:color w:val="auto"/>
                <w:kern w:val="2"/>
                <w:sz w:val="24"/>
                <w:szCs w:val="22"/>
              </w:rPr>
              <w:t>（</w:t>
            </w:r>
            <w:r>
              <w:rPr>
                <w:rFonts w:hint="eastAsia"/>
                <w:b/>
                <w:bCs/>
                <w:color w:val="auto"/>
                <w:kern w:val="2"/>
                <w:sz w:val="24"/>
                <w:szCs w:val="22"/>
                <w:lang w:val="en-US" w:eastAsia="zh-CN"/>
              </w:rPr>
              <w:t>5</w:t>
            </w:r>
            <w:r>
              <w:rPr>
                <w:b/>
                <w:bCs/>
                <w:color w:val="auto"/>
                <w:kern w:val="2"/>
                <w:sz w:val="24"/>
                <w:szCs w:val="22"/>
              </w:rPr>
              <w:t>）选址合理性分析</w:t>
            </w:r>
          </w:p>
          <w:p w14:paraId="46D1AB0C">
            <w:pPr>
              <w:ind w:firstLine="480"/>
              <w:rPr>
                <w:color w:val="auto"/>
                <w:kern w:val="0"/>
                <w:szCs w:val="24"/>
                <w:lang w:bidi="ar"/>
              </w:rPr>
            </w:pPr>
            <w:r>
              <w:rPr>
                <w:color w:val="auto"/>
                <w:kern w:val="0"/>
                <w:szCs w:val="24"/>
                <w:lang w:bidi="ar"/>
              </w:rPr>
              <w:t>项目</w:t>
            </w:r>
            <w:r>
              <w:rPr>
                <w:rFonts w:hint="eastAsia"/>
                <w:color w:val="auto"/>
                <w:kern w:val="0"/>
                <w:szCs w:val="24"/>
                <w:lang w:bidi="ar"/>
              </w:rPr>
              <w:t>位于</w:t>
            </w:r>
            <w:r>
              <w:rPr>
                <w:color w:val="auto"/>
              </w:rPr>
              <w:t>玉溪市江川区星云街道湖滨路北段14号</w:t>
            </w:r>
            <w:r>
              <w:rPr>
                <w:rFonts w:hint="eastAsia"/>
                <w:color w:val="auto"/>
                <w:lang w:eastAsia="zh-CN"/>
              </w:rPr>
              <w:t>（</w:t>
            </w:r>
            <w:r>
              <w:rPr>
                <w:rFonts w:hint="eastAsia"/>
                <w:color w:val="auto"/>
                <w:lang w:val="en-US" w:eastAsia="zh-CN"/>
              </w:rPr>
              <w:t>玉溪市江川区医共体总院</w:t>
            </w:r>
            <w:r>
              <w:rPr>
                <w:rFonts w:hint="eastAsia"/>
                <w:color w:val="auto"/>
                <w:lang w:eastAsia="zh-CN"/>
              </w:rPr>
              <w:t>）</w:t>
            </w:r>
            <w:r>
              <w:rPr>
                <w:rFonts w:hint="eastAsia"/>
                <w:color w:val="auto"/>
                <w:lang w:val="en-US" w:eastAsia="zh-CN"/>
              </w:rPr>
              <w:t>及</w:t>
            </w:r>
            <w:r>
              <w:rPr>
                <w:rFonts w:hint="eastAsia" w:eastAsia="宋体"/>
                <w:color w:val="auto"/>
                <w:lang w:val="en-US" w:eastAsia="zh-CN"/>
              </w:rPr>
              <w:t>玉溪市江川区江城镇振兴街53号</w:t>
            </w:r>
            <w:r>
              <w:rPr>
                <w:rFonts w:hint="eastAsia"/>
                <w:color w:val="auto"/>
                <w:lang w:val="en-US" w:eastAsia="zh-CN"/>
              </w:rPr>
              <w:t>（江城镇卫生院）</w:t>
            </w:r>
            <w:r>
              <w:rPr>
                <w:rFonts w:hint="eastAsia"/>
                <w:color w:val="auto"/>
                <w:kern w:val="0"/>
                <w:szCs w:val="24"/>
                <w:lang w:bidi="ar"/>
              </w:rPr>
              <w:t>，</w:t>
            </w:r>
            <w:r>
              <w:rPr>
                <w:color w:val="auto"/>
                <w:kern w:val="0"/>
                <w:szCs w:val="24"/>
                <w:lang w:bidi="ar"/>
              </w:rPr>
              <w:t>在原场地内新建</w:t>
            </w:r>
            <w:r>
              <w:rPr>
                <w:rFonts w:hint="eastAsia"/>
                <w:color w:val="auto"/>
                <w:kern w:val="0"/>
                <w:szCs w:val="24"/>
                <w:lang w:eastAsia="zh-CN" w:bidi="ar"/>
              </w:rPr>
              <w:t>玉溪市江川区医共体总医院</w:t>
            </w:r>
            <w:r>
              <w:rPr>
                <w:rFonts w:hint="eastAsia"/>
                <w:color w:val="auto"/>
                <w:kern w:val="0"/>
                <w:szCs w:val="24"/>
                <w:lang w:val="en-US" w:eastAsia="zh-CN" w:bidi="ar"/>
              </w:rPr>
              <w:t>消毒供应中心</w:t>
            </w:r>
            <w:r>
              <w:rPr>
                <w:color w:val="auto"/>
                <w:kern w:val="0"/>
                <w:szCs w:val="24"/>
                <w:lang w:bidi="ar"/>
              </w:rPr>
              <w:t>，</w:t>
            </w:r>
            <w:r>
              <w:rPr>
                <w:rFonts w:hint="eastAsia"/>
                <w:color w:val="auto"/>
                <w:kern w:val="0"/>
                <w:szCs w:val="24"/>
                <w:lang w:val="en-US" w:eastAsia="zh-CN" w:bidi="ar"/>
              </w:rPr>
              <w:t>在江城卫生院现址，进行拆除及新建医疗卫生次中心，</w:t>
            </w:r>
            <w:r>
              <w:rPr>
                <w:color w:val="auto"/>
                <w:kern w:val="0"/>
                <w:szCs w:val="24"/>
                <w:lang w:bidi="ar"/>
              </w:rPr>
              <w:t>未新增占地，不涉及</w:t>
            </w:r>
            <w:r>
              <w:rPr>
                <w:rFonts w:hint="eastAsia"/>
                <w:color w:val="auto"/>
                <w:kern w:val="0"/>
                <w:szCs w:val="24"/>
                <w:lang w:bidi="ar"/>
              </w:rPr>
              <w:t>生态红线，环境质量底线、资源利用上线和生态环境准入清单，项目的建设符合“三线一单”的要求</w:t>
            </w:r>
            <w:r>
              <w:rPr>
                <w:color w:val="auto"/>
                <w:kern w:val="0"/>
                <w:szCs w:val="24"/>
                <w:lang w:bidi="ar"/>
              </w:rPr>
              <w:t>；且符合《云南省星云湖保护条例》相关规定。</w:t>
            </w:r>
            <w:r>
              <w:rPr>
                <w:rFonts w:hint="eastAsia"/>
                <w:color w:val="auto"/>
                <w:kern w:val="0"/>
                <w:szCs w:val="24"/>
                <w:lang w:bidi="ar"/>
              </w:rPr>
              <w:t>且项目的建设实提升</w:t>
            </w:r>
            <w:r>
              <w:rPr>
                <w:rFonts w:hint="eastAsia"/>
                <w:color w:val="auto"/>
                <w:kern w:val="0"/>
                <w:szCs w:val="24"/>
                <w:lang w:eastAsia="zh-CN" w:bidi="ar"/>
              </w:rPr>
              <w:t>玉溪市江川区医共体总医院</w:t>
            </w:r>
            <w:r>
              <w:rPr>
                <w:rFonts w:hint="eastAsia"/>
                <w:color w:val="auto"/>
                <w:kern w:val="0"/>
                <w:szCs w:val="24"/>
                <w:lang w:bidi="ar"/>
              </w:rPr>
              <w:t>救治能力和住院功能两大板块的建设，有力促进</w:t>
            </w:r>
            <w:r>
              <w:rPr>
                <w:rFonts w:hint="eastAsia"/>
                <w:color w:val="auto"/>
                <w:kern w:val="0"/>
                <w:szCs w:val="24"/>
                <w:lang w:eastAsia="zh-CN" w:bidi="ar"/>
              </w:rPr>
              <w:t>玉溪市江川区医共体总医院</w:t>
            </w:r>
            <w:r>
              <w:rPr>
                <w:rFonts w:hint="eastAsia"/>
                <w:color w:val="auto"/>
                <w:kern w:val="0"/>
                <w:szCs w:val="24"/>
                <w:lang w:bidi="ar"/>
              </w:rPr>
              <w:t>的建设，并发挥珍惜生命、关爱生命的宗旨，保障了全区人民群众的身体健康，解决人民群众新的“看病难、住院难”的问题。</w:t>
            </w:r>
            <w:r>
              <w:rPr>
                <w:color w:val="auto"/>
                <w:kern w:val="0"/>
                <w:szCs w:val="24"/>
                <w:lang w:bidi="ar"/>
              </w:rPr>
              <w:t>因此，项目选址合理。</w:t>
            </w:r>
          </w:p>
          <w:p w14:paraId="2C4B1C8D">
            <w:pPr>
              <w:autoSpaceDE w:val="0"/>
              <w:autoSpaceDN w:val="0"/>
              <w:adjustRightInd w:val="0"/>
              <w:snapToGrid w:val="0"/>
              <w:spacing w:line="360" w:lineRule="auto"/>
              <w:ind w:firstLine="482" w:firstLineChars="200"/>
              <w:rPr>
                <w:rFonts w:ascii="Times New Roman" w:hAnsi="Times New Roman" w:eastAsia="宋体" w:cs="Times New Roman"/>
                <w:b/>
                <w:bCs/>
                <w:color w:val="auto"/>
                <w:kern w:val="2"/>
                <w:sz w:val="24"/>
                <w:szCs w:val="22"/>
                <w:lang w:val="en-US" w:eastAsia="zh-CN" w:bidi="ar-SA"/>
              </w:rPr>
            </w:pPr>
            <w:r>
              <w:rPr>
                <w:rFonts w:hint="eastAsia"/>
                <w:b/>
                <w:color w:val="auto"/>
                <w:szCs w:val="21"/>
                <w:lang w:eastAsia="zh-CN"/>
              </w:rPr>
              <w:t>（</w:t>
            </w:r>
            <w:r>
              <w:rPr>
                <w:rFonts w:hint="eastAsia" w:cs="Times New Roman"/>
                <w:b/>
                <w:bCs/>
                <w:color w:val="auto"/>
                <w:kern w:val="2"/>
                <w:sz w:val="24"/>
                <w:szCs w:val="22"/>
                <w:lang w:val="en-US" w:eastAsia="zh-CN" w:bidi="ar-SA"/>
              </w:rPr>
              <w:t>6</w:t>
            </w:r>
            <w:r>
              <w:rPr>
                <w:rFonts w:hint="eastAsia" w:ascii="Times New Roman" w:hAnsi="Times New Roman" w:eastAsia="宋体" w:cs="Times New Roman"/>
                <w:b/>
                <w:bCs/>
                <w:color w:val="auto"/>
                <w:kern w:val="2"/>
                <w:sz w:val="24"/>
                <w:szCs w:val="22"/>
                <w:lang w:val="en-US" w:eastAsia="zh-CN" w:bidi="ar-SA"/>
              </w:rPr>
              <w:t>）</w:t>
            </w:r>
            <w:r>
              <w:rPr>
                <w:b/>
                <w:bCs/>
                <w:color w:val="auto"/>
                <w:szCs w:val="21"/>
              </w:rPr>
              <w:t>与《</w:t>
            </w:r>
            <w:r>
              <w:rPr>
                <w:rFonts w:hint="eastAsia"/>
                <w:b/>
                <w:bCs/>
                <w:color w:val="auto"/>
                <w:szCs w:val="21"/>
              </w:rPr>
              <w:t>关</w:t>
            </w:r>
            <w:r>
              <w:rPr>
                <w:rFonts w:hint="eastAsia"/>
                <w:b/>
                <w:color w:val="auto"/>
                <w:szCs w:val="21"/>
              </w:rPr>
              <w:t>于深入打好污染防治攻坚战的实施意见</w:t>
            </w:r>
            <w:r>
              <w:rPr>
                <w:b/>
                <w:color w:val="auto"/>
                <w:szCs w:val="21"/>
              </w:rPr>
              <w:t>》相符性</w:t>
            </w:r>
          </w:p>
          <w:p w14:paraId="59E6984D">
            <w:pPr>
              <w:ind w:firstLine="480"/>
              <w:rPr>
                <w:color w:val="auto"/>
                <w:kern w:val="0"/>
                <w:szCs w:val="24"/>
                <w:lang w:bidi="ar"/>
              </w:rPr>
            </w:pPr>
            <w:r>
              <w:rPr>
                <w:rFonts w:hint="eastAsia"/>
                <w:color w:val="auto"/>
                <w:kern w:val="0"/>
                <w:szCs w:val="24"/>
                <w:lang w:bidi="ar"/>
              </w:rPr>
              <w:t>2022年7月27日云南省发布了《中共云南省委云南省人民政府关于深入打好污染防治攻坚战的实施意见》，本项目与其符合性分析见下表所示：</w:t>
            </w:r>
          </w:p>
          <w:p w14:paraId="307AF3C0">
            <w:pPr>
              <w:spacing w:line="240" w:lineRule="auto"/>
              <w:ind w:firstLine="422"/>
              <w:jc w:val="center"/>
              <w:rPr>
                <w:b/>
                <w:bCs/>
                <w:color w:val="auto"/>
                <w:sz w:val="21"/>
                <w:szCs w:val="21"/>
              </w:rPr>
            </w:pPr>
            <w:r>
              <w:rPr>
                <w:b/>
                <w:bCs/>
                <w:color w:val="auto"/>
                <w:sz w:val="21"/>
                <w:szCs w:val="21"/>
              </w:rPr>
              <w:t>表1-</w:t>
            </w:r>
            <w:r>
              <w:rPr>
                <w:rFonts w:hint="eastAsia"/>
                <w:b/>
                <w:bCs/>
                <w:color w:val="auto"/>
                <w:sz w:val="21"/>
                <w:szCs w:val="21"/>
                <w:lang w:val="en-US" w:eastAsia="zh-CN"/>
              </w:rPr>
              <w:t>8</w:t>
            </w:r>
            <w:r>
              <w:rPr>
                <w:b/>
                <w:bCs/>
                <w:color w:val="auto"/>
                <w:sz w:val="21"/>
                <w:szCs w:val="21"/>
              </w:rPr>
              <w:t>项目与《</w:t>
            </w:r>
            <w:r>
              <w:rPr>
                <w:rFonts w:hint="eastAsia"/>
                <w:b/>
                <w:bCs/>
                <w:color w:val="auto"/>
                <w:sz w:val="21"/>
                <w:szCs w:val="21"/>
              </w:rPr>
              <w:t>关于深入打好污染防治攻坚战的实施意见</w:t>
            </w:r>
            <w:r>
              <w:rPr>
                <w:b/>
                <w:bCs/>
                <w:color w:val="auto"/>
                <w:sz w:val="21"/>
                <w:szCs w:val="21"/>
              </w:rPr>
              <w:t>》符合分析表</w:t>
            </w:r>
          </w:p>
          <w:tbl>
            <w:tblPr>
              <w:tblStyle w:val="20"/>
              <w:tblW w:w="8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27"/>
              <w:gridCol w:w="4206"/>
              <w:gridCol w:w="645"/>
            </w:tblGrid>
            <w:tr w14:paraId="2EC37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3827" w:type="dxa"/>
                  <w:vAlign w:val="center"/>
                </w:tcPr>
                <w:p w14:paraId="75CC95B4">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意见要求</w:t>
                  </w:r>
                </w:p>
              </w:tc>
              <w:tc>
                <w:tcPr>
                  <w:tcW w:w="4206" w:type="dxa"/>
                  <w:vAlign w:val="center"/>
                </w:tcPr>
                <w:p w14:paraId="46F5B056">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项目情况</w:t>
                  </w:r>
                </w:p>
              </w:tc>
              <w:tc>
                <w:tcPr>
                  <w:tcW w:w="645" w:type="dxa"/>
                  <w:vAlign w:val="center"/>
                </w:tcPr>
                <w:p w14:paraId="26B3E99B">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符合性</w:t>
                  </w:r>
                </w:p>
              </w:tc>
            </w:tr>
            <w:tr w14:paraId="4D8D0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78" w:type="dxa"/>
                  <w:gridSpan w:val="3"/>
                  <w:vAlign w:val="center"/>
                </w:tcPr>
                <w:p w14:paraId="764F7D4F">
                  <w:pPr>
                    <w:spacing w:line="240" w:lineRule="auto"/>
                    <w:ind w:firstLine="0" w:firstLineChars="0"/>
                    <w:jc w:val="center"/>
                    <w:rPr>
                      <w:color w:val="auto"/>
                      <w:sz w:val="21"/>
                      <w:szCs w:val="21"/>
                    </w:rPr>
                  </w:pPr>
                  <w:r>
                    <w:rPr>
                      <w:rFonts w:hint="eastAsia"/>
                      <w:color w:val="auto"/>
                      <w:sz w:val="21"/>
                      <w:szCs w:val="21"/>
                    </w:rPr>
                    <w:t>三、深入打好蓝天保卫战</w:t>
                  </w:r>
                </w:p>
              </w:tc>
            </w:tr>
            <w:tr w14:paraId="3B870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827" w:type="dxa"/>
                  <w:vAlign w:val="center"/>
                </w:tcPr>
                <w:p w14:paraId="52B93A07">
                  <w:pPr>
                    <w:spacing w:line="240" w:lineRule="auto"/>
                    <w:ind w:firstLine="0" w:firstLineChars="0"/>
                    <w:jc w:val="center"/>
                    <w:rPr>
                      <w:color w:val="auto"/>
                      <w:sz w:val="21"/>
                      <w:szCs w:val="21"/>
                    </w:rPr>
                  </w:pPr>
                  <w:r>
                    <w:rPr>
                      <w:color w:val="auto"/>
                      <w:sz w:val="21"/>
                      <w:szCs w:val="21"/>
                    </w:rPr>
                    <w:t>（一）持续打好柴油货车污染治理攻坚战。深入开展清洁柴油车（机）行动，基本淘汰国三及以下排放标准汽车。加大清洁能源汽车推广力度，推动氢燃料电池汽车示范应用。以大宗货物运输“公转铁”、“公转水”为重点推进运输结构调整。</w:t>
                  </w:r>
                </w:p>
              </w:tc>
              <w:tc>
                <w:tcPr>
                  <w:tcW w:w="4206" w:type="dxa"/>
                  <w:vAlign w:val="center"/>
                </w:tcPr>
                <w:p w14:paraId="02D817D9">
                  <w:pPr>
                    <w:spacing w:line="240" w:lineRule="auto"/>
                    <w:ind w:firstLine="0" w:firstLineChars="0"/>
                    <w:jc w:val="center"/>
                    <w:rPr>
                      <w:color w:val="auto"/>
                      <w:sz w:val="21"/>
                      <w:szCs w:val="21"/>
                    </w:rPr>
                  </w:pPr>
                  <w:r>
                    <w:rPr>
                      <w:rFonts w:hint="eastAsia"/>
                      <w:color w:val="auto"/>
                      <w:sz w:val="21"/>
                      <w:szCs w:val="21"/>
                    </w:rPr>
                    <w:t>本项目使用运输车辆，不属于</w:t>
                  </w:r>
                  <w:r>
                    <w:rPr>
                      <w:color w:val="auto"/>
                      <w:sz w:val="21"/>
                      <w:szCs w:val="21"/>
                    </w:rPr>
                    <w:t>国三及以下排放标准汽车</w:t>
                  </w:r>
                  <w:r>
                    <w:rPr>
                      <w:rFonts w:hint="eastAsia"/>
                      <w:color w:val="auto"/>
                      <w:sz w:val="21"/>
                      <w:szCs w:val="21"/>
                    </w:rPr>
                    <w:t>。</w:t>
                  </w:r>
                </w:p>
              </w:tc>
              <w:tc>
                <w:tcPr>
                  <w:tcW w:w="645" w:type="dxa"/>
                  <w:vAlign w:val="center"/>
                </w:tcPr>
                <w:p w14:paraId="36F4939D">
                  <w:pPr>
                    <w:spacing w:line="240" w:lineRule="auto"/>
                    <w:ind w:firstLine="0" w:firstLineChars="0"/>
                    <w:jc w:val="center"/>
                    <w:rPr>
                      <w:color w:val="auto"/>
                      <w:sz w:val="21"/>
                      <w:szCs w:val="21"/>
                    </w:rPr>
                  </w:pPr>
                  <w:r>
                    <w:rPr>
                      <w:rFonts w:hint="eastAsia"/>
                      <w:color w:val="auto"/>
                      <w:sz w:val="21"/>
                      <w:szCs w:val="21"/>
                    </w:rPr>
                    <w:t>符合</w:t>
                  </w:r>
                </w:p>
              </w:tc>
            </w:tr>
            <w:tr w14:paraId="40520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827" w:type="dxa"/>
                  <w:vAlign w:val="center"/>
                </w:tcPr>
                <w:p w14:paraId="6436B9BC">
                  <w:pPr>
                    <w:spacing w:line="240" w:lineRule="auto"/>
                    <w:ind w:firstLine="0" w:firstLineChars="0"/>
                    <w:jc w:val="center"/>
                    <w:rPr>
                      <w:color w:val="auto"/>
                      <w:sz w:val="21"/>
                      <w:szCs w:val="21"/>
                    </w:rPr>
                  </w:pPr>
                  <w:r>
                    <w:rPr>
                      <w:color w:val="auto"/>
                      <w:sz w:val="21"/>
                      <w:szCs w:val="21"/>
                    </w:rPr>
                    <w:t>（二）深入打好建筑施工工地扬尘污染治理攻坚战。全面推行绿色施工，落实施工工地“六个百分之百”工作要求，推动扬尘精细化管控。加强建筑渣土运输管理，严格落实密闭运输措施。强化施工、道路、堆场、裸露地面等扬尘管控。</w:t>
                  </w:r>
                </w:p>
              </w:tc>
              <w:tc>
                <w:tcPr>
                  <w:tcW w:w="4206" w:type="dxa"/>
                  <w:vAlign w:val="center"/>
                </w:tcPr>
                <w:p w14:paraId="51C8CFCD">
                  <w:pPr>
                    <w:spacing w:line="240" w:lineRule="auto"/>
                    <w:ind w:firstLine="0" w:firstLineChars="0"/>
                    <w:jc w:val="center"/>
                    <w:rPr>
                      <w:color w:val="auto"/>
                      <w:sz w:val="21"/>
                      <w:szCs w:val="21"/>
                    </w:rPr>
                  </w:pPr>
                  <w:r>
                    <w:rPr>
                      <w:rFonts w:hint="eastAsia"/>
                      <w:color w:val="auto"/>
                      <w:sz w:val="21"/>
                      <w:szCs w:val="21"/>
                    </w:rPr>
                    <w:t>本项目施工工地</w:t>
                  </w:r>
                  <w:r>
                    <w:rPr>
                      <w:rFonts w:hint="eastAsia"/>
                      <w:color w:val="auto"/>
                      <w:sz w:val="21"/>
                      <w:szCs w:val="21"/>
                      <w:lang w:val="en-US" w:eastAsia="zh-CN"/>
                    </w:rPr>
                    <w:t>采用围挡及洒水降尘等措施</w:t>
                  </w:r>
                  <w:r>
                    <w:rPr>
                      <w:rFonts w:hint="eastAsia"/>
                      <w:color w:val="auto"/>
                      <w:sz w:val="21"/>
                      <w:szCs w:val="21"/>
                    </w:rPr>
                    <w:t>，</w:t>
                  </w:r>
                  <w:r>
                    <w:rPr>
                      <w:rFonts w:hint="eastAsia"/>
                      <w:color w:val="auto"/>
                      <w:sz w:val="21"/>
                      <w:szCs w:val="21"/>
                      <w:lang w:val="en-US" w:eastAsia="zh-CN"/>
                    </w:rPr>
                    <w:t>有效的抑制</w:t>
                  </w:r>
                  <w:r>
                    <w:rPr>
                      <w:rFonts w:hint="eastAsia"/>
                      <w:color w:val="auto"/>
                      <w:sz w:val="21"/>
                      <w:szCs w:val="21"/>
                    </w:rPr>
                    <w:t>扬尘排放。施工期产生的废包装材料由厂家回收利用；生活垃圾统一收集后放至指定地点，由环卫部门清运处置；建筑垃圾可回收利用的，集中收集后</w:t>
                  </w:r>
                  <w:r>
                    <w:rPr>
                      <w:rFonts w:hint="eastAsia"/>
                      <w:color w:val="auto"/>
                      <w:sz w:val="21"/>
                      <w:szCs w:val="21"/>
                      <w:lang w:val="en-US" w:eastAsia="zh-CN"/>
                    </w:rPr>
                    <w:t>外售给</w:t>
                  </w:r>
                  <w:r>
                    <w:rPr>
                      <w:rFonts w:hint="eastAsia"/>
                      <w:color w:val="auto"/>
                      <w:sz w:val="21"/>
                      <w:szCs w:val="21"/>
                    </w:rPr>
                    <w:t>废品收购站处理；不能回收利用的，集中收集后交由专业的运渣公司清运至</w:t>
                  </w:r>
                  <w:r>
                    <w:rPr>
                      <w:rFonts w:hint="eastAsia"/>
                      <w:color w:val="auto"/>
                      <w:sz w:val="21"/>
                      <w:szCs w:val="21"/>
                      <w:lang w:val="en-US" w:eastAsia="zh-CN"/>
                    </w:rPr>
                    <w:t>江川区</w:t>
                  </w:r>
                  <w:r>
                    <w:rPr>
                      <w:rFonts w:hint="eastAsia"/>
                      <w:color w:val="auto"/>
                      <w:sz w:val="21"/>
                      <w:szCs w:val="21"/>
                    </w:rPr>
                    <w:t>指定的建筑垃圾堆放点进行处置，运输过程车厢设置覆盖设施，严禁随意倾弃。</w:t>
                  </w:r>
                </w:p>
              </w:tc>
              <w:tc>
                <w:tcPr>
                  <w:tcW w:w="645" w:type="dxa"/>
                  <w:vAlign w:val="center"/>
                </w:tcPr>
                <w:p w14:paraId="70589536">
                  <w:pPr>
                    <w:spacing w:line="240" w:lineRule="auto"/>
                    <w:ind w:firstLine="0" w:firstLineChars="0"/>
                    <w:jc w:val="center"/>
                    <w:rPr>
                      <w:color w:val="auto"/>
                      <w:sz w:val="21"/>
                      <w:szCs w:val="21"/>
                    </w:rPr>
                  </w:pPr>
                  <w:r>
                    <w:rPr>
                      <w:rFonts w:hint="eastAsia"/>
                      <w:color w:val="auto"/>
                      <w:sz w:val="21"/>
                      <w:szCs w:val="21"/>
                    </w:rPr>
                    <w:t>符合</w:t>
                  </w:r>
                </w:p>
              </w:tc>
            </w:tr>
            <w:tr w14:paraId="54F9F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827" w:type="dxa"/>
                  <w:vAlign w:val="center"/>
                </w:tcPr>
                <w:p w14:paraId="282E0CA1">
                  <w:pPr>
                    <w:spacing w:line="240" w:lineRule="auto"/>
                    <w:ind w:firstLine="0" w:firstLineChars="0"/>
                    <w:jc w:val="center"/>
                    <w:rPr>
                      <w:color w:val="auto"/>
                      <w:sz w:val="21"/>
                      <w:szCs w:val="21"/>
                    </w:rPr>
                  </w:pPr>
                  <w:r>
                    <w:rPr>
                      <w:color w:val="auto"/>
                      <w:sz w:val="21"/>
                      <w:szCs w:val="21"/>
                    </w:rPr>
                    <w:t>（三）推进挥发性有机物和氮氧化物协同治理。安全高效推进挥发性有机物综合治理，实施原辅材料和产品源头替代工程。推进氮氧化物排放深度治理，完成钢铁企业超低排放改造，实施煤电、水泥、焦化企业超低排放改造。</w:t>
                  </w:r>
                </w:p>
              </w:tc>
              <w:tc>
                <w:tcPr>
                  <w:tcW w:w="4206" w:type="dxa"/>
                  <w:vAlign w:val="center"/>
                </w:tcPr>
                <w:p w14:paraId="7D7F4C3C">
                  <w:pPr>
                    <w:spacing w:line="240" w:lineRule="auto"/>
                    <w:ind w:firstLine="0" w:firstLineChars="0"/>
                    <w:jc w:val="center"/>
                    <w:rPr>
                      <w:color w:val="auto"/>
                      <w:sz w:val="21"/>
                      <w:szCs w:val="21"/>
                    </w:rPr>
                  </w:pPr>
                  <w:r>
                    <w:rPr>
                      <w:rFonts w:hint="eastAsia"/>
                      <w:color w:val="auto"/>
                      <w:sz w:val="21"/>
                      <w:szCs w:val="21"/>
                    </w:rPr>
                    <w:t>本项目</w:t>
                  </w:r>
                  <w:r>
                    <w:rPr>
                      <w:rFonts w:hint="eastAsia"/>
                      <w:color w:val="auto"/>
                      <w:sz w:val="21"/>
                      <w:szCs w:val="21"/>
                      <w:lang w:val="en-US" w:eastAsia="zh-CN"/>
                    </w:rPr>
                    <w:t>不涉及</w:t>
                  </w:r>
                </w:p>
              </w:tc>
              <w:tc>
                <w:tcPr>
                  <w:tcW w:w="645" w:type="dxa"/>
                  <w:vAlign w:val="center"/>
                </w:tcPr>
                <w:p w14:paraId="3B43679D">
                  <w:pPr>
                    <w:spacing w:line="240" w:lineRule="auto"/>
                    <w:ind w:firstLine="0" w:firstLineChars="0"/>
                    <w:jc w:val="center"/>
                    <w:rPr>
                      <w:color w:val="auto"/>
                      <w:sz w:val="21"/>
                      <w:szCs w:val="21"/>
                    </w:rPr>
                  </w:pPr>
                  <w:r>
                    <w:rPr>
                      <w:rFonts w:hint="eastAsia"/>
                      <w:color w:val="auto"/>
                      <w:sz w:val="21"/>
                      <w:szCs w:val="21"/>
                    </w:rPr>
                    <w:t>符合</w:t>
                  </w:r>
                </w:p>
              </w:tc>
            </w:tr>
            <w:tr w14:paraId="61618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827" w:type="dxa"/>
                  <w:vAlign w:val="center"/>
                </w:tcPr>
                <w:p w14:paraId="3AE57486">
                  <w:pPr>
                    <w:spacing w:line="240" w:lineRule="auto"/>
                    <w:ind w:firstLine="0" w:firstLineChars="0"/>
                    <w:jc w:val="center"/>
                    <w:rPr>
                      <w:color w:val="auto"/>
                      <w:sz w:val="21"/>
                      <w:szCs w:val="21"/>
                    </w:rPr>
                  </w:pPr>
                  <w:r>
                    <w:rPr>
                      <w:color w:val="auto"/>
                      <w:sz w:val="21"/>
                      <w:szCs w:val="21"/>
                    </w:rPr>
                    <w:t>（四）改善区域大气和声环境质量。持续开展春夏季攻坚行动，提升滇西南、滇南环境空气质量。完善滇中地区大气污染联防联控机制。加大餐饮油烟污染、恶臭异味治理力度。实施噪声污染防治行动，解决群众关心的噪声污染问题。</w:t>
                  </w:r>
                </w:p>
              </w:tc>
              <w:tc>
                <w:tcPr>
                  <w:tcW w:w="4206" w:type="dxa"/>
                  <w:vAlign w:val="center"/>
                </w:tcPr>
                <w:p w14:paraId="511A3E07">
                  <w:pPr>
                    <w:spacing w:line="240" w:lineRule="auto"/>
                    <w:ind w:firstLine="0" w:firstLineChars="0"/>
                    <w:jc w:val="center"/>
                    <w:rPr>
                      <w:color w:val="auto"/>
                      <w:sz w:val="21"/>
                      <w:szCs w:val="21"/>
                    </w:rPr>
                  </w:pPr>
                  <w:r>
                    <w:rPr>
                      <w:rFonts w:hint="eastAsia"/>
                      <w:color w:val="auto"/>
                      <w:sz w:val="21"/>
                      <w:szCs w:val="21"/>
                    </w:rPr>
                    <w:t>本项目有效防治噪声污染，</w:t>
                  </w:r>
                  <w:r>
                    <w:rPr>
                      <w:rFonts w:hint="eastAsia"/>
                      <w:color w:val="auto"/>
                      <w:sz w:val="21"/>
                      <w:szCs w:val="21"/>
                      <w:lang w:val="en-US" w:eastAsia="zh-CN"/>
                    </w:rPr>
                    <w:t>食堂安装油烟净化器，化粪池为地埋式，</w:t>
                  </w:r>
                  <w:r>
                    <w:rPr>
                      <w:rFonts w:hint="eastAsia"/>
                      <w:color w:val="auto"/>
                      <w:sz w:val="21"/>
                      <w:szCs w:val="21"/>
                    </w:rPr>
                    <w:t>对区域大气和声环境质量影响不大。</w:t>
                  </w:r>
                </w:p>
              </w:tc>
              <w:tc>
                <w:tcPr>
                  <w:tcW w:w="645" w:type="dxa"/>
                  <w:vAlign w:val="center"/>
                </w:tcPr>
                <w:p w14:paraId="7AA8AC43">
                  <w:pPr>
                    <w:spacing w:line="240" w:lineRule="auto"/>
                    <w:ind w:firstLine="0" w:firstLineChars="0"/>
                    <w:jc w:val="center"/>
                    <w:rPr>
                      <w:color w:val="auto"/>
                      <w:sz w:val="21"/>
                      <w:szCs w:val="21"/>
                    </w:rPr>
                  </w:pPr>
                  <w:r>
                    <w:rPr>
                      <w:rFonts w:hint="eastAsia"/>
                      <w:color w:val="auto"/>
                      <w:sz w:val="21"/>
                      <w:szCs w:val="21"/>
                    </w:rPr>
                    <w:t>符合</w:t>
                  </w:r>
                </w:p>
              </w:tc>
            </w:tr>
          </w:tbl>
          <w:p w14:paraId="7005B7E4">
            <w:pPr>
              <w:pStyle w:val="9"/>
              <w:rPr>
                <w:color w:val="auto"/>
              </w:rPr>
            </w:pPr>
          </w:p>
          <w:p w14:paraId="717B4526">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textAlignment w:val="auto"/>
              <w:rPr>
                <w:b/>
                <w:bCs/>
                <w:color w:val="auto"/>
                <w:szCs w:val="21"/>
              </w:rPr>
            </w:pPr>
            <w:r>
              <w:rPr>
                <w:rFonts w:hint="eastAsia"/>
                <w:b/>
                <w:bCs/>
                <w:color w:val="auto"/>
                <w:szCs w:val="21"/>
                <w:lang w:eastAsia="zh-CN"/>
              </w:rPr>
              <w:t>（</w:t>
            </w:r>
            <w:r>
              <w:rPr>
                <w:rFonts w:hint="eastAsia"/>
                <w:b/>
                <w:bCs/>
                <w:color w:val="auto"/>
                <w:szCs w:val="21"/>
                <w:lang w:val="en-US" w:eastAsia="zh-CN"/>
              </w:rPr>
              <w:t>7</w:t>
            </w:r>
            <w:r>
              <w:rPr>
                <w:rFonts w:hint="eastAsia"/>
                <w:b/>
                <w:bCs/>
                <w:color w:val="auto"/>
                <w:szCs w:val="21"/>
                <w:lang w:eastAsia="zh-CN"/>
              </w:rPr>
              <w:t>）</w:t>
            </w:r>
            <w:r>
              <w:rPr>
                <w:rFonts w:hint="eastAsia"/>
                <w:b/>
                <w:bCs/>
                <w:color w:val="auto"/>
                <w:szCs w:val="21"/>
              </w:rPr>
              <w:t>与《国务院办公厅关于印发强化危险废物监管和利用处置能力改革实施方案的通知》（国办函〔2021〕47号）相符性</w:t>
            </w:r>
          </w:p>
          <w:p w14:paraId="0F8F80DB">
            <w:pPr>
              <w:pStyle w:val="64"/>
              <w:ind w:firstLine="420"/>
              <w:rPr>
                <w:color w:val="auto"/>
              </w:rPr>
            </w:pPr>
            <w:r>
              <w:rPr>
                <w:rFonts w:hint="eastAsia"/>
                <w:color w:val="auto"/>
              </w:rPr>
              <w:t>2021年5月11日国务院办公厅发布了《国务院办公厅关于印发强化危险废物监管和利用处置能力改革实施方案的通知》（国办函〔2021〕47号），摘选部分与本项目相关内容，与其符合性分析见下表所示：</w:t>
            </w:r>
          </w:p>
          <w:p w14:paraId="76E350FD">
            <w:pPr>
              <w:spacing w:line="240" w:lineRule="auto"/>
              <w:ind w:firstLine="422"/>
              <w:jc w:val="center"/>
              <w:rPr>
                <w:b/>
                <w:bCs/>
                <w:color w:val="auto"/>
                <w:sz w:val="21"/>
                <w:szCs w:val="21"/>
              </w:rPr>
            </w:pPr>
            <w:r>
              <w:rPr>
                <w:b/>
                <w:bCs/>
                <w:color w:val="auto"/>
                <w:sz w:val="21"/>
                <w:szCs w:val="21"/>
              </w:rPr>
              <w:t>表1-</w:t>
            </w:r>
            <w:r>
              <w:rPr>
                <w:rFonts w:hint="eastAsia"/>
                <w:b/>
                <w:bCs/>
                <w:color w:val="auto"/>
                <w:sz w:val="21"/>
                <w:szCs w:val="21"/>
                <w:lang w:val="en-US" w:eastAsia="zh-CN"/>
              </w:rPr>
              <w:t>9</w:t>
            </w:r>
            <w:r>
              <w:rPr>
                <w:b/>
                <w:bCs/>
                <w:color w:val="auto"/>
                <w:sz w:val="21"/>
                <w:szCs w:val="21"/>
              </w:rPr>
              <w:t>项目与《</w:t>
            </w:r>
            <w:r>
              <w:rPr>
                <w:rFonts w:hint="eastAsia"/>
                <w:b/>
                <w:bCs/>
                <w:color w:val="auto"/>
                <w:sz w:val="21"/>
                <w:szCs w:val="21"/>
              </w:rPr>
              <w:t>国务院办公厅关于印发强化危险废物监管和利用处置能力改革实施方案的通知</w:t>
            </w:r>
            <w:r>
              <w:rPr>
                <w:b/>
                <w:bCs/>
                <w:color w:val="auto"/>
                <w:sz w:val="21"/>
                <w:szCs w:val="21"/>
              </w:rPr>
              <w:t>》符合分析表</w:t>
            </w:r>
            <w:r>
              <w:rPr>
                <w:rFonts w:hint="eastAsia"/>
                <w:b/>
                <w:bCs/>
                <w:color w:val="auto"/>
                <w:sz w:val="21"/>
                <w:szCs w:val="21"/>
              </w:rPr>
              <w:t>（摘选）</w:t>
            </w:r>
          </w:p>
          <w:tbl>
            <w:tblPr>
              <w:tblStyle w:val="20"/>
              <w:tblW w:w="8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1"/>
              <w:gridCol w:w="3762"/>
              <w:gridCol w:w="645"/>
            </w:tblGrid>
            <w:tr w14:paraId="54FE6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4271" w:type="dxa"/>
                  <w:vAlign w:val="center"/>
                </w:tcPr>
                <w:p w14:paraId="342EE870">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方案要求</w:t>
                  </w:r>
                </w:p>
              </w:tc>
              <w:tc>
                <w:tcPr>
                  <w:tcW w:w="3762" w:type="dxa"/>
                  <w:vAlign w:val="center"/>
                </w:tcPr>
                <w:p w14:paraId="009C43A7">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项目情况</w:t>
                  </w:r>
                </w:p>
              </w:tc>
              <w:tc>
                <w:tcPr>
                  <w:tcW w:w="645" w:type="dxa"/>
                  <w:vAlign w:val="center"/>
                </w:tcPr>
                <w:p w14:paraId="443546D9">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符合性</w:t>
                  </w:r>
                </w:p>
              </w:tc>
            </w:tr>
            <w:tr w14:paraId="0AEFF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271" w:type="dxa"/>
                  <w:vAlign w:val="center"/>
                </w:tcPr>
                <w:p w14:paraId="09238FA2">
                  <w:pPr>
                    <w:spacing w:line="240" w:lineRule="auto"/>
                    <w:ind w:firstLine="0" w:firstLineChars="0"/>
                    <w:jc w:val="center"/>
                    <w:rPr>
                      <w:rFonts w:hint="eastAsia"/>
                      <w:color w:val="auto"/>
                      <w:sz w:val="21"/>
                      <w:szCs w:val="21"/>
                    </w:rPr>
                  </w:pPr>
                  <w:r>
                    <w:rPr>
                      <w:rFonts w:hint="eastAsia"/>
                      <w:color w:val="auto"/>
                      <w:sz w:val="21"/>
                      <w:szCs w:val="21"/>
                      <w:lang w:val="zh-CN"/>
                    </w:rPr>
                    <w:t>依托生态环境保护信息化工程，完善国家危险废物环境管理信息系统，实现危险废物产生情况在线申报、管理计划在线备案、转移联单在线运行、利用处置情况在线报告和全过程在线监控。</w:t>
                  </w:r>
                </w:p>
              </w:tc>
              <w:tc>
                <w:tcPr>
                  <w:tcW w:w="3762" w:type="dxa"/>
                  <w:vAlign w:val="center"/>
                </w:tcPr>
                <w:p w14:paraId="6B64F783">
                  <w:pPr>
                    <w:spacing w:line="240" w:lineRule="auto"/>
                    <w:ind w:firstLine="0" w:firstLineChars="0"/>
                    <w:jc w:val="center"/>
                    <w:rPr>
                      <w:rFonts w:hint="eastAsia"/>
                      <w:color w:val="auto"/>
                      <w:sz w:val="21"/>
                      <w:szCs w:val="21"/>
                    </w:rPr>
                  </w:pPr>
                  <w:r>
                    <w:rPr>
                      <w:rFonts w:hint="eastAsia"/>
                      <w:color w:val="auto"/>
                      <w:sz w:val="21"/>
                      <w:szCs w:val="21"/>
                      <w:lang w:val="en-US" w:eastAsia="zh-CN"/>
                    </w:rPr>
                    <w:t>项目建成后，</w:t>
                  </w:r>
                  <w:r>
                    <w:rPr>
                      <w:rFonts w:hint="eastAsia"/>
                      <w:color w:val="auto"/>
                      <w:sz w:val="21"/>
                      <w:szCs w:val="21"/>
                      <w:lang w:val="zh-CN"/>
                    </w:rPr>
                    <w:t>建设单位</w:t>
                  </w:r>
                  <w:r>
                    <w:rPr>
                      <w:rFonts w:hint="eastAsia"/>
                      <w:color w:val="auto"/>
                      <w:sz w:val="21"/>
                      <w:szCs w:val="21"/>
                      <w:lang w:val="en-US" w:eastAsia="zh-CN"/>
                    </w:rPr>
                    <w:t>应依法</w:t>
                  </w:r>
                  <w:r>
                    <w:rPr>
                      <w:rFonts w:hint="eastAsia"/>
                      <w:color w:val="auto"/>
                      <w:sz w:val="21"/>
                      <w:szCs w:val="21"/>
                      <w:lang w:val="zh-CN"/>
                    </w:rPr>
                    <w:t>开展危险废物的在线申报、管理计划在线备案、转移联单在线运行、利用处置情况在线报告事宜。</w:t>
                  </w:r>
                </w:p>
              </w:tc>
              <w:tc>
                <w:tcPr>
                  <w:tcW w:w="645" w:type="dxa"/>
                  <w:vAlign w:val="center"/>
                </w:tcPr>
                <w:p w14:paraId="711DEE42">
                  <w:pPr>
                    <w:spacing w:line="240" w:lineRule="auto"/>
                    <w:ind w:firstLine="0" w:firstLineChars="0"/>
                    <w:jc w:val="center"/>
                    <w:rPr>
                      <w:rFonts w:hint="eastAsia"/>
                      <w:color w:val="auto"/>
                      <w:sz w:val="21"/>
                      <w:szCs w:val="21"/>
                    </w:rPr>
                  </w:pPr>
                  <w:r>
                    <w:rPr>
                      <w:rFonts w:hint="eastAsia"/>
                      <w:color w:val="auto"/>
                      <w:sz w:val="21"/>
                      <w:szCs w:val="21"/>
                    </w:rPr>
                    <w:t>符合</w:t>
                  </w:r>
                </w:p>
              </w:tc>
            </w:tr>
            <w:tr w14:paraId="1FDD0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271" w:type="dxa"/>
                  <w:vAlign w:val="center"/>
                </w:tcPr>
                <w:p w14:paraId="032ABA5C">
                  <w:pPr>
                    <w:spacing w:line="240" w:lineRule="auto"/>
                    <w:ind w:firstLine="0" w:firstLineChars="0"/>
                    <w:jc w:val="center"/>
                    <w:rPr>
                      <w:rFonts w:hint="eastAsia"/>
                      <w:color w:val="auto"/>
                      <w:sz w:val="21"/>
                      <w:szCs w:val="21"/>
                    </w:rPr>
                  </w:pPr>
                  <w:r>
                    <w:rPr>
                      <w:rFonts w:hint="eastAsia"/>
                      <w:color w:val="auto"/>
                      <w:sz w:val="21"/>
                      <w:szCs w:val="21"/>
                      <w:lang w:val="zh-CN"/>
                    </w:rPr>
                    <w:t>新改扩建项目要依法开展环境影响评价，严格危险废物污染环境防治设施“三同时”管理。</w:t>
                  </w:r>
                </w:p>
              </w:tc>
              <w:tc>
                <w:tcPr>
                  <w:tcW w:w="3762" w:type="dxa"/>
                  <w:vAlign w:val="center"/>
                </w:tcPr>
                <w:p w14:paraId="11D6F958">
                  <w:pPr>
                    <w:spacing w:line="240" w:lineRule="auto"/>
                    <w:ind w:firstLine="0" w:firstLineChars="0"/>
                    <w:jc w:val="center"/>
                    <w:rPr>
                      <w:rFonts w:hint="eastAsia"/>
                      <w:color w:val="auto"/>
                      <w:sz w:val="21"/>
                      <w:szCs w:val="21"/>
                    </w:rPr>
                  </w:pPr>
                  <w:r>
                    <w:rPr>
                      <w:rFonts w:hint="eastAsia"/>
                      <w:color w:val="auto"/>
                      <w:sz w:val="21"/>
                      <w:szCs w:val="21"/>
                      <w:lang w:val="en-US" w:eastAsia="zh-CN"/>
                    </w:rPr>
                    <w:t>本项目属于扩建项目，</w:t>
                  </w:r>
                  <w:r>
                    <w:rPr>
                      <w:rFonts w:hint="eastAsia"/>
                      <w:color w:val="auto"/>
                      <w:sz w:val="21"/>
                      <w:szCs w:val="21"/>
                      <w:lang w:val="zh-CN"/>
                    </w:rPr>
                    <w:t>建设单位现已开展环境影响评价手续，危险废物污染防治设施（</w:t>
                  </w:r>
                  <w:r>
                    <w:rPr>
                      <w:rFonts w:hint="eastAsia"/>
                      <w:color w:val="auto"/>
                      <w:sz w:val="21"/>
                      <w:szCs w:val="21"/>
                      <w:lang w:val="en-US" w:eastAsia="zh-CN"/>
                    </w:rPr>
                    <w:t>危废暂存间</w:t>
                  </w:r>
                  <w:r>
                    <w:rPr>
                      <w:rFonts w:hint="eastAsia"/>
                      <w:color w:val="auto"/>
                      <w:sz w:val="21"/>
                      <w:szCs w:val="21"/>
                      <w:lang w:val="zh-CN"/>
                    </w:rPr>
                    <w:t>）</w:t>
                  </w:r>
                  <w:r>
                    <w:rPr>
                      <w:rFonts w:hint="eastAsia"/>
                      <w:color w:val="auto"/>
                      <w:sz w:val="21"/>
                      <w:szCs w:val="21"/>
                      <w:lang w:val="en-US" w:eastAsia="zh-CN"/>
                    </w:rPr>
                    <w:t>承诺依法执行环保</w:t>
                  </w:r>
                  <w:r>
                    <w:rPr>
                      <w:rFonts w:hint="eastAsia"/>
                      <w:color w:val="auto"/>
                      <w:sz w:val="21"/>
                      <w:szCs w:val="21"/>
                      <w:lang w:val="zh-CN"/>
                    </w:rPr>
                    <w:t>“三同时”的规定。</w:t>
                  </w:r>
                </w:p>
              </w:tc>
              <w:tc>
                <w:tcPr>
                  <w:tcW w:w="645" w:type="dxa"/>
                  <w:vAlign w:val="center"/>
                </w:tcPr>
                <w:p w14:paraId="7070E13F">
                  <w:pPr>
                    <w:spacing w:line="240" w:lineRule="auto"/>
                    <w:ind w:firstLine="0" w:firstLineChars="0"/>
                    <w:jc w:val="center"/>
                    <w:rPr>
                      <w:rFonts w:hint="eastAsia"/>
                      <w:color w:val="auto"/>
                      <w:sz w:val="21"/>
                      <w:szCs w:val="21"/>
                    </w:rPr>
                  </w:pPr>
                  <w:r>
                    <w:rPr>
                      <w:rFonts w:hint="eastAsia"/>
                      <w:color w:val="auto"/>
                      <w:sz w:val="21"/>
                      <w:szCs w:val="21"/>
                    </w:rPr>
                    <w:t>符合</w:t>
                  </w:r>
                </w:p>
              </w:tc>
            </w:tr>
          </w:tbl>
          <w:p w14:paraId="1EAA84EA">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textAlignment w:val="auto"/>
              <w:rPr>
                <w:rFonts w:hint="default"/>
                <w:b/>
                <w:bCs/>
                <w:color w:val="auto"/>
                <w:szCs w:val="21"/>
                <w:lang w:val="en-US" w:eastAsia="zh-CN"/>
              </w:rPr>
            </w:pPr>
            <w:r>
              <w:rPr>
                <w:rFonts w:hint="eastAsia"/>
                <w:b/>
                <w:bCs/>
                <w:color w:val="auto"/>
                <w:szCs w:val="21"/>
                <w:lang w:val="en-US" w:eastAsia="zh-CN"/>
              </w:rPr>
              <w:t>（8）</w:t>
            </w:r>
            <w:r>
              <w:rPr>
                <w:rFonts w:hint="default"/>
                <w:b/>
                <w:bCs/>
                <w:color w:val="auto"/>
                <w:szCs w:val="21"/>
                <w:lang w:val="en-US" w:eastAsia="zh-CN"/>
              </w:rPr>
              <w:t>项目</w:t>
            </w:r>
            <w:r>
              <w:rPr>
                <w:rFonts w:hint="default"/>
                <w:b/>
                <w:bCs/>
                <w:color w:val="auto"/>
                <w:szCs w:val="21"/>
                <w:lang w:eastAsia="zh-CN"/>
              </w:rPr>
              <w:t>与《星云湖水环境保护治理“十四五”规划》符合性分析</w:t>
            </w:r>
          </w:p>
          <w:p w14:paraId="247C58A8">
            <w:pPr>
              <w:pStyle w:val="64"/>
              <w:ind w:firstLine="420"/>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1</w:t>
            </w:r>
            <w:r>
              <w:rPr>
                <w:rFonts w:hint="default" w:ascii="Times New Roman" w:hAnsi="Times New Roman" w:eastAsia="宋体" w:cs="Times New Roman"/>
                <w:b w:val="0"/>
                <w:bCs w:val="0"/>
                <w:color w:val="auto"/>
                <w:lang w:val="en-US" w:eastAsia="zh-CN"/>
              </w:rPr>
              <w:t>全面推进雨污分流，完善城镇截污治污体系</w:t>
            </w:r>
          </w:p>
          <w:p w14:paraId="07F081AD">
            <w:pPr>
              <w:pStyle w:val="64"/>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通过污水处理厂提质增效、补短板及管网整治工程，进一步完善江川区中心城区雨污水主管网及配套设施，对原有合流制排水管道实施雨污分流，提高排水入网率；实施江川区污水处理厂（老厂）及南厂合并改造工程、北片区污水处理厂补短板，进一步提高出水水质；从源头上解决城区雨季发生内涝的问题，提高江川区主城区污水收集率和处理率，逐步实施雨污分流改造、消除管网空白区，全面提升城镇截污治污能力。在星云湖西片区前卫镇建设污水处理厂1座，进一步提升流域城镇截污治污能力。</w:t>
            </w:r>
          </w:p>
          <w:p w14:paraId="67CCBDF9">
            <w:pPr>
              <w:pStyle w:val="64"/>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ascii="Times New Roman" w:hAnsi="Times New Roman" w:eastAsia="宋体" w:cs="Times New Roman"/>
                <w:color w:val="auto"/>
                <w:lang w:val="en-US" w:eastAsia="zh-CN"/>
              </w:rPr>
              <w:t>废水全部排入市政污水管网最终进入污水处理厂</w:t>
            </w:r>
            <w:r>
              <w:rPr>
                <w:rFonts w:hint="default" w:ascii="Times New Roman" w:hAnsi="Times New Roman" w:eastAsia="宋体" w:cs="Times New Roman"/>
                <w:color w:val="auto"/>
                <w:lang w:val="en-US" w:eastAsia="zh-CN"/>
              </w:rPr>
              <w:t>。</w:t>
            </w:r>
          </w:p>
          <w:p w14:paraId="49909FCF">
            <w:pPr>
              <w:pStyle w:val="64"/>
              <w:ind w:firstLine="42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）优化水资源配置利用，保障清水入湖</w:t>
            </w:r>
          </w:p>
          <w:p w14:paraId="4E6422C8">
            <w:pPr>
              <w:pStyle w:val="64"/>
              <w:ind w:firstLine="42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按照习近平总书记提出“节水优先、空间均衡、系统治理、两手发力”的科学治水思想，以构建星云湖水资源健康水循环体系为核心，以落实最严格水资源管理制度为抓手，以水利产业政策为依托，针对目前流域水资源不足与损耗并存的现状，全面规划、统筹兼顾、综合治理，开源节流并重，推进水资源的合理开发、优化配置、高效利用、全面节约、有效保护，实现空间均衡的高效水资源利用调度系统，科学合理保障湖泊生态用水，形成流域水资源统一调度机制，实现流域自然水资源-社会经济-生态环境三大子系统之间的协调发展。</w:t>
            </w:r>
          </w:p>
          <w:p w14:paraId="0F445358">
            <w:pPr>
              <w:pStyle w:val="64"/>
              <w:ind w:firstLine="42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雨水通过雨水沟进入雨水管网；</w:t>
            </w:r>
            <w:r>
              <w:rPr>
                <w:rFonts w:hint="eastAsia" w:ascii="Times New Roman" w:hAnsi="Times New Roman" w:eastAsia="宋体" w:cs="Times New Roman"/>
                <w:color w:val="auto"/>
                <w:lang w:val="en-US" w:eastAsia="zh-CN"/>
              </w:rPr>
              <w:t>废水全部排入市政污水管网最终进入污水处理厂</w:t>
            </w:r>
            <w:r>
              <w:rPr>
                <w:rFonts w:hint="default" w:ascii="Times New Roman" w:hAnsi="Times New Roman" w:eastAsia="宋体" w:cs="Times New Roman"/>
                <w:color w:val="auto"/>
                <w:lang w:val="en-US" w:eastAsia="zh-CN"/>
              </w:rPr>
              <w:t>，不涉及清水人湖。</w:t>
            </w:r>
          </w:p>
          <w:p w14:paraId="3B583EFF">
            <w:pPr>
              <w:pStyle w:val="64"/>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项目与生态保护区管控关系</w:t>
            </w:r>
          </w:p>
          <w:p w14:paraId="333BDA02">
            <w:pPr>
              <w:pStyle w:val="64"/>
              <w:ind w:firstLine="420"/>
              <w:rPr>
                <w:rFonts w:hint="default" w:ascii="Times New Roman" w:hAnsi="Times New Roman" w:eastAsia="宋体" w:cs="Times New Roman"/>
                <w:color w:val="auto"/>
              </w:rPr>
            </w:pPr>
            <w:r>
              <w:rPr>
                <w:rFonts w:hint="default" w:ascii="Times New Roman" w:hAnsi="Times New Roman" w:eastAsia="宋体" w:cs="Times New Roman"/>
                <w:color w:val="auto"/>
              </w:rPr>
              <mc:AlternateContent>
                <mc:Choice Requires="wps">
                  <w:drawing>
                    <wp:anchor distT="0" distB="0" distL="114300" distR="114300" simplePos="0" relativeHeight="251694080" behindDoc="0" locked="0" layoutInCell="1" allowOverlap="1">
                      <wp:simplePos x="0" y="0"/>
                      <wp:positionH relativeFrom="column">
                        <wp:posOffset>3011170</wp:posOffset>
                      </wp:positionH>
                      <wp:positionV relativeFrom="paragraph">
                        <wp:posOffset>3783330</wp:posOffset>
                      </wp:positionV>
                      <wp:extent cx="914400" cy="291465"/>
                      <wp:effectExtent l="0" t="0" r="0" b="0"/>
                      <wp:wrapNone/>
                      <wp:docPr id="51" name="文本框 17"/>
                      <wp:cNvGraphicFramePr/>
                      <a:graphic xmlns:a="http://schemas.openxmlformats.org/drawingml/2006/main">
                        <a:graphicData uri="http://schemas.microsoft.com/office/word/2010/wordprocessingShape">
                          <wps:wsp>
                            <wps:cNvSpPr txBox="1"/>
                            <wps:spPr>
                              <a:xfrm>
                                <a:off x="0" y="0"/>
                                <a:ext cx="914400" cy="291465"/>
                              </a:xfrm>
                              <a:prstGeom prst="rect">
                                <a:avLst/>
                              </a:prstGeom>
                              <a:noFill/>
                              <a:ln>
                                <a:noFill/>
                              </a:ln>
                            </wps:spPr>
                            <wps:txbx>
                              <w:txbxContent>
                                <w:p w14:paraId="106A9AD9">
                                  <w:pPr>
                                    <w:rPr>
                                      <w:rFonts w:hint="default" w:eastAsia="宋体"/>
                                      <w:b/>
                                      <w:bCs/>
                                      <w:color w:val="FF0000"/>
                                      <w:lang w:val="en-US" w:eastAsia="zh-CN"/>
                                    </w:rPr>
                                  </w:pPr>
                                  <w:r>
                                    <w:rPr>
                                      <w:rFonts w:hint="eastAsia"/>
                                      <w:b/>
                                      <w:bCs/>
                                      <w:color w:val="FF0000"/>
                                      <w:lang w:val="en-US" w:eastAsia="zh-CN"/>
                                    </w:rPr>
                                    <w:t>项目</w:t>
                                  </w:r>
                                  <w:r>
                                    <w:rPr>
                                      <w:rFonts w:hint="default" w:ascii="Times New Roman" w:hAnsi="Times New Roman" w:eastAsia="宋体" w:cs="Times New Roman"/>
                                      <w:color w:val="auto"/>
                                    </w:rPr>
                                    <w:drawing>
                                      <wp:inline distT="0" distB="0" distL="114300" distR="114300">
                                        <wp:extent cx="5394325" cy="6791960"/>
                                        <wp:effectExtent l="0" t="0" r="15875" b="889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5"/>
                                                <a:stretch>
                                                  <a:fillRect/>
                                                </a:stretch>
                                              </pic:blipFill>
                                              <pic:spPr>
                                                <a:xfrm>
                                                  <a:off x="0" y="0"/>
                                                  <a:ext cx="5394325" cy="6791960"/>
                                                </a:xfrm>
                                                <a:prstGeom prst="rect">
                                                  <a:avLst/>
                                                </a:prstGeom>
                                                <a:noFill/>
                                                <a:ln>
                                                  <a:noFill/>
                                                </a:ln>
                                              </pic:spPr>
                                            </pic:pic>
                                          </a:graphicData>
                                        </a:graphic>
                                      </wp:inline>
                                    </w:drawing>
                                  </w:r>
                                  <w:r>
                                    <w:rPr>
                                      <w:rFonts w:hint="eastAsia"/>
                                      <w:b/>
                                      <w:bCs/>
                                      <w:color w:val="FF0000"/>
                                      <w:lang w:val="en-US" w:eastAsia="zh-CN"/>
                                    </w:rPr>
                                    <w:t>所在地</w:t>
                                  </w:r>
                                </w:p>
                              </w:txbxContent>
                            </wps:txbx>
                            <wps:bodyPr upright="1"/>
                          </wps:wsp>
                        </a:graphicData>
                      </a:graphic>
                    </wp:anchor>
                  </w:drawing>
                </mc:Choice>
                <mc:Fallback>
                  <w:pict>
                    <v:shape id="文本框 17" o:spid="_x0000_s1026" o:spt="202" type="#_x0000_t202" style="position:absolute;left:0pt;margin-left:237.1pt;margin-top:297.9pt;height:22.95pt;width:72pt;z-index:251694080;mso-width-relative:page;mso-height-relative:page;" filled="f" stroked="f" coordsize="21600,21600" o:gfxdata="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5CYjNkA&#10;AAALAQAADwAAAAAAAAABACAAAAAiAAAAZHJzL2Rvd25yZXYueG1sUEsBAhQAFAAAAAgAh07iQMwH&#10;SdisAQAATwMAAA4AAAAAAAAAAQAgAAAAKAEAAGRycy9lMm9Eb2MueG1sUEsFBgAAAAAGAAYAWQEA&#10;AEYFAAAAAA==&#10;">
                      <v:fill on="f" focussize="0,0"/>
                      <v:stroke on="f"/>
                      <v:imagedata o:title=""/>
                      <o:lock v:ext="edit" aspectratio="f"/>
                      <v:textbox>
                        <w:txbxContent>
                          <w:p w14:paraId="106A9AD9">
                            <w:pPr>
                              <w:rPr>
                                <w:rFonts w:hint="default" w:eastAsia="宋体"/>
                                <w:b/>
                                <w:bCs/>
                                <w:color w:val="FF0000"/>
                                <w:lang w:val="en-US" w:eastAsia="zh-CN"/>
                              </w:rPr>
                            </w:pPr>
                            <w:r>
                              <w:rPr>
                                <w:rFonts w:hint="eastAsia"/>
                                <w:b/>
                                <w:bCs/>
                                <w:color w:val="FF0000"/>
                                <w:lang w:val="en-US" w:eastAsia="zh-CN"/>
                              </w:rPr>
                              <w:t>项目</w:t>
                            </w:r>
                            <w:r>
                              <w:rPr>
                                <w:rFonts w:hint="default" w:ascii="Times New Roman" w:hAnsi="Times New Roman" w:eastAsia="宋体" w:cs="Times New Roman"/>
                                <w:color w:val="auto"/>
                              </w:rPr>
                              <w:drawing>
                                <wp:inline distT="0" distB="0" distL="114300" distR="114300">
                                  <wp:extent cx="5394325" cy="6791960"/>
                                  <wp:effectExtent l="0" t="0" r="15875" b="889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5"/>
                                          <a:stretch>
                                            <a:fillRect/>
                                          </a:stretch>
                                        </pic:blipFill>
                                        <pic:spPr>
                                          <a:xfrm>
                                            <a:off x="0" y="0"/>
                                            <a:ext cx="5394325" cy="6791960"/>
                                          </a:xfrm>
                                          <a:prstGeom prst="rect">
                                            <a:avLst/>
                                          </a:prstGeom>
                                          <a:noFill/>
                                          <a:ln>
                                            <a:noFill/>
                                          </a:ln>
                                        </pic:spPr>
                                      </pic:pic>
                                    </a:graphicData>
                                  </a:graphic>
                                </wp:inline>
                              </w:drawing>
                            </w:r>
                            <w:r>
                              <w:rPr>
                                <w:rFonts w:hint="eastAsia"/>
                                <w:b/>
                                <w:bCs/>
                                <w:color w:val="FF0000"/>
                                <w:lang w:val="en-US" w:eastAsia="zh-CN"/>
                              </w:rPr>
                              <w:t>所在地</w:t>
                            </w:r>
                          </w:p>
                        </w:txbxContent>
                      </v:textbox>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93056" behindDoc="0" locked="0" layoutInCell="1" allowOverlap="1">
                      <wp:simplePos x="0" y="0"/>
                      <wp:positionH relativeFrom="column">
                        <wp:posOffset>2753995</wp:posOffset>
                      </wp:positionH>
                      <wp:positionV relativeFrom="paragraph">
                        <wp:posOffset>4076065</wp:posOffset>
                      </wp:positionV>
                      <wp:extent cx="677545" cy="361950"/>
                      <wp:effectExtent l="4445" t="3810" r="3810" b="15240"/>
                      <wp:wrapNone/>
                      <wp:docPr id="65" name="直线 18"/>
                      <wp:cNvGraphicFramePr/>
                      <a:graphic xmlns:a="http://schemas.openxmlformats.org/drawingml/2006/main">
                        <a:graphicData uri="http://schemas.microsoft.com/office/word/2010/wordprocessingShape">
                          <wps:wsp>
                            <wps:cNvCnPr/>
                            <wps:spPr>
                              <a:xfrm flipV="1">
                                <a:off x="0" y="0"/>
                                <a:ext cx="677545" cy="361950"/>
                              </a:xfrm>
                              <a:prstGeom prst="line">
                                <a:avLst/>
                              </a:prstGeom>
                              <a:ln w="19050" cap="flat" cmpd="sng">
                                <a:solidFill>
                                  <a:srgbClr val="FF0000"/>
                                </a:solidFill>
                                <a:prstDash val="solid"/>
                                <a:headEnd type="none" w="med" len="med"/>
                                <a:tailEnd type="arrow" w="med" len="med"/>
                              </a:ln>
                            </wps:spPr>
                            <wps:bodyPr upright="1"/>
                          </wps:wsp>
                        </a:graphicData>
                      </a:graphic>
                    </wp:anchor>
                  </w:drawing>
                </mc:Choice>
                <mc:Fallback>
                  <w:pict>
                    <v:line id="直线 18" o:spid="_x0000_s1026" o:spt="20" style="position:absolute;left:0pt;flip:y;margin-left:216.85pt;margin-top:320.95pt;height:28.5pt;width:53.35pt;z-index:251693056;mso-width-relative:page;mso-height-relative:page;" filled="f" stroked="t" coordsize="21600,21600" o:gfxdata="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T996o2QAAAAsBAAAPAAAAAAAAAAEAIAAAACIAAABkcnMvZG93&#10;bnJldi54bWxQSwECFAAUAAAACACHTuJAsUssw/8BAADtAwAADgAAAAAAAAABACAAAAAoAQAAZHJz&#10;L2Uyb0RvYy54bWxQSwUGAAAAAAYABgBZAQAAmQUAAAAA&#10;">
                      <v:fill on="f" focussize="0,0"/>
                      <v:stroke weight="1.5pt" color="#FF0000" joinstyle="round" endarrow="open"/>
                      <v:imagedata o:title=""/>
                      <o:lock v:ext="edit" aspectratio="f"/>
                    </v:lin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92032" behindDoc="0" locked="0" layoutInCell="1" allowOverlap="1">
                      <wp:simplePos x="0" y="0"/>
                      <wp:positionH relativeFrom="column">
                        <wp:posOffset>2628265</wp:posOffset>
                      </wp:positionH>
                      <wp:positionV relativeFrom="paragraph">
                        <wp:posOffset>4421505</wp:posOffset>
                      </wp:positionV>
                      <wp:extent cx="75565" cy="77470"/>
                      <wp:effectExtent l="4445" t="4445" r="15240" b="13335"/>
                      <wp:wrapNone/>
                      <wp:docPr id="70" name="椭圆 19"/>
                      <wp:cNvGraphicFramePr/>
                      <a:graphic xmlns:a="http://schemas.openxmlformats.org/drawingml/2006/main">
                        <a:graphicData uri="http://schemas.microsoft.com/office/word/2010/wordprocessingShape">
                          <wps:wsp>
                            <wps:cNvSpPr/>
                            <wps:spPr>
                              <a:xfrm>
                                <a:off x="0" y="0"/>
                                <a:ext cx="75565" cy="7747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19" o:spid="_x0000_s1026" o:spt="3" type="#_x0000_t3" style="position:absolute;left:0pt;margin-left:206.95pt;margin-top:348.15pt;height:6.1pt;width:5.95pt;z-index:251692032;mso-width-relative:page;mso-height-relative:page;" fillcolor="#FF0000" filled="t" stroked="t" coordsize="21600,21600" o:gfxdata="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hWewj2QAAAAsBAAAPAAAAAAAAAAEAIAAAACIAAABkcnMvZG93bnJldi54bWxQSwEC&#10;FAAUAAAACACHTuJAFfa9MfMBAAAWBAAADgAAAAAAAAABACAAAAAo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eastAsia="宋体" w:cs="Times New Roman"/>
                <w:color w:val="auto"/>
              </w:rPr>
              <w:drawing>
                <wp:inline distT="0" distB="0" distL="114300" distR="114300">
                  <wp:extent cx="5628005" cy="6706235"/>
                  <wp:effectExtent l="0" t="0" r="10795" b="1841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15"/>
                          <a:stretch>
                            <a:fillRect/>
                          </a:stretch>
                        </pic:blipFill>
                        <pic:spPr>
                          <a:xfrm>
                            <a:off x="0" y="0"/>
                            <a:ext cx="5628005" cy="6706235"/>
                          </a:xfrm>
                          <a:prstGeom prst="rect">
                            <a:avLst/>
                          </a:prstGeom>
                          <a:noFill/>
                          <a:ln>
                            <a:noFill/>
                          </a:ln>
                        </pic:spPr>
                      </pic:pic>
                    </a:graphicData>
                  </a:graphic>
                </wp:inline>
              </w:drawing>
            </w:r>
            <w:r>
              <w:rPr>
                <w:rFonts w:hint="default" w:ascii="Times New Roman" w:hAnsi="Times New Roman" w:eastAsia="宋体" w:cs="Times New Roman"/>
                <w:color w:val="auto"/>
              </w:rPr>
              <mc:AlternateContent>
                <mc:Choice Requires="wps">
                  <w:drawing>
                    <wp:anchor distT="0" distB="0" distL="114300" distR="114300" simplePos="0" relativeHeight="251696128" behindDoc="0" locked="0" layoutInCell="1" allowOverlap="1">
                      <wp:simplePos x="0" y="0"/>
                      <wp:positionH relativeFrom="column">
                        <wp:posOffset>3914775</wp:posOffset>
                      </wp:positionH>
                      <wp:positionV relativeFrom="paragraph">
                        <wp:posOffset>994410</wp:posOffset>
                      </wp:positionV>
                      <wp:extent cx="1096010" cy="602615"/>
                      <wp:effectExtent l="4445" t="2540" r="4445" b="23495"/>
                      <wp:wrapNone/>
                      <wp:docPr id="73" name="直线 18"/>
                      <wp:cNvGraphicFramePr/>
                      <a:graphic xmlns:a="http://schemas.openxmlformats.org/drawingml/2006/main">
                        <a:graphicData uri="http://schemas.microsoft.com/office/word/2010/wordprocessingShape">
                          <wps:wsp>
                            <wps:cNvCnPr/>
                            <wps:spPr>
                              <a:xfrm flipV="1">
                                <a:off x="0" y="0"/>
                                <a:ext cx="1096010" cy="602615"/>
                              </a:xfrm>
                              <a:prstGeom prst="line">
                                <a:avLst/>
                              </a:prstGeom>
                              <a:ln w="19050" cap="flat" cmpd="sng">
                                <a:solidFill>
                                  <a:srgbClr val="FF0000"/>
                                </a:solidFill>
                                <a:prstDash val="solid"/>
                                <a:headEnd type="none" w="med" len="med"/>
                                <a:tailEnd type="arrow" w="med" len="med"/>
                              </a:ln>
                            </wps:spPr>
                            <wps:bodyPr upright="1"/>
                          </wps:wsp>
                        </a:graphicData>
                      </a:graphic>
                    </wp:anchor>
                  </w:drawing>
                </mc:Choice>
                <mc:Fallback>
                  <w:pict>
                    <v:line id="直线 18" o:spid="_x0000_s1026" o:spt="20" style="position:absolute;left:0pt;flip:y;margin-left:308.25pt;margin-top:78.3pt;height:47.45pt;width:86.3pt;z-index:251696128;mso-width-relative:page;mso-height-relative:page;" filled="f" stroked="t" coordsize="21600,21600" o:gfxdata="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uVJ9nZAAAACwEAAA8AAAAAAAAAAQAgAAAAIgAAAGRycy9kb3ducmV2&#10;LnhtbFBLAQIUABQAAAAIAIdO4kDvV9Rm+wEAAO4DAAAOAAAAAAAAAAEAIAAAACgBAABkcnMvZTJv&#10;RG9jLnhtbFBLBQYAAAAABgAGAFkBAACVBQAAAAA=&#10;">
                      <v:fill on="f" focussize="0,0"/>
                      <v:stroke weight="1.5pt" color="#FF0000" joinstyle="round" endarrow="open"/>
                      <v:imagedata o:title=""/>
                      <o:lock v:ext="edit" aspectratio="f"/>
                    </v:lin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95104" behindDoc="0" locked="0" layoutInCell="1" allowOverlap="1">
                      <wp:simplePos x="0" y="0"/>
                      <wp:positionH relativeFrom="column">
                        <wp:posOffset>3794125</wp:posOffset>
                      </wp:positionH>
                      <wp:positionV relativeFrom="paragraph">
                        <wp:posOffset>1612900</wp:posOffset>
                      </wp:positionV>
                      <wp:extent cx="75565" cy="77470"/>
                      <wp:effectExtent l="4445" t="4445" r="15240" b="13335"/>
                      <wp:wrapNone/>
                      <wp:docPr id="72" name="椭圆 19"/>
                      <wp:cNvGraphicFramePr/>
                      <a:graphic xmlns:a="http://schemas.openxmlformats.org/drawingml/2006/main">
                        <a:graphicData uri="http://schemas.microsoft.com/office/word/2010/wordprocessingShape">
                          <wps:wsp>
                            <wps:cNvSpPr/>
                            <wps:spPr>
                              <a:xfrm>
                                <a:off x="0" y="0"/>
                                <a:ext cx="75565" cy="77470"/>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19" o:spid="_x0000_s1026" o:spt="3" type="#_x0000_t3" style="position:absolute;left:0pt;margin-left:298.75pt;margin-top:127pt;height:6.1pt;width:5.95pt;z-index:251695104;mso-width-relative:page;mso-height-relative:page;" fillcolor="#FF0000" filled="t" stroked="t" coordsize="21600,21600" o:gfxdata="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y5Z5D2QAAAAsBAAAPAAAAAAAAAAEAIAAAACIAAABkcnMvZG93bnJldi54bWxQ&#10;SwECFAAUAAAACACHTuJAFnnUZfYBAAAWBAAADgAAAAAAAAABACAAAAAoAQAAZHJzL2Uyb0RvYy54&#10;bWxQSwUGAAAAAAYABgBZAQAAkAUAAAAA&#10;">
                      <v:fill on="t" focussize="0,0"/>
                      <v:stroke color="#FF0000" joinstyle="round"/>
                      <v:imagedata o:title=""/>
                      <o:lock v:ext="edit" aspectratio="f"/>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97152" behindDoc="0" locked="0" layoutInCell="1" allowOverlap="1">
                      <wp:simplePos x="0" y="0"/>
                      <wp:positionH relativeFrom="column">
                        <wp:posOffset>4359910</wp:posOffset>
                      </wp:positionH>
                      <wp:positionV relativeFrom="paragraph">
                        <wp:posOffset>709930</wp:posOffset>
                      </wp:positionV>
                      <wp:extent cx="914400" cy="291465"/>
                      <wp:effectExtent l="0" t="0" r="0" b="0"/>
                      <wp:wrapNone/>
                      <wp:docPr id="76" name="文本框 17"/>
                      <wp:cNvGraphicFramePr/>
                      <a:graphic xmlns:a="http://schemas.openxmlformats.org/drawingml/2006/main">
                        <a:graphicData uri="http://schemas.microsoft.com/office/word/2010/wordprocessingShape">
                          <wps:wsp>
                            <wps:cNvSpPr txBox="1"/>
                            <wps:spPr>
                              <a:xfrm>
                                <a:off x="0" y="0"/>
                                <a:ext cx="914400" cy="291465"/>
                              </a:xfrm>
                              <a:prstGeom prst="rect">
                                <a:avLst/>
                              </a:prstGeom>
                              <a:noFill/>
                              <a:ln>
                                <a:noFill/>
                              </a:ln>
                            </wps:spPr>
                            <wps:txbx>
                              <w:txbxContent>
                                <w:p w14:paraId="621B011F">
                                  <w:pPr>
                                    <w:rPr>
                                      <w:rFonts w:hint="default" w:eastAsia="宋体"/>
                                      <w:b/>
                                      <w:bCs/>
                                      <w:color w:val="FF0000"/>
                                      <w:lang w:val="en-US" w:eastAsia="zh-CN"/>
                                    </w:rPr>
                                  </w:pPr>
                                  <w:r>
                                    <w:rPr>
                                      <w:rFonts w:hint="eastAsia"/>
                                      <w:b/>
                                      <w:bCs/>
                                      <w:color w:val="FF0000"/>
                                      <w:lang w:val="en-US" w:eastAsia="zh-CN"/>
                                    </w:rPr>
                                    <w:t>项目</w:t>
                                  </w:r>
                                  <w:r>
                                    <w:rPr>
                                      <w:rFonts w:hint="default" w:ascii="Times New Roman" w:hAnsi="Times New Roman" w:eastAsia="宋体" w:cs="Times New Roman"/>
                                      <w:color w:val="auto"/>
                                    </w:rPr>
                                    <w:drawing>
                                      <wp:inline distT="0" distB="0" distL="114300" distR="114300">
                                        <wp:extent cx="5394325" cy="6791960"/>
                                        <wp:effectExtent l="0" t="0" r="15875" b="889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5"/>
                                                <a:stretch>
                                                  <a:fillRect/>
                                                </a:stretch>
                                              </pic:blipFill>
                                              <pic:spPr>
                                                <a:xfrm>
                                                  <a:off x="0" y="0"/>
                                                  <a:ext cx="5394325" cy="6791960"/>
                                                </a:xfrm>
                                                <a:prstGeom prst="rect">
                                                  <a:avLst/>
                                                </a:prstGeom>
                                                <a:noFill/>
                                                <a:ln>
                                                  <a:noFill/>
                                                </a:ln>
                                              </pic:spPr>
                                            </pic:pic>
                                          </a:graphicData>
                                        </a:graphic>
                                      </wp:inline>
                                    </w:drawing>
                                  </w:r>
                                  <w:r>
                                    <w:rPr>
                                      <w:rFonts w:hint="eastAsia"/>
                                      <w:b/>
                                      <w:bCs/>
                                      <w:color w:val="FF0000"/>
                                      <w:lang w:val="en-US" w:eastAsia="zh-CN"/>
                                    </w:rPr>
                                    <w:t>所在地</w:t>
                                  </w:r>
                                </w:p>
                              </w:txbxContent>
                            </wps:txbx>
                            <wps:bodyPr upright="1"/>
                          </wps:wsp>
                        </a:graphicData>
                      </a:graphic>
                    </wp:anchor>
                  </w:drawing>
                </mc:Choice>
                <mc:Fallback>
                  <w:pict>
                    <v:shape id="文本框 17" o:spid="_x0000_s1026" o:spt="202" type="#_x0000_t202" style="position:absolute;left:0pt;margin-left:343.3pt;margin-top:55.9pt;height:22.95pt;width:72pt;z-index:251697152;mso-width-relative:page;mso-height-relative:page;" filled="f" stroked="f" coordsize="21600,21600" o:gfxdata="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JpaeFTXAAAA&#10;CwEAAA8AAAAAAAAAAQAgAAAAIgAAAGRycy9kb3ducmV2LnhtbFBLAQIUABQAAAAIAIdO4kA7l99n&#10;rAEAAE8DAAAOAAAAAAAAAAEAIAAAACYBAABkcnMvZTJvRG9jLnhtbFBLBQYAAAAABgAGAFkBAABE&#10;BQAAAAA=&#10;">
                      <v:fill on="f" focussize="0,0"/>
                      <v:stroke on="f"/>
                      <v:imagedata o:title=""/>
                      <o:lock v:ext="edit" aspectratio="f"/>
                      <v:textbox>
                        <w:txbxContent>
                          <w:p w14:paraId="621B011F">
                            <w:pPr>
                              <w:rPr>
                                <w:rFonts w:hint="default" w:eastAsia="宋体"/>
                                <w:b/>
                                <w:bCs/>
                                <w:color w:val="FF0000"/>
                                <w:lang w:val="en-US" w:eastAsia="zh-CN"/>
                              </w:rPr>
                            </w:pPr>
                            <w:r>
                              <w:rPr>
                                <w:rFonts w:hint="eastAsia"/>
                                <w:b/>
                                <w:bCs/>
                                <w:color w:val="FF0000"/>
                                <w:lang w:val="en-US" w:eastAsia="zh-CN"/>
                              </w:rPr>
                              <w:t>项目</w:t>
                            </w:r>
                            <w:r>
                              <w:rPr>
                                <w:rFonts w:hint="default" w:ascii="Times New Roman" w:hAnsi="Times New Roman" w:eastAsia="宋体" w:cs="Times New Roman"/>
                                <w:color w:val="auto"/>
                              </w:rPr>
                              <w:drawing>
                                <wp:inline distT="0" distB="0" distL="114300" distR="114300">
                                  <wp:extent cx="5394325" cy="6791960"/>
                                  <wp:effectExtent l="0" t="0" r="15875" b="889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5"/>
                                          <a:stretch>
                                            <a:fillRect/>
                                          </a:stretch>
                                        </pic:blipFill>
                                        <pic:spPr>
                                          <a:xfrm>
                                            <a:off x="0" y="0"/>
                                            <a:ext cx="5394325" cy="6791960"/>
                                          </a:xfrm>
                                          <a:prstGeom prst="rect">
                                            <a:avLst/>
                                          </a:prstGeom>
                                          <a:noFill/>
                                          <a:ln>
                                            <a:noFill/>
                                          </a:ln>
                                        </pic:spPr>
                                      </pic:pic>
                                    </a:graphicData>
                                  </a:graphic>
                                </wp:inline>
                              </w:drawing>
                            </w:r>
                            <w:r>
                              <w:rPr>
                                <w:rFonts w:hint="eastAsia"/>
                                <w:b/>
                                <w:bCs/>
                                <w:color w:val="FF0000"/>
                                <w:lang w:val="en-US" w:eastAsia="zh-CN"/>
                              </w:rPr>
                              <w:t>所在地</w:t>
                            </w:r>
                          </w:p>
                        </w:txbxContent>
                      </v:textbox>
                    </v:shape>
                  </w:pict>
                </mc:Fallback>
              </mc:AlternateContent>
            </w:r>
          </w:p>
          <w:p w14:paraId="38888084">
            <w:pPr>
              <w:pStyle w:val="64"/>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根据上图，本项目选址不在重要生态空间、其它生态空间、100米生态空间、自然保护区、滨湖湿地带。本项目</w:t>
            </w:r>
            <w:r>
              <w:rPr>
                <w:rFonts w:hint="eastAsia" w:ascii="Times New Roman" w:hAnsi="Times New Roman" w:eastAsia="宋体" w:cs="Times New Roman"/>
                <w:color w:val="auto"/>
                <w:lang w:val="en-US" w:eastAsia="zh-CN"/>
              </w:rPr>
              <w:t>原址技改</w:t>
            </w:r>
            <w:r>
              <w:rPr>
                <w:rFonts w:hint="default" w:ascii="Times New Roman" w:hAnsi="Times New Roman" w:eastAsia="宋体" w:cs="Times New Roman"/>
                <w:color w:val="auto"/>
                <w:lang w:val="en-US" w:eastAsia="zh-CN"/>
              </w:rPr>
              <w:t>对星云湖生态保护区影响较小。</w:t>
            </w:r>
          </w:p>
          <w:p w14:paraId="6CE66D83">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0" w:firstLineChars="0"/>
              <w:textAlignment w:val="auto"/>
              <w:rPr>
                <w:rFonts w:hint="eastAsia"/>
                <w:b/>
                <w:bCs/>
                <w:color w:val="auto"/>
                <w:szCs w:val="21"/>
                <w:lang w:val="en-US" w:eastAsia="zh-CN"/>
              </w:rPr>
            </w:pPr>
            <w:r>
              <w:rPr>
                <w:rFonts w:hint="eastAsia"/>
                <w:b/>
                <w:bCs/>
                <w:color w:val="auto"/>
                <w:szCs w:val="21"/>
                <w:lang w:val="en-US" w:eastAsia="zh-CN"/>
              </w:rPr>
              <w:t>项目与《江川区国土空间总规》符合性分析</w:t>
            </w:r>
          </w:p>
          <w:p w14:paraId="7006D323">
            <w:pPr>
              <w:pStyle w:val="9"/>
              <w:numPr>
                <w:ilvl w:val="0"/>
                <w:numId w:val="0"/>
              </w:numPr>
              <w:rPr>
                <w:rFonts w:hint="default"/>
                <w:color w:val="auto"/>
                <w:lang w:val="en-US" w:eastAsia="zh-CN"/>
              </w:rPr>
            </w:pPr>
            <w:r>
              <w:rPr>
                <w:rFonts w:hint="default"/>
                <w:color w:val="auto"/>
                <w:lang w:val="en-US" w:eastAsia="zh-CN"/>
              </w:rPr>
              <w:drawing>
                <wp:inline distT="0" distB="0" distL="114300" distR="114300">
                  <wp:extent cx="5515610" cy="5775325"/>
                  <wp:effectExtent l="0" t="0" r="8890" b="15875"/>
                  <wp:docPr id="78" name="图片 78" descr="de882d07-fa8b-4101-a859-2faee8658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e882d07-fa8b-4101-a859-2faee86587e6"/>
                          <pic:cNvPicPr>
                            <a:picLocks noChangeAspect="1"/>
                          </pic:cNvPicPr>
                        </pic:nvPicPr>
                        <pic:blipFill>
                          <a:blip r:embed="rId16"/>
                          <a:stretch>
                            <a:fillRect/>
                          </a:stretch>
                        </pic:blipFill>
                        <pic:spPr>
                          <a:xfrm>
                            <a:off x="0" y="0"/>
                            <a:ext cx="5515610" cy="5775325"/>
                          </a:xfrm>
                          <a:prstGeom prst="rect">
                            <a:avLst/>
                          </a:prstGeom>
                        </pic:spPr>
                      </pic:pic>
                    </a:graphicData>
                  </a:graphic>
                </wp:inline>
              </w:drawing>
            </w:r>
          </w:p>
          <w:p w14:paraId="1B360585">
            <w:pPr>
              <w:pStyle w:val="64"/>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根据上图，本项目选址</w:t>
            </w:r>
            <w:r>
              <w:rPr>
                <w:rFonts w:hint="eastAsia" w:cs="Times New Roman"/>
                <w:color w:val="auto"/>
                <w:lang w:val="en-US" w:eastAsia="zh-CN"/>
              </w:rPr>
              <w:t>在生态保护一般重要区</w:t>
            </w:r>
            <w:r>
              <w:rPr>
                <w:rFonts w:hint="default" w:ascii="Times New Roman" w:hAnsi="Times New Roman" w:eastAsia="宋体" w:cs="Times New Roman"/>
                <w:color w:val="auto"/>
                <w:lang w:val="en-US" w:eastAsia="zh-CN"/>
              </w:rPr>
              <w:t>、</w:t>
            </w:r>
            <w:r>
              <w:rPr>
                <w:rFonts w:hint="eastAsia" w:cs="Times New Roman"/>
                <w:color w:val="auto"/>
                <w:lang w:val="en-US" w:eastAsia="zh-CN"/>
              </w:rPr>
              <w:t>农业生产适宜区</w:t>
            </w:r>
            <w:r>
              <w:rPr>
                <w:rFonts w:hint="default" w:ascii="Times New Roman" w:hAnsi="Times New Roman" w:eastAsia="宋体" w:cs="Times New Roman"/>
                <w:color w:val="auto"/>
                <w:lang w:val="en-US" w:eastAsia="zh-CN"/>
              </w:rPr>
              <w:t>、</w:t>
            </w:r>
            <w:r>
              <w:rPr>
                <w:rFonts w:hint="eastAsia" w:cs="Times New Roman"/>
                <w:color w:val="auto"/>
                <w:lang w:val="en-US" w:eastAsia="zh-CN"/>
              </w:rPr>
              <w:t>城市建设适宜区</w:t>
            </w:r>
            <w:r>
              <w:rPr>
                <w:rFonts w:hint="default" w:ascii="Times New Roman" w:hAnsi="Times New Roman" w:eastAsia="宋体" w:cs="Times New Roman"/>
                <w:color w:val="auto"/>
                <w:lang w:val="en-US" w:eastAsia="zh-CN"/>
              </w:rPr>
              <w:t>。本项目</w:t>
            </w:r>
            <w:r>
              <w:rPr>
                <w:rFonts w:hint="eastAsia" w:cs="Times New Roman"/>
                <w:color w:val="auto"/>
                <w:lang w:val="en-US" w:eastAsia="zh-CN"/>
              </w:rPr>
              <w:t>为医院，选址符合《江川区国土空间总规》</w:t>
            </w:r>
            <w:r>
              <w:rPr>
                <w:rFonts w:hint="default" w:ascii="Times New Roman" w:hAnsi="Times New Roman" w:eastAsia="宋体" w:cs="Times New Roman"/>
                <w:color w:val="auto"/>
                <w:lang w:val="en-US" w:eastAsia="zh-CN"/>
              </w:rPr>
              <w:t>。</w:t>
            </w:r>
          </w:p>
          <w:p w14:paraId="704C0072">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0" w:firstLineChars="0"/>
              <w:textAlignment w:val="auto"/>
              <w:rPr>
                <w:rFonts w:hint="eastAsia"/>
                <w:b/>
                <w:bCs/>
                <w:color w:val="auto"/>
                <w:szCs w:val="21"/>
                <w:lang w:val="en-US" w:eastAsia="zh-CN"/>
              </w:rPr>
            </w:pPr>
            <w:r>
              <w:rPr>
                <w:rFonts w:hint="eastAsia"/>
                <w:b/>
                <w:bCs/>
                <w:color w:val="auto"/>
                <w:szCs w:val="21"/>
                <w:lang w:val="en-US" w:eastAsia="zh-CN"/>
              </w:rPr>
              <w:t>项目与《云南省人民政府关于九大高原湖泊“三区”管控的指导意见》符合性分析</w:t>
            </w:r>
          </w:p>
          <w:p w14:paraId="5A70113F">
            <w:pPr>
              <w:pStyle w:val="9"/>
              <w:rPr>
                <w:rFonts w:hint="eastAsia"/>
                <w:color w:val="auto"/>
                <w:lang w:val="en-US" w:eastAsia="zh-CN"/>
              </w:rPr>
            </w:pPr>
          </w:p>
          <w:p w14:paraId="797F857B">
            <w:pPr>
              <w:pStyle w:val="9"/>
              <w:rPr>
                <w:rFonts w:hint="eastAsia"/>
                <w:color w:val="auto"/>
                <w:lang w:val="en-US" w:eastAsia="zh-CN"/>
              </w:rPr>
            </w:pPr>
          </w:p>
          <w:p w14:paraId="73531647">
            <w:pPr>
              <w:pStyle w:val="9"/>
              <w:rPr>
                <w:rFonts w:hint="eastAsia"/>
                <w:color w:val="auto"/>
                <w:lang w:val="en-US" w:eastAsia="zh-CN"/>
              </w:rPr>
            </w:pPr>
          </w:p>
          <w:p w14:paraId="0794EC6B">
            <w:pPr>
              <w:pStyle w:val="9"/>
              <w:rPr>
                <w:rFonts w:hint="eastAsia"/>
                <w:color w:val="auto"/>
                <w:lang w:val="en-US" w:eastAsia="zh-CN"/>
              </w:rPr>
            </w:pPr>
          </w:p>
          <w:p w14:paraId="1A87865F">
            <w:pPr>
              <w:pStyle w:val="9"/>
              <w:rPr>
                <w:rFonts w:hint="eastAsia"/>
                <w:color w:val="auto"/>
                <w:lang w:val="en-US" w:eastAsia="zh-CN"/>
              </w:rPr>
            </w:pPr>
          </w:p>
          <w:p w14:paraId="2D8D9475">
            <w:pPr>
              <w:pStyle w:val="9"/>
              <w:rPr>
                <w:rFonts w:hint="eastAsia"/>
                <w:color w:val="auto"/>
                <w:lang w:val="en-US" w:eastAsia="zh-CN"/>
              </w:rPr>
            </w:pPr>
            <w:r>
              <w:rPr>
                <w:color w:val="auto"/>
              </w:rPr>
              <w:drawing>
                <wp:anchor distT="0" distB="0" distL="114300" distR="114300" simplePos="0" relativeHeight="251698176" behindDoc="1" locked="0" layoutInCell="1" allowOverlap="1">
                  <wp:simplePos x="0" y="0"/>
                  <wp:positionH relativeFrom="column">
                    <wp:posOffset>-32385</wp:posOffset>
                  </wp:positionH>
                  <wp:positionV relativeFrom="paragraph">
                    <wp:posOffset>45720</wp:posOffset>
                  </wp:positionV>
                  <wp:extent cx="5520055" cy="8167370"/>
                  <wp:effectExtent l="0" t="0" r="4445" b="5080"/>
                  <wp:wrapNone/>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7"/>
                          <a:stretch>
                            <a:fillRect/>
                          </a:stretch>
                        </pic:blipFill>
                        <pic:spPr>
                          <a:xfrm>
                            <a:off x="0" y="0"/>
                            <a:ext cx="5520055" cy="8167370"/>
                          </a:xfrm>
                          <a:prstGeom prst="rect">
                            <a:avLst/>
                          </a:prstGeom>
                          <a:noFill/>
                          <a:ln>
                            <a:noFill/>
                          </a:ln>
                        </pic:spPr>
                      </pic:pic>
                    </a:graphicData>
                  </a:graphic>
                </wp:anchor>
              </w:drawing>
            </w:r>
          </w:p>
          <w:p w14:paraId="353A9FB0">
            <w:pPr>
              <w:pStyle w:val="9"/>
              <w:rPr>
                <w:rFonts w:hint="eastAsia"/>
                <w:color w:val="auto"/>
                <w:lang w:val="en-US" w:eastAsia="zh-CN"/>
              </w:rPr>
            </w:pPr>
          </w:p>
          <w:p w14:paraId="58F000E8">
            <w:pPr>
              <w:pStyle w:val="9"/>
              <w:rPr>
                <w:rFonts w:hint="eastAsia"/>
                <w:color w:val="auto"/>
                <w:lang w:val="en-US" w:eastAsia="zh-CN"/>
              </w:rPr>
            </w:pPr>
          </w:p>
          <w:p w14:paraId="0D8074ED">
            <w:pPr>
              <w:pStyle w:val="9"/>
              <w:rPr>
                <w:rFonts w:hint="eastAsia"/>
                <w:color w:val="auto"/>
                <w:lang w:val="en-US" w:eastAsia="zh-CN"/>
              </w:rPr>
            </w:pPr>
          </w:p>
          <w:p w14:paraId="64D1A43E">
            <w:pPr>
              <w:pStyle w:val="9"/>
              <w:rPr>
                <w:rFonts w:hint="eastAsia"/>
                <w:color w:val="auto"/>
                <w:lang w:val="en-US" w:eastAsia="zh-CN"/>
              </w:rPr>
            </w:pPr>
          </w:p>
          <w:p w14:paraId="13E8D267">
            <w:pPr>
              <w:pStyle w:val="9"/>
              <w:rPr>
                <w:rFonts w:hint="eastAsia"/>
                <w:color w:val="auto"/>
                <w:lang w:val="en-US" w:eastAsia="zh-CN"/>
              </w:rPr>
            </w:pPr>
          </w:p>
          <w:p w14:paraId="2A6027CC">
            <w:pPr>
              <w:pStyle w:val="9"/>
              <w:rPr>
                <w:rFonts w:hint="eastAsia"/>
                <w:color w:val="auto"/>
                <w:lang w:val="en-US" w:eastAsia="zh-CN"/>
              </w:rPr>
            </w:pPr>
          </w:p>
          <w:p w14:paraId="277B549B">
            <w:pPr>
              <w:pStyle w:val="9"/>
              <w:rPr>
                <w:rFonts w:hint="eastAsia"/>
                <w:color w:val="auto"/>
                <w:lang w:val="en-US" w:eastAsia="zh-CN"/>
              </w:rPr>
            </w:pPr>
          </w:p>
          <w:p w14:paraId="21E196EF">
            <w:pPr>
              <w:pStyle w:val="9"/>
              <w:rPr>
                <w:rFonts w:hint="eastAsia"/>
                <w:color w:val="auto"/>
                <w:lang w:val="en-US" w:eastAsia="zh-CN"/>
              </w:rPr>
            </w:pPr>
          </w:p>
          <w:p w14:paraId="55085DAD">
            <w:pPr>
              <w:pStyle w:val="9"/>
              <w:rPr>
                <w:rFonts w:hint="eastAsia"/>
                <w:color w:val="auto"/>
                <w:lang w:val="en-US" w:eastAsia="zh-CN"/>
              </w:rPr>
            </w:pPr>
          </w:p>
          <w:p w14:paraId="158419C0">
            <w:pPr>
              <w:pStyle w:val="9"/>
              <w:rPr>
                <w:rFonts w:hint="eastAsia"/>
                <w:color w:val="auto"/>
                <w:lang w:val="en-US" w:eastAsia="zh-CN"/>
              </w:rPr>
            </w:pPr>
          </w:p>
          <w:p w14:paraId="57E1D6AE">
            <w:pPr>
              <w:pStyle w:val="9"/>
              <w:rPr>
                <w:rFonts w:hint="eastAsia"/>
                <w:color w:val="auto"/>
                <w:lang w:val="en-US" w:eastAsia="zh-CN"/>
              </w:rPr>
            </w:pPr>
          </w:p>
          <w:p w14:paraId="531DBA55">
            <w:pPr>
              <w:pStyle w:val="9"/>
              <w:rPr>
                <w:rFonts w:hint="eastAsia"/>
                <w:color w:val="auto"/>
                <w:lang w:val="en-US" w:eastAsia="zh-CN"/>
              </w:rPr>
            </w:pPr>
          </w:p>
          <w:p w14:paraId="4FA63635">
            <w:pPr>
              <w:pStyle w:val="9"/>
              <w:rPr>
                <w:rFonts w:hint="eastAsia"/>
                <w:color w:val="auto"/>
                <w:lang w:val="en-US" w:eastAsia="zh-CN"/>
              </w:rPr>
            </w:pPr>
          </w:p>
          <w:p w14:paraId="484516E2">
            <w:pPr>
              <w:pStyle w:val="9"/>
              <w:rPr>
                <w:rFonts w:hint="eastAsia"/>
                <w:color w:val="auto"/>
                <w:lang w:val="en-US" w:eastAsia="zh-CN"/>
              </w:rPr>
            </w:pPr>
          </w:p>
          <w:p w14:paraId="6B5B7C4F">
            <w:pPr>
              <w:pStyle w:val="9"/>
              <w:rPr>
                <w:rFonts w:hint="eastAsia"/>
                <w:color w:val="auto"/>
                <w:lang w:val="en-US" w:eastAsia="zh-CN"/>
              </w:rPr>
            </w:pPr>
          </w:p>
          <w:p w14:paraId="34DBFBFF">
            <w:pPr>
              <w:pStyle w:val="9"/>
              <w:rPr>
                <w:rFonts w:hint="eastAsia"/>
                <w:color w:val="auto"/>
                <w:lang w:val="en-US" w:eastAsia="zh-CN"/>
              </w:rPr>
            </w:pPr>
          </w:p>
          <w:p w14:paraId="4696A6A3">
            <w:pPr>
              <w:pStyle w:val="9"/>
              <w:rPr>
                <w:rFonts w:hint="eastAsia"/>
                <w:color w:val="auto"/>
                <w:lang w:val="en-US" w:eastAsia="zh-CN"/>
              </w:rPr>
            </w:pPr>
          </w:p>
          <w:p w14:paraId="1E32147B">
            <w:pPr>
              <w:pStyle w:val="9"/>
              <w:rPr>
                <w:rFonts w:hint="eastAsia"/>
                <w:color w:val="auto"/>
                <w:lang w:val="en-US" w:eastAsia="zh-CN"/>
              </w:rPr>
            </w:pPr>
          </w:p>
          <w:p w14:paraId="151AD38D">
            <w:pPr>
              <w:pStyle w:val="9"/>
              <w:rPr>
                <w:rFonts w:hint="eastAsia"/>
                <w:color w:val="auto"/>
                <w:lang w:val="en-US" w:eastAsia="zh-CN"/>
              </w:rPr>
            </w:pPr>
          </w:p>
          <w:p w14:paraId="044415AC">
            <w:pPr>
              <w:pStyle w:val="9"/>
              <w:rPr>
                <w:rFonts w:hint="eastAsia"/>
                <w:color w:val="auto"/>
                <w:lang w:val="en-US" w:eastAsia="zh-CN"/>
              </w:rPr>
            </w:pPr>
          </w:p>
          <w:p w14:paraId="1DA9811D">
            <w:pPr>
              <w:pStyle w:val="9"/>
              <w:rPr>
                <w:rFonts w:hint="eastAsia"/>
                <w:color w:val="auto"/>
                <w:lang w:val="en-US" w:eastAsia="zh-CN"/>
              </w:rPr>
            </w:pPr>
          </w:p>
          <w:p w14:paraId="593AE849">
            <w:pPr>
              <w:pStyle w:val="9"/>
              <w:rPr>
                <w:rFonts w:hint="eastAsia"/>
                <w:color w:val="auto"/>
                <w:lang w:val="en-US" w:eastAsia="zh-CN"/>
              </w:rPr>
            </w:pPr>
          </w:p>
          <w:p w14:paraId="47B24502">
            <w:pPr>
              <w:pStyle w:val="9"/>
              <w:rPr>
                <w:rFonts w:hint="eastAsia"/>
                <w:color w:val="auto"/>
                <w:lang w:val="en-US" w:eastAsia="zh-CN"/>
              </w:rPr>
            </w:pPr>
          </w:p>
          <w:p w14:paraId="3021ED93">
            <w:pPr>
              <w:pStyle w:val="9"/>
              <w:rPr>
                <w:rFonts w:hint="default" w:ascii="Times New Roman" w:hAnsi="Times New Roman" w:eastAsia="宋体" w:cs="Times New Roman"/>
                <w:color w:val="auto"/>
                <w:highlight w:val="yellow"/>
                <w:lang w:val="en-US" w:eastAsia="zh-CN"/>
              </w:rPr>
            </w:pPr>
          </w:p>
          <w:p w14:paraId="6682D133">
            <w:pPr>
              <w:pStyle w:val="9"/>
              <w:rPr>
                <w:rFonts w:hint="default" w:ascii="Times New Roman" w:hAnsi="Times New Roman" w:eastAsia="宋体" w:cs="Times New Roman"/>
                <w:color w:val="auto"/>
                <w:highlight w:val="yellow"/>
                <w:lang w:val="en-US" w:eastAsia="zh-CN"/>
              </w:rPr>
            </w:pPr>
          </w:p>
          <w:p w14:paraId="1FC569BC">
            <w:pPr>
              <w:pStyle w:val="9"/>
              <w:rPr>
                <w:rFonts w:hint="default" w:ascii="Times New Roman" w:hAnsi="Times New Roman" w:eastAsia="宋体" w:cs="Times New Roman"/>
                <w:color w:val="auto"/>
                <w:highlight w:val="yellow"/>
                <w:lang w:val="en-US" w:eastAsia="zh-CN"/>
              </w:rPr>
            </w:pPr>
          </w:p>
          <w:p w14:paraId="734D799E">
            <w:pPr>
              <w:pStyle w:val="9"/>
              <w:rPr>
                <w:rFonts w:hint="default" w:ascii="Times New Roman" w:hAnsi="Times New Roman" w:eastAsia="宋体" w:cs="Times New Roman"/>
                <w:color w:val="auto"/>
                <w:highlight w:val="yellow"/>
                <w:lang w:val="en-US" w:eastAsia="zh-CN"/>
              </w:rPr>
            </w:pPr>
          </w:p>
          <w:p w14:paraId="3FBF2CFE">
            <w:pPr>
              <w:pStyle w:val="9"/>
              <w:rPr>
                <w:rFonts w:hint="default" w:ascii="Times New Roman" w:hAnsi="Times New Roman" w:eastAsia="宋体" w:cs="Times New Roman"/>
                <w:color w:val="auto"/>
                <w:highlight w:val="yellow"/>
                <w:lang w:val="en-US" w:eastAsia="zh-CN"/>
              </w:rPr>
            </w:pPr>
          </w:p>
          <w:p w14:paraId="2E983965">
            <w:pPr>
              <w:pStyle w:val="9"/>
              <w:rPr>
                <w:rFonts w:hint="default" w:ascii="Times New Roman" w:hAnsi="Times New Roman" w:eastAsia="宋体" w:cs="Times New Roman"/>
                <w:color w:val="auto"/>
                <w:highlight w:val="yellow"/>
                <w:lang w:val="en-US" w:eastAsia="zh-CN"/>
              </w:rPr>
            </w:pPr>
          </w:p>
          <w:p w14:paraId="4119DD74">
            <w:pPr>
              <w:spacing w:line="240" w:lineRule="auto"/>
              <w:ind w:firstLine="422"/>
              <w:jc w:val="center"/>
              <w:rPr>
                <w:rFonts w:hint="default" w:ascii="Times New Roman" w:hAnsi="Times New Roman" w:eastAsia="宋体" w:cs="Times New Roman"/>
                <w:color w:val="auto"/>
                <w:lang w:val="en-US" w:eastAsia="zh-CN"/>
              </w:rPr>
            </w:pPr>
            <w:r>
              <w:rPr>
                <w:color w:val="auto"/>
              </w:rPr>
              <w:drawing>
                <wp:inline distT="0" distB="0" distL="114300" distR="114300">
                  <wp:extent cx="635" cy="0"/>
                  <wp:effectExtent l="0" t="0" r="0" b="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18"/>
                          <a:stretch>
                            <a:fillRect/>
                          </a:stretch>
                        </pic:blipFill>
                        <pic:spPr>
                          <a:xfrm>
                            <a:off x="0" y="0"/>
                            <a:ext cx="635" cy="0"/>
                          </a:xfrm>
                          <a:prstGeom prst="rect">
                            <a:avLst/>
                          </a:prstGeom>
                          <a:noFill/>
                          <a:ln>
                            <a:noFill/>
                          </a:ln>
                        </pic:spPr>
                      </pic:pic>
                    </a:graphicData>
                  </a:graphic>
                </wp:inline>
              </w:drawing>
            </w:r>
          </w:p>
          <w:p w14:paraId="7340013D">
            <w:pPr>
              <w:pStyle w:val="64"/>
              <w:ind w:firstLine="42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一、“两线”、“三区”名称及功能定位</w:t>
            </w:r>
          </w:p>
          <w:p w14:paraId="0C7257D3">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（一）“两线”、“三区”名称</w:t>
            </w:r>
          </w:p>
          <w:p w14:paraId="1BC905A0">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“两线”分别是湖滨生态红线、湖泊生态黄线。</w:t>
            </w:r>
          </w:p>
          <w:p w14:paraId="6B40106C">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三区”分别是生态保护核心区、生态保护缓冲区、绿色发展区。生态保护核心区是湖泊岸线与湖滨生态红线之间区域，生态保护缓冲区是湖滨生态红线与湖泊生态黄线之间区域，绿色发展区是湖泊生态黄线与湖泊流域分水线之间区域。</w:t>
            </w:r>
          </w:p>
          <w:p w14:paraId="09CB613E">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（二）“两线”、“三区”功能定位</w:t>
            </w:r>
          </w:p>
          <w:p w14:paraId="732B8E1A">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湖滨生态红线是具有生态功能的湿地、林地、草地、耕地、荒地（未利用地）等湖滨空间的管控边界线，是维系湖泊生态安全的生命线。</w:t>
            </w:r>
          </w:p>
          <w:p w14:paraId="0E3482A3">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湖泊生态黄线是实现湖泊生态扩容增量、维持生态系统稳定的缓冲空间管控边界线，是严禁开发建设的控制线。</w:t>
            </w:r>
          </w:p>
          <w:p w14:paraId="4D918E58">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生态保护核心区是流域生态安全格局体系的核心区域，是湖泊生态空间管控最严格的主导功能区，禁止开展与生态保护无关的建设活动，实现清零留白，还复自然生态。</w:t>
            </w:r>
          </w:p>
          <w:p w14:paraId="30598D62">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生态保护缓冲区是湖泊的重要保护区域，是严禁开发建设的区域，以生态修复为重点，提高湖泊生态环境承载能力。</w:t>
            </w:r>
          </w:p>
          <w:p w14:paraId="396E83E1">
            <w:pPr>
              <w:pStyle w:val="64"/>
              <w:ind w:firstLine="42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绿色发展区是控制开发利用强度、调整开发利用方式、实现流域保护和开发利用协调发展的区域，以提升生态涵养功能、促进富民就业为重点，完善生态补偿和后期管护机制，建设生态特色城镇和美丽乡村，构建绿色高质量发展的生产生活方式。</w:t>
            </w:r>
          </w:p>
          <w:p w14:paraId="4664162B">
            <w:pPr>
              <w:pStyle w:val="8"/>
              <w:rPr>
                <w:rFonts w:hint="default" w:ascii="Times New Roman" w:hAnsi="Times New Roman" w:eastAsia="宋体" w:cs="Times New Roman"/>
                <w:color w:val="auto"/>
                <w:lang w:val="en-US" w:eastAsia="zh-CN"/>
              </w:rPr>
            </w:pPr>
            <w:r>
              <w:rPr>
                <w:rFonts w:hint="eastAsia" w:cs="Times New Roman"/>
                <w:color w:val="auto"/>
                <w:lang w:val="en-US" w:eastAsia="zh-CN"/>
              </w:rPr>
              <w:t>根据上图所示，</w:t>
            </w:r>
            <w:r>
              <w:rPr>
                <w:rFonts w:hint="eastAsia" w:ascii="Times New Roman" w:hAnsi="Times New Roman" w:eastAsia="宋体" w:cs="Times New Roman"/>
                <w:color w:val="auto"/>
                <w:lang w:val="en-US" w:eastAsia="zh-CN"/>
              </w:rPr>
              <w:t>本项目位于玉溪市江川区湖滨路北段14号，江川区医共体总医院现址内及玉溪市江川区江城镇振兴街53号，江城镇卫生院现址内。本项目</w:t>
            </w:r>
            <w:r>
              <w:rPr>
                <w:rFonts w:hint="eastAsia" w:cs="Times New Roman"/>
                <w:color w:val="auto"/>
                <w:lang w:val="en-US" w:eastAsia="zh-CN"/>
              </w:rPr>
              <w:t>不</w:t>
            </w:r>
            <w:r>
              <w:rPr>
                <w:rFonts w:hint="eastAsia"/>
                <w:color w:val="auto"/>
                <w:lang w:val="en-US" w:eastAsia="zh-CN"/>
              </w:rPr>
              <w:t>属于禁止行为</w:t>
            </w:r>
            <w:r>
              <w:rPr>
                <w:rFonts w:hint="eastAsia" w:ascii="Times New Roman" w:hAnsi="Times New Roman" w:eastAsia="宋体" w:cs="Times New Roman"/>
                <w:color w:val="auto"/>
                <w:lang w:val="en-US" w:eastAsia="zh-CN"/>
              </w:rPr>
              <w:t>。</w:t>
            </w:r>
          </w:p>
          <w:p w14:paraId="4388CC33">
            <w:pPr>
              <w:spacing w:line="240" w:lineRule="auto"/>
              <w:ind w:firstLine="422"/>
              <w:jc w:val="both"/>
              <w:rPr>
                <w:rFonts w:hint="default" w:eastAsia="宋体"/>
                <w:color w:val="auto"/>
                <w:lang w:val="en-US" w:eastAsia="zh-CN"/>
              </w:rPr>
            </w:pPr>
            <w:r>
              <w:rPr>
                <w:rFonts w:hint="eastAsia"/>
                <w:color w:val="auto"/>
                <w:lang w:eastAsia="zh-CN"/>
              </w:rPr>
              <w:t>（</w:t>
            </w:r>
            <w:r>
              <w:rPr>
                <w:rFonts w:hint="eastAsia"/>
                <w:color w:val="auto"/>
                <w:lang w:val="en-US" w:eastAsia="zh-CN"/>
              </w:rPr>
              <w:t>11</w:t>
            </w:r>
            <w:r>
              <w:rPr>
                <w:rFonts w:hint="eastAsia"/>
                <w:color w:val="auto"/>
                <w:lang w:eastAsia="zh-CN"/>
              </w:rPr>
              <w:t>）</w:t>
            </w:r>
            <w:r>
              <w:rPr>
                <w:rFonts w:hint="eastAsia"/>
                <w:color w:val="auto"/>
                <w:lang w:val="en-US" w:eastAsia="zh-CN"/>
              </w:rPr>
              <w:t>与《医疗废物管理条例》相符性</w:t>
            </w:r>
          </w:p>
          <w:p w14:paraId="7F87DB80">
            <w:pPr>
              <w:spacing w:line="240" w:lineRule="auto"/>
              <w:ind w:firstLine="422"/>
              <w:jc w:val="center"/>
              <w:rPr>
                <w:color w:val="auto"/>
              </w:rPr>
            </w:pPr>
          </w:p>
          <w:p w14:paraId="089B98E1">
            <w:pPr>
              <w:spacing w:line="240" w:lineRule="auto"/>
              <w:ind w:firstLine="422"/>
              <w:jc w:val="center"/>
              <w:rPr>
                <w:b/>
                <w:bCs/>
                <w:color w:val="auto"/>
                <w:sz w:val="21"/>
                <w:szCs w:val="21"/>
              </w:rPr>
            </w:pPr>
            <w:r>
              <w:rPr>
                <w:b/>
                <w:bCs/>
                <w:color w:val="auto"/>
                <w:sz w:val="21"/>
                <w:szCs w:val="21"/>
              </w:rPr>
              <w:t>表1-</w:t>
            </w:r>
            <w:r>
              <w:rPr>
                <w:rFonts w:hint="eastAsia"/>
                <w:b/>
                <w:bCs/>
                <w:color w:val="auto"/>
                <w:sz w:val="21"/>
                <w:szCs w:val="21"/>
                <w:lang w:val="en-US" w:eastAsia="zh-CN"/>
              </w:rPr>
              <w:t>10</w:t>
            </w:r>
            <w:r>
              <w:rPr>
                <w:b/>
                <w:bCs/>
                <w:color w:val="auto"/>
                <w:sz w:val="21"/>
                <w:szCs w:val="21"/>
              </w:rPr>
              <w:t>项目与《</w:t>
            </w:r>
            <w:r>
              <w:rPr>
                <w:rFonts w:hint="eastAsia"/>
                <w:b/>
                <w:bCs/>
                <w:color w:val="auto"/>
                <w:sz w:val="21"/>
                <w:szCs w:val="21"/>
                <w:lang w:val="en-US" w:eastAsia="zh-CN"/>
              </w:rPr>
              <w:t>医疗废物管理条例</w:t>
            </w:r>
            <w:r>
              <w:rPr>
                <w:b/>
                <w:bCs/>
                <w:color w:val="auto"/>
                <w:sz w:val="21"/>
                <w:szCs w:val="21"/>
              </w:rPr>
              <w:t>》符合分析表</w:t>
            </w:r>
          </w:p>
          <w:tbl>
            <w:tblPr>
              <w:tblStyle w:val="20"/>
              <w:tblW w:w="8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7"/>
              <w:gridCol w:w="3516"/>
              <w:gridCol w:w="645"/>
            </w:tblGrid>
            <w:tr w14:paraId="554BA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4517" w:type="dxa"/>
                  <w:vAlign w:val="center"/>
                </w:tcPr>
                <w:p w14:paraId="4BB732B8">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意见要求</w:t>
                  </w:r>
                </w:p>
              </w:tc>
              <w:tc>
                <w:tcPr>
                  <w:tcW w:w="3516" w:type="dxa"/>
                  <w:vAlign w:val="center"/>
                </w:tcPr>
                <w:p w14:paraId="4ED1C8C9">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项目情况</w:t>
                  </w:r>
                </w:p>
              </w:tc>
              <w:tc>
                <w:tcPr>
                  <w:tcW w:w="645" w:type="dxa"/>
                  <w:vAlign w:val="center"/>
                </w:tcPr>
                <w:p w14:paraId="7BD5F82F">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符合性</w:t>
                  </w:r>
                </w:p>
              </w:tc>
            </w:tr>
            <w:tr w14:paraId="3FB9D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78" w:type="dxa"/>
                  <w:gridSpan w:val="3"/>
                  <w:vAlign w:val="center"/>
                </w:tcPr>
                <w:p w14:paraId="5B9F25A4">
                  <w:pPr>
                    <w:spacing w:line="240" w:lineRule="auto"/>
                    <w:ind w:firstLine="0" w:firstLineChars="0"/>
                    <w:jc w:val="center"/>
                    <w:rPr>
                      <w:color w:val="auto"/>
                      <w:sz w:val="21"/>
                      <w:szCs w:val="21"/>
                    </w:rPr>
                  </w:pPr>
                  <w:r>
                    <w:rPr>
                      <w:b/>
                      <w:bCs/>
                      <w:color w:val="auto"/>
                      <w:sz w:val="21"/>
                      <w:szCs w:val="21"/>
                    </w:rPr>
                    <w:t>医疗废物管理的一般规定</w:t>
                  </w:r>
                </w:p>
              </w:tc>
            </w:tr>
            <w:tr w14:paraId="24CA3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720D2CAE">
                  <w:pPr>
                    <w:spacing w:line="240" w:lineRule="auto"/>
                    <w:ind w:firstLine="0" w:firstLineChars="0"/>
                    <w:jc w:val="center"/>
                    <w:rPr>
                      <w:color w:val="auto"/>
                      <w:sz w:val="21"/>
                      <w:szCs w:val="21"/>
                    </w:rPr>
                  </w:pPr>
                  <w:r>
                    <w:rPr>
                      <w:color w:val="auto"/>
                      <w:sz w:val="21"/>
                      <w:szCs w:val="21"/>
                    </w:rPr>
                    <w:t>（一）医疗卫生机构和医疗废物集中处置单位，应当建立、健全医疗废物管理责任制，其法定代表人为第一责任人，切实履行职责，防止因医疗废物导致传染病传播和环境污染事故。</w:t>
                  </w:r>
                </w:p>
              </w:tc>
              <w:tc>
                <w:tcPr>
                  <w:tcW w:w="3516" w:type="dxa"/>
                  <w:vAlign w:val="center"/>
                </w:tcPr>
                <w:p w14:paraId="043CD100">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本项目</w:t>
                  </w:r>
                  <w:r>
                    <w:rPr>
                      <w:rFonts w:hint="eastAsia"/>
                      <w:color w:val="auto"/>
                      <w:sz w:val="21"/>
                      <w:szCs w:val="21"/>
                      <w:lang w:val="en-US" w:eastAsia="zh-CN"/>
                    </w:rPr>
                    <w:t>已委托有资质的单位处置医疗废物并建立健全医疗废物管理制度</w:t>
                  </w:r>
                </w:p>
              </w:tc>
              <w:tc>
                <w:tcPr>
                  <w:tcW w:w="645" w:type="dxa"/>
                  <w:vAlign w:val="center"/>
                </w:tcPr>
                <w:p w14:paraId="0CD27CC1">
                  <w:pPr>
                    <w:spacing w:line="240" w:lineRule="auto"/>
                    <w:ind w:firstLine="0" w:firstLineChars="0"/>
                    <w:jc w:val="center"/>
                    <w:rPr>
                      <w:color w:val="auto"/>
                      <w:sz w:val="21"/>
                      <w:szCs w:val="21"/>
                    </w:rPr>
                  </w:pPr>
                  <w:r>
                    <w:rPr>
                      <w:rFonts w:hint="eastAsia"/>
                      <w:color w:val="auto"/>
                      <w:sz w:val="21"/>
                      <w:szCs w:val="21"/>
                    </w:rPr>
                    <w:t>符合</w:t>
                  </w:r>
                </w:p>
              </w:tc>
            </w:tr>
            <w:tr w14:paraId="662E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07B4B8B2">
                  <w:pPr>
                    <w:spacing w:line="240" w:lineRule="auto"/>
                    <w:ind w:firstLine="0" w:firstLineChars="0"/>
                    <w:jc w:val="center"/>
                    <w:rPr>
                      <w:color w:val="auto"/>
                      <w:sz w:val="21"/>
                      <w:szCs w:val="21"/>
                    </w:rPr>
                  </w:pPr>
                  <w:r>
                    <w:rPr>
                      <w:color w:val="auto"/>
                      <w:sz w:val="21"/>
                      <w:szCs w:val="21"/>
                    </w:rPr>
                    <w:t>（二）医疗卫生机构和医疗废物集中处置单位，应当制定与医疗废物安全处置有关的规章制度和在发生意外事故时的应急方案；设置监控部门或者专（兼）职人员，负责检查、督促、落实本单位医疗废物的管理工作，防止违反本条例的行为发生。</w:t>
                  </w:r>
                </w:p>
              </w:tc>
              <w:tc>
                <w:tcPr>
                  <w:tcW w:w="3516" w:type="dxa"/>
                  <w:vAlign w:val="center"/>
                </w:tcPr>
                <w:p w14:paraId="77C7A6D7">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本项目</w:t>
                  </w:r>
                  <w:r>
                    <w:rPr>
                      <w:rFonts w:hint="eastAsia"/>
                      <w:color w:val="auto"/>
                      <w:sz w:val="21"/>
                      <w:szCs w:val="21"/>
                      <w:lang w:val="en-US" w:eastAsia="zh-CN"/>
                    </w:rPr>
                    <w:t>江川区医共体总院已编制突发环境事件应急预案及医疗废物相关管理制度；已</w:t>
                  </w:r>
                  <w:r>
                    <w:rPr>
                      <w:color w:val="auto"/>
                      <w:sz w:val="21"/>
                      <w:szCs w:val="21"/>
                    </w:rPr>
                    <w:t>设置监控部门或者专（兼）职人员，负责检查、督促、落实本单位医疗废物的管理工作，防止违反本条例的行为发生</w:t>
                  </w:r>
                </w:p>
              </w:tc>
              <w:tc>
                <w:tcPr>
                  <w:tcW w:w="645" w:type="dxa"/>
                  <w:vAlign w:val="center"/>
                </w:tcPr>
                <w:p w14:paraId="027B0C37">
                  <w:pPr>
                    <w:spacing w:line="240" w:lineRule="auto"/>
                    <w:ind w:firstLine="0" w:firstLineChars="0"/>
                    <w:jc w:val="center"/>
                    <w:rPr>
                      <w:color w:val="auto"/>
                      <w:sz w:val="21"/>
                      <w:szCs w:val="21"/>
                    </w:rPr>
                  </w:pPr>
                  <w:r>
                    <w:rPr>
                      <w:rFonts w:hint="eastAsia"/>
                      <w:color w:val="auto"/>
                      <w:sz w:val="21"/>
                      <w:szCs w:val="21"/>
                    </w:rPr>
                    <w:t>符合</w:t>
                  </w:r>
                </w:p>
              </w:tc>
            </w:tr>
            <w:tr w14:paraId="5FBE8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290D71D8">
                  <w:pPr>
                    <w:spacing w:line="240" w:lineRule="auto"/>
                    <w:ind w:firstLine="0" w:firstLineChars="0"/>
                    <w:jc w:val="center"/>
                    <w:rPr>
                      <w:color w:val="auto"/>
                      <w:sz w:val="21"/>
                      <w:szCs w:val="21"/>
                    </w:rPr>
                  </w:pPr>
                  <w:r>
                    <w:rPr>
                      <w:color w:val="auto"/>
                      <w:sz w:val="21"/>
                      <w:szCs w:val="21"/>
                    </w:rPr>
                    <w:t>（三）医疗卫生机构和医疗废物集中处置单位，应当对本单位从事医疗废物收集、运送、贮存、处置等工作的人员和管理人员，进行相关法律和专业技术、安全防护以及紧急处理等知识的培训。</w:t>
                  </w:r>
                </w:p>
              </w:tc>
              <w:tc>
                <w:tcPr>
                  <w:tcW w:w="3516" w:type="dxa"/>
                  <w:vAlign w:val="center"/>
                </w:tcPr>
                <w:p w14:paraId="5A23FC9E">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本项目</w:t>
                  </w:r>
                  <w:r>
                    <w:rPr>
                      <w:rFonts w:hint="eastAsia"/>
                      <w:color w:val="auto"/>
                      <w:sz w:val="21"/>
                      <w:szCs w:val="21"/>
                      <w:lang w:val="en-US" w:eastAsia="zh-CN"/>
                    </w:rPr>
                    <w:t>已建设医疗废物暂存间暂存医疗废弃物并对管理人员进行相关法律和专业技术、安全防护及紧急处理等知识培训</w:t>
                  </w:r>
                </w:p>
              </w:tc>
              <w:tc>
                <w:tcPr>
                  <w:tcW w:w="645" w:type="dxa"/>
                  <w:vAlign w:val="center"/>
                </w:tcPr>
                <w:p w14:paraId="7CE535CC">
                  <w:pPr>
                    <w:spacing w:line="240" w:lineRule="auto"/>
                    <w:ind w:firstLine="0" w:firstLineChars="0"/>
                    <w:jc w:val="center"/>
                    <w:rPr>
                      <w:color w:val="auto"/>
                      <w:sz w:val="21"/>
                      <w:szCs w:val="21"/>
                    </w:rPr>
                  </w:pPr>
                  <w:r>
                    <w:rPr>
                      <w:rFonts w:hint="eastAsia"/>
                      <w:color w:val="auto"/>
                      <w:sz w:val="21"/>
                      <w:szCs w:val="21"/>
                    </w:rPr>
                    <w:t>符合</w:t>
                  </w:r>
                </w:p>
              </w:tc>
            </w:tr>
            <w:tr w14:paraId="1C6A4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41050554">
                  <w:pPr>
                    <w:spacing w:line="240" w:lineRule="auto"/>
                    <w:ind w:firstLine="0" w:firstLineChars="0"/>
                    <w:jc w:val="center"/>
                    <w:rPr>
                      <w:color w:val="auto"/>
                      <w:sz w:val="21"/>
                      <w:szCs w:val="21"/>
                    </w:rPr>
                  </w:pPr>
                  <w:r>
                    <w:rPr>
                      <w:color w:val="auto"/>
                      <w:sz w:val="21"/>
                      <w:szCs w:val="21"/>
                    </w:rPr>
                    <w:t>（四）医疗卫生机构和医疗废物集中处置单位，应当采取有效的职业卫生防护措施，为从事医疗废物收集、运送、贮存、处置等工作的人员和管理人员，配备必要的防护用品，定期进行健康检查；必要时，对有关人员进行免疫接种，防止其受到健康损害。</w:t>
                  </w:r>
                </w:p>
              </w:tc>
              <w:tc>
                <w:tcPr>
                  <w:tcW w:w="3516" w:type="dxa"/>
                  <w:vAlign w:val="center"/>
                </w:tcPr>
                <w:p w14:paraId="6EE9D0AC">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本项目</w:t>
                  </w:r>
                  <w:r>
                    <w:rPr>
                      <w:rFonts w:hint="eastAsia"/>
                      <w:color w:val="auto"/>
                      <w:sz w:val="21"/>
                      <w:szCs w:val="21"/>
                      <w:lang w:val="en-US" w:eastAsia="zh-CN"/>
                    </w:rPr>
                    <w:t>已配备相关防护用品</w:t>
                  </w:r>
                </w:p>
              </w:tc>
              <w:tc>
                <w:tcPr>
                  <w:tcW w:w="645" w:type="dxa"/>
                  <w:vAlign w:val="center"/>
                </w:tcPr>
                <w:p w14:paraId="3AFFC549">
                  <w:pPr>
                    <w:spacing w:line="240" w:lineRule="auto"/>
                    <w:ind w:firstLine="0" w:firstLineChars="0"/>
                    <w:jc w:val="center"/>
                    <w:rPr>
                      <w:color w:val="auto"/>
                      <w:sz w:val="21"/>
                      <w:szCs w:val="21"/>
                    </w:rPr>
                  </w:pPr>
                  <w:r>
                    <w:rPr>
                      <w:rFonts w:hint="eastAsia"/>
                      <w:color w:val="auto"/>
                      <w:sz w:val="21"/>
                      <w:szCs w:val="21"/>
                    </w:rPr>
                    <w:t>符合</w:t>
                  </w:r>
                </w:p>
              </w:tc>
            </w:tr>
            <w:tr w14:paraId="0B66D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4BC72324">
                  <w:pPr>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五</w:t>
                  </w:r>
                  <w:r>
                    <w:rPr>
                      <w:color w:val="auto"/>
                      <w:sz w:val="21"/>
                      <w:szCs w:val="21"/>
                    </w:rPr>
                    <w:t>）医疗卫生机构和医疗废物集中处置单位，应当依照《中华人民共和国固体废物污染环境防治法》的规定，执行危险废物转移联单管理制度。</w:t>
                  </w:r>
                </w:p>
              </w:tc>
              <w:tc>
                <w:tcPr>
                  <w:tcW w:w="3516" w:type="dxa"/>
                  <w:vAlign w:val="center"/>
                </w:tcPr>
                <w:p w14:paraId="7282FF6E">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本项目医疗废物暂存间制定和张贴有管理制度和转移联单</w:t>
                  </w:r>
                </w:p>
              </w:tc>
              <w:tc>
                <w:tcPr>
                  <w:tcW w:w="645" w:type="dxa"/>
                  <w:vAlign w:val="center"/>
                </w:tcPr>
                <w:p w14:paraId="3E80A60E">
                  <w:pPr>
                    <w:spacing w:line="240" w:lineRule="auto"/>
                    <w:ind w:firstLine="0" w:firstLineChars="0"/>
                    <w:jc w:val="center"/>
                    <w:rPr>
                      <w:rFonts w:hint="eastAsia"/>
                      <w:color w:val="auto"/>
                      <w:sz w:val="21"/>
                      <w:szCs w:val="21"/>
                    </w:rPr>
                  </w:pPr>
                  <w:r>
                    <w:rPr>
                      <w:rFonts w:hint="eastAsia"/>
                      <w:color w:val="auto"/>
                      <w:sz w:val="21"/>
                      <w:szCs w:val="21"/>
                    </w:rPr>
                    <w:t>符合</w:t>
                  </w:r>
                </w:p>
              </w:tc>
            </w:tr>
            <w:tr w14:paraId="20BDA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7845ABAC">
                  <w:pPr>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六</w:t>
                  </w:r>
                  <w:r>
                    <w:rPr>
                      <w:color w:val="auto"/>
                      <w:sz w:val="21"/>
                      <w:szCs w:val="21"/>
                    </w:rPr>
                    <w:t>）医疗卫生机构和医疗废物集中处置单位，应当对医疗废物进行登记，登记内容应当包括医疗废物的来源、种类、重量或者数量、交接时间、处置方法、最终去向以及经办人签名等项目。登记资料至少保存3年。</w:t>
                  </w:r>
                </w:p>
              </w:tc>
              <w:tc>
                <w:tcPr>
                  <w:tcW w:w="3516" w:type="dxa"/>
                  <w:vAlign w:val="center"/>
                </w:tcPr>
                <w:p w14:paraId="6C7B82B3">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本项目有保留医疗废物转移联单</w:t>
                  </w:r>
                </w:p>
              </w:tc>
              <w:tc>
                <w:tcPr>
                  <w:tcW w:w="645" w:type="dxa"/>
                  <w:vAlign w:val="center"/>
                </w:tcPr>
                <w:p w14:paraId="4E925E84">
                  <w:pPr>
                    <w:spacing w:line="240" w:lineRule="auto"/>
                    <w:ind w:firstLine="0" w:firstLineChars="0"/>
                    <w:jc w:val="center"/>
                    <w:rPr>
                      <w:rFonts w:hint="eastAsia"/>
                      <w:color w:val="auto"/>
                      <w:sz w:val="21"/>
                      <w:szCs w:val="21"/>
                    </w:rPr>
                  </w:pPr>
                  <w:r>
                    <w:rPr>
                      <w:rFonts w:hint="eastAsia"/>
                      <w:color w:val="auto"/>
                      <w:sz w:val="21"/>
                      <w:szCs w:val="21"/>
                    </w:rPr>
                    <w:t>符合</w:t>
                  </w:r>
                </w:p>
              </w:tc>
            </w:tr>
            <w:tr w14:paraId="3C761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10A981E7">
                  <w:pPr>
                    <w:spacing w:line="240" w:lineRule="auto"/>
                    <w:ind w:firstLine="0" w:firstLineChars="0"/>
                    <w:jc w:val="center"/>
                    <w:rPr>
                      <w:color w:val="auto"/>
                      <w:sz w:val="21"/>
                      <w:szCs w:val="21"/>
                    </w:rPr>
                  </w:pPr>
                  <w:r>
                    <w:rPr>
                      <w:rFonts w:hint="eastAsia"/>
                      <w:color w:val="auto"/>
                      <w:sz w:val="21"/>
                      <w:szCs w:val="21"/>
                      <w:lang w:eastAsia="zh-CN"/>
                    </w:rPr>
                    <w:t>（</w:t>
                  </w:r>
                  <w:r>
                    <w:rPr>
                      <w:rFonts w:hint="eastAsia"/>
                      <w:color w:val="auto"/>
                      <w:sz w:val="21"/>
                      <w:szCs w:val="21"/>
                      <w:lang w:val="en-US" w:eastAsia="zh-CN"/>
                    </w:rPr>
                    <w:t>七</w:t>
                  </w:r>
                  <w:r>
                    <w:rPr>
                      <w:rFonts w:hint="eastAsia"/>
                      <w:color w:val="auto"/>
                      <w:sz w:val="21"/>
                      <w:szCs w:val="21"/>
                      <w:lang w:eastAsia="zh-CN"/>
                    </w:rPr>
                    <w:t>）</w:t>
                  </w:r>
                  <w:r>
                    <w:rPr>
                      <w:color w:val="auto"/>
                      <w:sz w:val="21"/>
                      <w:szCs w:val="21"/>
                    </w:rPr>
                    <w:t>医疗卫生机构和医疗废物集中处置单位，应当采取有效措施，防止医疗废物流失、泄漏、扩散。</w:t>
                  </w:r>
                </w:p>
              </w:tc>
              <w:tc>
                <w:tcPr>
                  <w:tcW w:w="3516" w:type="dxa"/>
                  <w:vAlign w:val="center"/>
                </w:tcPr>
                <w:p w14:paraId="18D3D7E0">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本项目设置有医疗废弃物暂存间，集中收集后委托有资质的单位处置</w:t>
                  </w:r>
                </w:p>
              </w:tc>
              <w:tc>
                <w:tcPr>
                  <w:tcW w:w="645" w:type="dxa"/>
                  <w:vAlign w:val="center"/>
                </w:tcPr>
                <w:p w14:paraId="4CD7CA55">
                  <w:pPr>
                    <w:spacing w:line="240" w:lineRule="auto"/>
                    <w:ind w:firstLine="0" w:firstLineChars="0"/>
                    <w:jc w:val="center"/>
                    <w:rPr>
                      <w:rFonts w:hint="eastAsia"/>
                      <w:color w:val="auto"/>
                      <w:sz w:val="21"/>
                      <w:szCs w:val="21"/>
                    </w:rPr>
                  </w:pPr>
                  <w:r>
                    <w:rPr>
                      <w:rFonts w:hint="eastAsia"/>
                      <w:color w:val="auto"/>
                      <w:sz w:val="21"/>
                      <w:szCs w:val="21"/>
                    </w:rPr>
                    <w:t>符合</w:t>
                  </w:r>
                </w:p>
              </w:tc>
            </w:tr>
            <w:tr w14:paraId="0933C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54B0A4AE">
                  <w:pPr>
                    <w:spacing w:line="240" w:lineRule="auto"/>
                    <w:ind w:firstLine="0" w:firstLineChars="0"/>
                    <w:jc w:val="center"/>
                    <w:rPr>
                      <w:color w:val="auto"/>
                      <w:sz w:val="21"/>
                      <w:szCs w:val="21"/>
                    </w:rPr>
                  </w:pPr>
                  <w:r>
                    <w:rPr>
                      <w:rFonts w:hint="eastAsia"/>
                      <w:color w:val="auto"/>
                      <w:sz w:val="21"/>
                      <w:szCs w:val="21"/>
                      <w:lang w:eastAsia="zh-CN"/>
                    </w:rPr>
                    <w:t>（</w:t>
                  </w:r>
                  <w:r>
                    <w:rPr>
                      <w:rFonts w:hint="eastAsia"/>
                      <w:color w:val="auto"/>
                      <w:sz w:val="21"/>
                      <w:szCs w:val="21"/>
                      <w:lang w:val="en-US" w:eastAsia="zh-CN"/>
                    </w:rPr>
                    <w:t>八</w:t>
                  </w:r>
                  <w:r>
                    <w:rPr>
                      <w:rFonts w:hint="eastAsia"/>
                      <w:color w:val="auto"/>
                      <w:sz w:val="21"/>
                      <w:szCs w:val="21"/>
                      <w:lang w:eastAsia="zh-CN"/>
                    </w:rPr>
                    <w:t>）</w:t>
                  </w:r>
                  <w:r>
                    <w:rPr>
                      <w:color w:val="auto"/>
                      <w:sz w:val="21"/>
                      <w:szCs w:val="21"/>
                    </w:rPr>
                    <w:t>禁止任何单位和个人转让、买卖医疗废物。</w:t>
                  </w:r>
                </w:p>
              </w:tc>
              <w:tc>
                <w:tcPr>
                  <w:tcW w:w="3516" w:type="dxa"/>
                  <w:vAlign w:val="center"/>
                </w:tcPr>
                <w:p w14:paraId="633E2BB9">
                  <w:pPr>
                    <w:spacing w:line="240" w:lineRule="auto"/>
                    <w:ind w:firstLine="0" w:firstLineChars="0"/>
                    <w:jc w:val="center"/>
                    <w:rPr>
                      <w:rFonts w:hint="eastAsia"/>
                      <w:color w:val="auto"/>
                      <w:sz w:val="21"/>
                      <w:szCs w:val="21"/>
                    </w:rPr>
                  </w:pPr>
                  <w:r>
                    <w:rPr>
                      <w:rFonts w:hint="eastAsia"/>
                      <w:color w:val="auto"/>
                      <w:sz w:val="21"/>
                      <w:szCs w:val="21"/>
                      <w:lang w:val="en-US" w:eastAsia="zh-CN"/>
                    </w:rPr>
                    <w:t>本项目设置有医疗废弃物暂存间，集中收集后委托有资质的单位处置</w:t>
                  </w:r>
                </w:p>
              </w:tc>
              <w:tc>
                <w:tcPr>
                  <w:tcW w:w="645" w:type="dxa"/>
                  <w:vAlign w:val="center"/>
                </w:tcPr>
                <w:p w14:paraId="6F74DD27">
                  <w:pPr>
                    <w:spacing w:line="240" w:lineRule="auto"/>
                    <w:ind w:firstLine="0" w:firstLineChars="0"/>
                    <w:jc w:val="center"/>
                    <w:rPr>
                      <w:rFonts w:hint="eastAsia"/>
                      <w:color w:val="auto"/>
                      <w:sz w:val="21"/>
                      <w:szCs w:val="21"/>
                    </w:rPr>
                  </w:pPr>
                  <w:r>
                    <w:rPr>
                      <w:rFonts w:hint="eastAsia"/>
                      <w:color w:val="auto"/>
                      <w:sz w:val="21"/>
                      <w:szCs w:val="21"/>
                    </w:rPr>
                    <w:t>符合</w:t>
                  </w:r>
                </w:p>
              </w:tc>
            </w:tr>
            <w:tr w14:paraId="6CBA8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1B9B8C5F">
                  <w:pPr>
                    <w:spacing w:line="240" w:lineRule="auto"/>
                    <w:ind w:firstLine="0" w:firstLineChars="0"/>
                    <w:jc w:val="center"/>
                    <w:rPr>
                      <w:color w:val="auto"/>
                      <w:sz w:val="21"/>
                      <w:szCs w:val="21"/>
                    </w:rPr>
                  </w:pPr>
                  <w:r>
                    <w:rPr>
                      <w:rFonts w:hint="eastAsia"/>
                      <w:color w:val="auto"/>
                      <w:sz w:val="21"/>
                      <w:szCs w:val="21"/>
                      <w:lang w:eastAsia="zh-CN"/>
                    </w:rPr>
                    <w:t>（</w:t>
                  </w:r>
                  <w:r>
                    <w:rPr>
                      <w:rFonts w:hint="eastAsia"/>
                      <w:color w:val="auto"/>
                      <w:sz w:val="21"/>
                      <w:szCs w:val="21"/>
                      <w:lang w:val="en-US" w:eastAsia="zh-CN"/>
                    </w:rPr>
                    <w:t>九</w:t>
                  </w:r>
                  <w:r>
                    <w:rPr>
                      <w:rFonts w:hint="eastAsia"/>
                      <w:color w:val="auto"/>
                      <w:sz w:val="21"/>
                      <w:szCs w:val="21"/>
                      <w:lang w:eastAsia="zh-CN"/>
                    </w:rPr>
                    <w:t>）</w:t>
                  </w:r>
                  <w:r>
                    <w:rPr>
                      <w:color w:val="auto"/>
                      <w:sz w:val="21"/>
                      <w:szCs w:val="21"/>
                    </w:rPr>
                    <w:t>禁止邮寄医疗废物</w:t>
                  </w:r>
                </w:p>
              </w:tc>
              <w:tc>
                <w:tcPr>
                  <w:tcW w:w="3516" w:type="dxa"/>
                  <w:vAlign w:val="center"/>
                </w:tcPr>
                <w:p w14:paraId="28E735B9">
                  <w:pPr>
                    <w:spacing w:line="240" w:lineRule="auto"/>
                    <w:ind w:firstLine="0" w:firstLineChars="0"/>
                    <w:jc w:val="center"/>
                    <w:rPr>
                      <w:rFonts w:hint="eastAsia"/>
                      <w:color w:val="auto"/>
                      <w:sz w:val="21"/>
                      <w:szCs w:val="21"/>
                    </w:rPr>
                  </w:pPr>
                  <w:r>
                    <w:rPr>
                      <w:rFonts w:hint="eastAsia"/>
                      <w:color w:val="auto"/>
                      <w:sz w:val="21"/>
                      <w:szCs w:val="21"/>
                      <w:lang w:val="en-US" w:eastAsia="zh-CN"/>
                    </w:rPr>
                    <w:t>本项目设置有医疗废弃物暂存间，集中收集后委托有资质的单位处置</w:t>
                  </w:r>
                </w:p>
              </w:tc>
              <w:tc>
                <w:tcPr>
                  <w:tcW w:w="645" w:type="dxa"/>
                  <w:vAlign w:val="center"/>
                </w:tcPr>
                <w:p w14:paraId="54E65832">
                  <w:pPr>
                    <w:spacing w:line="240" w:lineRule="auto"/>
                    <w:ind w:firstLine="0" w:firstLineChars="0"/>
                    <w:jc w:val="center"/>
                    <w:rPr>
                      <w:rFonts w:hint="eastAsia"/>
                      <w:color w:val="auto"/>
                      <w:sz w:val="21"/>
                      <w:szCs w:val="21"/>
                    </w:rPr>
                  </w:pPr>
                  <w:r>
                    <w:rPr>
                      <w:rFonts w:hint="eastAsia"/>
                      <w:color w:val="auto"/>
                      <w:sz w:val="21"/>
                      <w:szCs w:val="21"/>
                    </w:rPr>
                    <w:t>符合</w:t>
                  </w:r>
                </w:p>
              </w:tc>
            </w:tr>
            <w:tr w14:paraId="42208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78" w:type="dxa"/>
                  <w:gridSpan w:val="3"/>
                  <w:vAlign w:val="center"/>
                </w:tcPr>
                <w:p w14:paraId="791B5F1D">
                  <w:pPr>
                    <w:spacing w:line="240" w:lineRule="auto"/>
                    <w:ind w:firstLine="0" w:firstLineChars="0"/>
                    <w:jc w:val="center"/>
                    <w:rPr>
                      <w:rFonts w:hint="eastAsia"/>
                      <w:color w:val="auto"/>
                      <w:sz w:val="21"/>
                      <w:szCs w:val="21"/>
                    </w:rPr>
                  </w:pPr>
                  <w:r>
                    <w:rPr>
                      <w:b/>
                      <w:bCs/>
                      <w:color w:val="auto"/>
                      <w:sz w:val="21"/>
                      <w:szCs w:val="21"/>
                    </w:rPr>
                    <w:t>医疗卫生机构对医疗废物的管理</w:t>
                  </w:r>
                </w:p>
              </w:tc>
            </w:tr>
            <w:tr w14:paraId="696BC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2144DD6B">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一</w:t>
                  </w:r>
                  <w:r>
                    <w:rPr>
                      <w:rFonts w:hint="eastAsia"/>
                      <w:color w:val="auto"/>
                      <w:sz w:val="21"/>
                      <w:szCs w:val="21"/>
                      <w:lang w:eastAsia="zh-CN"/>
                    </w:rPr>
                    <w:t>）医疗卫生机构应当及时收集本单位产生的医疗废物，并按照类别分置于防渗漏、防锐器穿透的专用包装物或者密闭的容器内。</w:t>
                  </w:r>
                </w:p>
              </w:tc>
              <w:tc>
                <w:tcPr>
                  <w:tcW w:w="3516" w:type="dxa"/>
                  <w:vAlign w:val="center"/>
                </w:tcPr>
                <w:p w14:paraId="6F99C79E">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本项目收集医疗废物已进行分类和分区暂存</w:t>
                  </w:r>
                </w:p>
              </w:tc>
              <w:tc>
                <w:tcPr>
                  <w:tcW w:w="645" w:type="dxa"/>
                  <w:vAlign w:val="center"/>
                </w:tcPr>
                <w:p w14:paraId="0F162C05">
                  <w:pPr>
                    <w:spacing w:line="240" w:lineRule="auto"/>
                    <w:ind w:firstLine="0" w:firstLineChars="0"/>
                    <w:jc w:val="center"/>
                    <w:rPr>
                      <w:rFonts w:hint="eastAsia"/>
                      <w:color w:val="auto"/>
                      <w:sz w:val="21"/>
                      <w:szCs w:val="21"/>
                    </w:rPr>
                  </w:pPr>
                  <w:r>
                    <w:rPr>
                      <w:rFonts w:hint="eastAsia"/>
                      <w:color w:val="auto"/>
                      <w:sz w:val="21"/>
                      <w:szCs w:val="21"/>
                    </w:rPr>
                    <w:t>符合</w:t>
                  </w:r>
                </w:p>
              </w:tc>
            </w:tr>
            <w:tr w14:paraId="66238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61A0D43C">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二</w:t>
                  </w:r>
                  <w:r>
                    <w:rPr>
                      <w:rFonts w:hint="eastAsia"/>
                      <w:color w:val="auto"/>
                      <w:sz w:val="21"/>
                      <w:szCs w:val="21"/>
                      <w:lang w:eastAsia="zh-CN"/>
                    </w:rPr>
                    <w:t>）医疗卫生机构应当建立医疗废物的暂时贮存设施、设备，不得露天存放医疗废物；医疗废物暂时贮存的时间不得超过2天。</w:t>
                  </w:r>
                </w:p>
              </w:tc>
              <w:tc>
                <w:tcPr>
                  <w:tcW w:w="3516" w:type="dxa"/>
                  <w:vAlign w:val="center"/>
                </w:tcPr>
                <w:p w14:paraId="08555B68">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本项目已委托有资质的单位进行定期处置，项目设置有密闭的医疗废物暂存间</w:t>
                  </w:r>
                </w:p>
              </w:tc>
              <w:tc>
                <w:tcPr>
                  <w:tcW w:w="645" w:type="dxa"/>
                  <w:vAlign w:val="center"/>
                </w:tcPr>
                <w:p w14:paraId="2C02290D">
                  <w:pPr>
                    <w:spacing w:line="240" w:lineRule="auto"/>
                    <w:ind w:firstLine="0" w:firstLineChars="0"/>
                    <w:jc w:val="center"/>
                    <w:rPr>
                      <w:rFonts w:hint="eastAsia"/>
                      <w:color w:val="auto"/>
                      <w:sz w:val="21"/>
                      <w:szCs w:val="21"/>
                    </w:rPr>
                  </w:pPr>
                  <w:r>
                    <w:rPr>
                      <w:rFonts w:hint="eastAsia"/>
                      <w:color w:val="auto"/>
                      <w:sz w:val="21"/>
                      <w:szCs w:val="21"/>
                    </w:rPr>
                    <w:t>符合</w:t>
                  </w:r>
                </w:p>
              </w:tc>
            </w:tr>
            <w:tr w14:paraId="423A2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6D6E818E">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三</w:t>
                  </w:r>
                  <w:r>
                    <w:rPr>
                      <w:rFonts w:hint="eastAsia"/>
                      <w:color w:val="auto"/>
                      <w:sz w:val="21"/>
                      <w:szCs w:val="21"/>
                      <w:lang w:eastAsia="zh-CN"/>
                    </w:rPr>
                    <w:t>）医疗卫生机构应当使用防渗漏、防遗撒的专用运送工具，按照本单位确定的内部医疗废物运送时间、路线，将医疗废物收集、运送至暂时贮存地点。</w:t>
                  </w:r>
                </w:p>
              </w:tc>
              <w:tc>
                <w:tcPr>
                  <w:tcW w:w="3516" w:type="dxa"/>
                  <w:vAlign w:val="center"/>
                </w:tcPr>
                <w:p w14:paraId="7C351445">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项目已使用</w:t>
                  </w:r>
                  <w:r>
                    <w:rPr>
                      <w:rFonts w:hint="eastAsia"/>
                      <w:color w:val="auto"/>
                      <w:sz w:val="21"/>
                      <w:szCs w:val="21"/>
                      <w:lang w:eastAsia="zh-CN"/>
                    </w:rPr>
                    <w:t>防渗漏、防遗撒的专用运送工具，按照本单位确定的内部医疗废物运送时间、路线，将医疗废物收集、运送至暂时贮存地点。</w:t>
                  </w:r>
                </w:p>
              </w:tc>
              <w:tc>
                <w:tcPr>
                  <w:tcW w:w="645" w:type="dxa"/>
                  <w:vAlign w:val="center"/>
                </w:tcPr>
                <w:p w14:paraId="5C9B1A7F">
                  <w:pPr>
                    <w:spacing w:line="240" w:lineRule="auto"/>
                    <w:ind w:firstLine="0" w:firstLineChars="0"/>
                    <w:jc w:val="center"/>
                    <w:rPr>
                      <w:rFonts w:hint="eastAsia"/>
                      <w:color w:val="auto"/>
                      <w:sz w:val="21"/>
                      <w:szCs w:val="21"/>
                    </w:rPr>
                  </w:pPr>
                  <w:r>
                    <w:rPr>
                      <w:rFonts w:hint="eastAsia"/>
                      <w:color w:val="auto"/>
                      <w:sz w:val="21"/>
                      <w:szCs w:val="21"/>
                    </w:rPr>
                    <w:t>符合</w:t>
                  </w:r>
                </w:p>
              </w:tc>
            </w:tr>
            <w:tr w14:paraId="71854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6A5A403D">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四</w:t>
                  </w:r>
                  <w:r>
                    <w:rPr>
                      <w:rFonts w:hint="eastAsia"/>
                      <w:color w:val="auto"/>
                      <w:sz w:val="21"/>
                      <w:szCs w:val="21"/>
                      <w:lang w:eastAsia="zh-CN"/>
                    </w:rPr>
                    <w:t>）医疗卫生机构应当根据就近集中处置的原则，及时将医疗废物交由医疗废物集中处置单位处置。</w:t>
                  </w:r>
                </w:p>
              </w:tc>
              <w:tc>
                <w:tcPr>
                  <w:tcW w:w="3516" w:type="dxa"/>
                  <w:vAlign w:val="center"/>
                </w:tcPr>
                <w:p w14:paraId="01E16A3F">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本项目设置有医疗废弃物暂存间，集中收集后委托有资质的单位处置</w:t>
                  </w:r>
                </w:p>
              </w:tc>
              <w:tc>
                <w:tcPr>
                  <w:tcW w:w="645" w:type="dxa"/>
                  <w:vAlign w:val="center"/>
                </w:tcPr>
                <w:p w14:paraId="7B279464">
                  <w:pPr>
                    <w:spacing w:line="240" w:lineRule="auto"/>
                    <w:ind w:firstLine="0" w:firstLineChars="0"/>
                    <w:jc w:val="center"/>
                    <w:rPr>
                      <w:rFonts w:hint="eastAsia"/>
                      <w:color w:val="auto"/>
                      <w:sz w:val="21"/>
                      <w:szCs w:val="21"/>
                    </w:rPr>
                  </w:pPr>
                  <w:r>
                    <w:rPr>
                      <w:rFonts w:hint="eastAsia"/>
                      <w:color w:val="auto"/>
                      <w:sz w:val="21"/>
                      <w:szCs w:val="21"/>
                    </w:rPr>
                    <w:t>符合</w:t>
                  </w:r>
                </w:p>
              </w:tc>
            </w:tr>
            <w:tr w14:paraId="6DF8F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1A05FF54">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五</w:t>
                  </w:r>
                  <w:r>
                    <w:rPr>
                      <w:rFonts w:hint="eastAsia"/>
                      <w:color w:val="auto"/>
                      <w:sz w:val="21"/>
                      <w:szCs w:val="21"/>
                      <w:lang w:eastAsia="zh-CN"/>
                    </w:rPr>
                    <w:t>）医疗卫生机构产生的污水、传染病病人或者疑似传染病病人的排泄物，应当按照国家规定严格消毒；达到国家规定的排放标准后，方可排入污水处理系统。</w:t>
                  </w:r>
                </w:p>
              </w:tc>
              <w:tc>
                <w:tcPr>
                  <w:tcW w:w="3516" w:type="dxa"/>
                  <w:vAlign w:val="center"/>
                </w:tcPr>
                <w:p w14:paraId="6A5342C7">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本项目江川区医共体总院污水经污水处理站处理后排入市政污水管网；江城镇卫生院污水经污水处理站处置后回用于绿化。</w:t>
                  </w:r>
                </w:p>
              </w:tc>
              <w:tc>
                <w:tcPr>
                  <w:tcW w:w="645" w:type="dxa"/>
                  <w:vAlign w:val="center"/>
                </w:tcPr>
                <w:p w14:paraId="0F73F4FC">
                  <w:pPr>
                    <w:spacing w:line="240" w:lineRule="auto"/>
                    <w:ind w:firstLine="0" w:firstLineChars="0"/>
                    <w:jc w:val="center"/>
                    <w:rPr>
                      <w:rFonts w:hint="eastAsia"/>
                      <w:color w:val="auto"/>
                      <w:sz w:val="21"/>
                      <w:szCs w:val="21"/>
                    </w:rPr>
                  </w:pPr>
                  <w:r>
                    <w:rPr>
                      <w:rFonts w:hint="eastAsia"/>
                      <w:color w:val="auto"/>
                      <w:sz w:val="21"/>
                      <w:szCs w:val="21"/>
                    </w:rPr>
                    <w:t>符合</w:t>
                  </w:r>
                </w:p>
              </w:tc>
            </w:tr>
            <w:tr w14:paraId="73FA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517" w:type="dxa"/>
                  <w:vAlign w:val="center"/>
                </w:tcPr>
                <w:p w14:paraId="339E3C95">
                  <w:pPr>
                    <w:spacing w:line="240" w:lineRule="auto"/>
                    <w:ind w:firstLine="0" w:firstLineChars="0"/>
                    <w:jc w:val="cente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六</w:t>
                  </w:r>
                  <w:r>
                    <w:rPr>
                      <w:rFonts w:hint="eastAsia"/>
                      <w:color w:val="auto"/>
                      <w:sz w:val="21"/>
                      <w:szCs w:val="21"/>
                      <w:lang w:eastAsia="zh-CN"/>
                    </w:rPr>
                    <w:t>）不具备集中处置医疗废物条件的农村，医疗卫生机构应当按照县级人民政府卫生行政主管部门、环境保护行政主管部门的要求，自行就地处置其产生的医疗废物。自行处置医疗废物的，应当符合下列基本要求：</w:t>
                  </w:r>
                </w:p>
              </w:tc>
              <w:tc>
                <w:tcPr>
                  <w:tcW w:w="3516" w:type="dxa"/>
                  <w:vAlign w:val="center"/>
                </w:tcPr>
                <w:p w14:paraId="61F85F6F">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本项目设置有医疗废弃物暂存间，集中收集后委托有资质的单位处置</w:t>
                  </w:r>
                </w:p>
              </w:tc>
              <w:tc>
                <w:tcPr>
                  <w:tcW w:w="645" w:type="dxa"/>
                  <w:vAlign w:val="center"/>
                </w:tcPr>
                <w:p w14:paraId="4EEEB546">
                  <w:pPr>
                    <w:spacing w:line="240" w:lineRule="auto"/>
                    <w:ind w:firstLine="0" w:firstLineChars="0"/>
                    <w:jc w:val="center"/>
                    <w:rPr>
                      <w:rFonts w:hint="eastAsia"/>
                      <w:color w:val="auto"/>
                      <w:sz w:val="21"/>
                      <w:szCs w:val="21"/>
                    </w:rPr>
                  </w:pPr>
                  <w:r>
                    <w:rPr>
                      <w:rFonts w:hint="eastAsia"/>
                      <w:color w:val="auto"/>
                      <w:sz w:val="21"/>
                      <w:szCs w:val="21"/>
                    </w:rPr>
                    <w:t>符合</w:t>
                  </w:r>
                </w:p>
              </w:tc>
            </w:tr>
          </w:tbl>
          <w:p w14:paraId="17AFC8BA">
            <w:pPr>
              <w:spacing w:line="360" w:lineRule="auto"/>
              <w:ind w:firstLine="422"/>
              <w:jc w:val="both"/>
              <w:rPr>
                <w:rFonts w:hint="default" w:eastAsia="宋体"/>
                <w:color w:val="auto"/>
                <w:lang w:val="en-US" w:eastAsia="zh-CN"/>
              </w:rPr>
            </w:pPr>
            <w:r>
              <w:rPr>
                <w:rFonts w:hint="eastAsia"/>
                <w:color w:val="auto"/>
                <w:lang w:eastAsia="zh-CN"/>
              </w:rPr>
              <w:t>（</w:t>
            </w:r>
            <w:r>
              <w:rPr>
                <w:rFonts w:hint="eastAsia"/>
                <w:color w:val="auto"/>
                <w:lang w:val="en-US" w:eastAsia="zh-CN"/>
              </w:rPr>
              <w:t>12</w:t>
            </w:r>
            <w:r>
              <w:rPr>
                <w:rFonts w:hint="eastAsia"/>
                <w:color w:val="auto"/>
                <w:lang w:eastAsia="zh-CN"/>
              </w:rPr>
              <w:t>）</w:t>
            </w:r>
            <w:r>
              <w:rPr>
                <w:rFonts w:hint="eastAsia"/>
                <w:color w:val="auto"/>
                <w:lang w:val="en-US" w:eastAsia="zh-CN"/>
              </w:rPr>
              <w:t>与《医疗卫生机构消毒技术规范》相符性</w:t>
            </w:r>
          </w:p>
          <w:p w14:paraId="01A4AA7A">
            <w:pPr>
              <w:pStyle w:val="8"/>
              <w:spacing w:line="360" w:lineRule="auto"/>
              <w:rPr>
                <w:rFonts w:hint="default" w:cs="Times New Roman"/>
                <w:color w:val="auto"/>
                <w:lang w:val="en-US" w:eastAsia="zh-CN"/>
              </w:rPr>
            </w:pPr>
            <w:r>
              <w:rPr>
                <w:rFonts w:hint="eastAsia" w:cs="Times New Roman"/>
                <w:color w:val="auto"/>
                <w:lang w:val="en-US" w:eastAsia="zh-CN"/>
              </w:rPr>
              <w:t>根据《医疗卫生机构消毒技术规范》（WS/T367-2012）中低温甲醛蒸汽灭菌技术规范：</w:t>
            </w:r>
          </w:p>
          <w:p w14:paraId="33FDE385">
            <w:pPr>
              <w:pStyle w:val="8"/>
              <w:rPr>
                <w:rFonts w:hint="eastAsia" w:cs="Times New Roman"/>
                <w:color w:val="auto"/>
                <w:lang w:val="en-US" w:eastAsia="zh-CN"/>
              </w:rPr>
            </w:pPr>
            <w:r>
              <w:rPr>
                <w:rFonts w:hint="eastAsia" w:cs="Times New Roman"/>
                <w:color w:val="auto"/>
                <w:lang w:val="en-US" w:eastAsia="zh-CN"/>
              </w:rPr>
              <w:t>C.5.1适用范围</w:t>
            </w:r>
          </w:p>
          <w:p w14:paraId="49D2713D">
            <w:pPr>
              <w:pStyle w:val="8"/>
              <w:rPr>
                <w:rFonts w:hint="eastAsia" w:cs="Times New Roman"/>
                <w:color w:val="auto"/>
                <w:lang w:val="en-US" w:eastAsia="zh-CN"/>
              </w:rPr>
            </w:pPr>
            <w:r>
              <w:rPr>
                <w:rFonts w:hint="eastAsia" w:cs="Times New Roman"/>
                <w:color w:val="auto"/>
                <w:lang w:val="en-US" w:eastAsia="zh-CN"/>
              </w:rPr>
              <w:t>适用于不耐湿、热的诊疗器械、器具和物品的灭菌，如电子仪器、光学仪器、管腔器械、金属器械、玻璃器皿、合成材料物品等。</w:t>
            </w:r>
          </w:p>
          <w:p w14:paraId="48A4ADFC">
            <w:pPr>
              <w:pStyle w:val="8"/>
              <w:rPr>
                <w:rFonts w:hint="eastAsia" w:cs="Times New Roman"/>
                <w:color w:val="auto"/>
                <w:lang w:val="en-US" w:eastAsia="zh-CN"/>
              </w:rPr>
            </w:pPr>
            <w:r>
              <w:rPr>
                <w:rFonts w:hint="eastAsia" w:cs="Times New Roman"/>
                <w:color w:val="auto"/>
                <w:lang w:val="en-US" w:eastAsia="zh-CN"/>
              </w:rPr>
              <w:t>C.5.2灭菌方法</w:t>
            </w:r>
          </w:p>
          <w:p w14:paraId="7D7DCFA9">
            <w:pPr>
              <w:pStyle w:val="8"/>
              <w:rPr>
                <w:rFonts w:hint="eastAsia" w:cs="Times New Roman"/>
                <w:color w:val="auto"/>
                <w:lang w:val="en-US" w:eastAsia="zh-CN"/>
              </w:rPr>
            </w:pPr>
            <w:r>
              <w:rPr>
                <w:rFonts w:hint="eastAsia" w:cs="Times New Roman"/>
                <w:color w:val="auto"/>
                <w:lang w:val="en-US" w:eastAsia="zh-CN"/>
              </w:rPr>
              <w:t>C.5.2.1低温甲醛蒸汽灭菌程序应包括:预热，预真空、排气，蒸汽注人、湿化、升温，反复甲醛蒸发、注人，甲醛穿透，灭菌(在预设的压力、温度下持续一定时间)，反复蒸汽冲洗灭菌腔内甲醛，反复空气冲洗、干燥，冷却，恢复灭菌舱内正常压力。</w:t>
            </w:r>
          </w:p>
          <w:p w14:paraId="390C10DD">
            <w:pPr>
              <w:pStyle w:val="8"/>
              <w:rPr>
                <w:rFonts w:hint="eastAsia" w:cs="Times New Roman"/>
                <w:color w:val="auto"/>
                <w:lang w:val="en-US" w:eastAsia="zh-CN"/>
              </w:rPr>
            </w:pPr>
            <w:r>
              <w:rPr>
                <w:rFonts w:hint="eastAsia" w:cs="Times New Roman"/>
                <w:color w:val="auto"/>
                <w:lang w:val="en-US" w:eastAsia="zh-CN"/>
              </w:rPr>
              <w:t>C.5.2.2根据低温甲醛蒸汽灭菌器的要求，采用2%复方甲醛溶液或福尔马林溶液(35%~40%甲醛)进行灭菌，每个循环的2%复方甲醛溶液或福尔马林溶液(35%~40%甲醛)用量根据装载量不同而异。灭菌参数为:温度55°C~80°C，灭菌维持时间为30mim~60min。</w:t>
            </w:r>
          </w:p>
          <w:p w14:paraId="77B28A2A">
            <w:pPr>
              <w:pStyle w:val="8"/>
              <w:rPr>
                <w:rFonts w:hint="eastAsia" w:cs="Times New Roman"/>
                <w:color w:val="auto"/>
                <w:lang w:val="en-US" w:eastAsia="zh-CN"/>
              </w:rPr>
            </w:pPr>
            <w:r>
              <w:rPr>
                <w:rFonts w:hint="eastAsia" w:cs="Times New Roman"/>
                <w:color w:val="auto"/>
                <w:lang w:val="en-US" w:eastAsia="zh-CN"/>
              </w:rPr>
              <w:t>C.5.3注意事项</w:t>
            </w:r>
          </w:p>
          <w:p w14:paraId="433F55B4">
            <w:pPr>
              <w:pStyle w:val="8"/>
              <w:rPr>
                <w:rFonts w:hint="eastAsia" w:cs="Times New Roman"/>
                <w:color w:val="auto"/>
                <w:lang w:val="en-US" w:eastAsia="zh-CN"/>
              </w:rPr>
            </w:pPr>
            <w:r>
              <w:rPr>
                <w:rFonts w:hint="eastAsia" w:cs="Times New Roman"/>
                <w:color w:val="auto"/>
                <w:lang w:val="en-US" w:eastAsia="zh-CN"/>
              </w:rPr>
              <w:t>C.5.3.1应采用取得卫生部消毒产品卫生许可批件的低温甲醛蒸汽灭菌器，并使用专用灭菌溶液进行灭菌，不应采用自然挥发或熏蒸的灭菌方法。</w:t>
            </w:r>
          </w:p>
          <w:p w14:paraId="16E8C77D">
            <w:pPr>
              <w:pStyle w:val="8"/>
              <w:rPr>
                <w:rFonts w:hint="eastAsia" w:cs="Times New Roman"/>
                <w:color w:val="auto"/>
                <w:lang w:val="en-US" w:eastAsia="zh-CN"/>
              </w:rPr>
            </w:pPr>
            <w:r>
              <w:rPr>
                <w:rFonts w:hint="eastAsia" w:cs="Times New Roman"/>
                <w:color w:val="auto"/>
                <w:lang w:val="en-US" w:eastAsia="zh-CN"/>
              </w:rPr>
              <w:t>C.5.3.2低温甲醛蒸汽灭菌器操作者应培训上岗，并具有相应的职业防护知识和技能。C.5.3.3低温甲醛蒸汽灭菌器的安装及使用应遵循生产厂家使用说明书或指导手册，必要时应设置专用的排气系统。</w:t>
            </w:r>
          </w:p>
          <w:p w14:paraId="6A62BD63">
            <w:pPr>
              <w:pStyle w:val="8"/>
              <w:rPr>
                <w:rFonts w:hint="eastAsia" w:cs="Times New Roman"/>
                <w:color w:val="auto"/>
                <w:lang w:val="en-US" w:eastAsia="zh-CN"/>
              </w:rPr>
            </w:pPr>
            <w:r>
              <w:rPr>
                <w:rFonts w:hint="eastAsia" w:cs="Times New Roman"/>
                <w:color w:val="auto"/>
                <w:lang w:val="en-US" w:eastAsia="zh-CN"/>
              </w:rPr>
              <w:t>C.5.3.4运行时的周围环境甲醛浓度应&lt;0.5mg/m,排水内的甲醛浓度应符合国家有关规定，灭菌物品上的甲醛残留均值≤4.5g/cm”。在灭菌器内经过甲醛残留处理的灭菌物品，取出后可直接使用。C.5.3.5灭菌包装材料应使用与压力蒸汽灭菌法相同或专用的纸塑包装、无纺布、硬质容器，不应使用可吸附甲醛或甲醛不易穿透的材料如布类、普通纸类、聚乙烯膜、玻璃纸等。C.5.3.6装载时，灭菌物品应摊开放置，中间留有一定的缝隙，物品表面应尽量暴露。使用纸塑包装材料时，包装应竖立，纸面对塑面依序排放。</w:t>
            </w:r>
          </w:p>
          <w:p w14:paraId="7A3EFE63">
            <w:pPr>
              <w:pStyle w:val="8"/>
              <w:rPr>
                <w:rFonts w:hint="eastAsia" w:cs="Times New Roman"/>
                <w:color w:val="auto"/>
                <w:lang w:val="en-US" w:eastAsia="zh-CN"/>
              </w:rPr>
            </w:pPr>
            <w:r>
              <w:rPr>
                <w:rFonts w:hint="eastAsia" w:cs="Times New Roman"/>
                <w:color w:val="auto"/>
                <w:lang w:val="en-US" w:eastAsia="zh-CN"/>
              </w:rPr>
              <w:t>C.5.3.7消毒后，应去除残留甲醛气体，采用抽气通风或用氨水中和法。</w:t>
            </w:r>
          </w:p>
          <w:p w14:paraId="77C798AF">
            <w:pPr>
              <w:pStyle w:val="8"/>
              <w:rPr>
                <w:rFonts w:hint="eastAsia" w:cs="Times New Roman"/>
                <w:color w:val="auto"/>
                <w:lang w:val="en-US" w:eastAsia="zh-CN"/>
              </w:rPr>
            </w:pPr>
            <w:r>
              <w:rPr>
                <w:rFonts w:hint="eastAsia" w:cs="Times New Roman"/>
                <w:color w:val="auto"/>
                <w:lang w:val="en-US" w:eastAsia="zh-CN"/>
              </w:rPr>
              <w:t>本项目江川区医共体总院扩建消毒中心中使用的是低温甲醛消毒设备，项目严格按照技术规范操作，主要用于本院器械消毒，不对外，与《医疗卫生机构消毒技术规范》中的适用范围相符。</w:t>
            </w:r>
          </w:p>
          <w:p w14:paraId="5960C5D8">
            <w:pPr>
              <w:spacing w:line="360" w:lineRule="auto"/>
              <w:ind w:firstLine="422"/>
              <w:jc w:val="both"/>
              <w:rPr>
                <w:rFonts w:hint="default" w:eastAsia="宋体"/>
                <w:color w:val="auto"/>
                <w:lang w:val="en-US" w:eastAsia="zh-CN"/>
              </w:rPr>
            </w:pPr>
            <w:r>
              <w:rPr>
                <w:rFonts w:hint="eastAsia"/>
                <w:color w:val="auto"/>
                <w:lang w:eastAsia="zh-CN"/>
              </w:rPr>
              <w:t>（</w:t>
            </w:r>
            <w:r>
              <w:rPr>
                <w:rFonts w:hint="eastAsia"/>
                <w:color w:val="auto"/>
                <w:lang w:val="en-US" w:eastAsia="zh-CN"/>
              </w:rPr>
              <w:t>13</w:t>
            </w:r>
            <w:r>
              <w:rPr>
                <w:rFonts w:hint="eastAsia"/>
                <w:color w:val="auto"/>
                <w:lang w:eastAsia="zh-CN"/>
              </w:rPr>
              <w:t>）</w:t>
            </w:r>
            <w:r>
              <w:rPr>
                <w:rFonts w:hint="eastAsia"/>
                <w:color w:val="auto"/>
                <w:lang w:val="en-US" w:eastAsia="zh-CN"/>
              </w:rPr>
              <w:t>与《云南省固体废物污染环境防治条例》相符性</w:t>
            </w:r>
          </w:p>
          <w:p w14:paraId="13DF37AA">
            <w:pPr>
              <w:spacing w:line="240" w:lineRule="auto"/>
              <w:ind w:firstLine="422"/>
              <w:jc w:val="center"/>
              <w:rPr>
                <w:b/>
                <w:bCs/>
                <w:color w:val="auto"/>
                <w:sz w:val="21"/>
                <w:szCs w:val="21"/>
              </w:rPr>
            </w:pPr>
            <w:r>
              <w:rPr>
                <w:b/>
                <w:bCs/>
                <w:color w:val="auto"/>
                <w:sz w:val="21"/>
                <w:szCs w:val="21"/>
              </w:rPr>
              <w:t>表1-</w:t>
            </w:r>
            <w:r>
              <w:rPr>
                <w:rFonts w:hint="eastAsia"/>
                <w:b/>
                <w:bCs/>
                <w:color w:val="auto"/>
                <w:sz w:val="21"/>
                <w:szCs w:val="21"/>
                <w:lang w:val="en-US" w:eastAsia="zh-CN"/>
              </w:rPr>
              <w:t>11</w:t>
            </w:r>
            <w:r>
              <w:rPr>
                <w:b/>
                <w:bCs/>
                <w:color w:val="auto"/>
                <w:sz w:val="21"/>
                <w:szCs w:val="21"/>
              </w:rPr>
              <w:t>项目与《</w:t>
            </w:r>
            <w:r>
              <w:rPr>
                <w:rFonts w:hint="eastAsia"/>
                <w:b/>
                <w:bCs/>
                <w:color w:val="auto"/>
                <w:sz w:val="21"/>
                <w:szCs w:val="21"/>
                <w:lang w:val="en-US" w:eastAsia="zh-CN"/>
              </w:rPr>
              <w:t>云南省固体废物污染环境防治条例</w:t>
            </w:r>
            <w:r>
              <w:rPr>
                <w:b/>
                <w:bCs/>
                <w:color w:val="auto"/>
                <w:sz w:val="21"/>
                <w:szCs w:val="21"/>
              </w:rPr>
              <w:t>》符合分析表</w:t>
            </w:r>
            <w:r>
              <w:rPr>
                <w:rFonts w:hint="eastAsia"/>
                <w:b/>
                <w:bCs/>
                <w:color w:val="auto"/>
                <w:sz w:val="21"/>
                <w:szCs w:val="21"/>
              </w:rPr>
              <w:t>（摘选）</w:t>
            </w:r>
          </w:p>
          <w:tbl>
            <w:tblPr>
              <w:tblStyle w:val="20"/>
              <w:tblW w:w="8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6"/>
              <w:gridCol w:w="9"/>
              <w:gridCol w:w="3558"/>
              <w:gridCol w:w="645"/>
            </w:tblGrid>
            <w:tr w14:paraId="7F83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4475" w:type="dxa"/>
                  <w:gridSpan w:val="2"/>
                  <w:vAlign w:val="center"/>
                </w:tcPr>
                <w:p w14:paraId="4F92CA0A">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b/>
                      <w:bCs/>
                      <w:color w:val="auto"/>
                      <w:sz w:val="21"/>
                      <w:szCs w:val="21"/>
                      <w:lang w:val="en-US" w:eastAsia="zh-CN"/>
                    </w:rPr>
                    <w:t>条例</w:t>
                  </w:r>
                  <w:r>
                    <w:rPr>
                      <w:rFonts w:hint="eastAsia" w:eastAsia="宋体"/>
                      <w:b/>
                      <w:bCs/>
                      <w:color w:val="auto"/>
                      <w:sz w:val="21"/>
                      <w:szCs w:val="21"/>
                    </w:rPr>
                    <w:t>要求</w:t>
                  </w:r>
                </w:p>
              </w:tc>
              <w:tc>
                <w:tcPr>
                  <w:tcW w:w="3558" w:type="dxa"/>
                  <w:vAlign w:val="center"/>
                </w:tcPr>
                <w:p w14:paraId="72BC992F">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项目情况</w:t>
                  </w:r>
                </w:p>
              </w:tc>
              <w:tc>
                <w:tcPr>
                  <w:tcW w:w="645" w:type="dxa"/>
                  <w:vAlign w:val="center"/>
                </w:tcPr>
                <w:p w14:paraId="280EE152">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eastAsia="宋体"/>
                      <w:b/>
                      <w:bCs/>
                      <w:color w:val="auto"/>
                      <w:sz w:val="21"/>
                      <w:szCs w:val="21"/>
                    </w:rPr>
                  </w:pPr>
                  <w:r>
                    <w:rPr>
                      <w:rFonts w:hint="eastAsia" w:eastAsia="宋体"/>
                      <w:b/>
                      <w:bCs/>
                      <w:color w:val="auto"/>
                      <w:sz w:val="21"/>
                      <w:szCs w:val="21"/>
                    </w:rPr>
                    <w:t>符合性</w:t>
                  </w:r>
                </w:p>
              </w:tc>
            </w:tr>
            <w:tr w14:paraId="08B47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8678" w:type="dxa"/>
                  <w:gridSpan w:val="4"/>
                  <w:vAlign w:val="center"/>
                </w:tcPr>
                <w:p w14:paraId="2451B336">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hint="default" w:eastAsia="宋体"/>
                      <w:b/>
                      <w:bCs/>
                      <w:color w:val="auto"/>
                      <w:sz w:val="21"/>
                      <w:szCs w:val="21"/>
                      <w:lang w:val="en-US" w:eastAsia="zh-CN"/>
                    </w:rPr>
                  </w:pPr>
                  <w:r>
                    <w:rPr>
                      <w:rFonts w:hint="eastAsia"/>
                      <w:b/>
                      <w:bCs/>
                      <w:color w:val="auto"/>
                      <w:sz w:val="21"/>
                      <w:szCs w:val="21"/>
                      <w:lang w:val="en-US" w:eastAsia="zh-CN"/>
                    </w:rPr>
                    <w:t>第四章 生活垃圾</w:t>
                  </w:r>
                </w:p>
              </w:tc>
            </w:tr>
            <w:tr w14:paraId="15238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475" w:type="dxa"/>
                  <w:gridSpan w:val="2"/>
                  <w:vAlign w:val="center"/>
                </w:tcPr>
                <w:p w14:paraId="75B57D7D">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第三十八条 产生生活垃圾的单位、家庭和个人应当依法履行生活垃圾源头减量和分类投放义务，承担生活垃圾产生者责任。</w:t>
                  </w:r>
                </w:p>
                <w:p w14:paraId="01F66B9C">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任何单位和个人都应当依法在指定的地点分类投放生活垃圾。</w:t>
                  </w:r>
                </w:p>
                <w:p w14:paraId="22C2205A">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禁止随意倾倒、抛撒、堆放或者焚烧生活垃圾。</w:t>
                  </w:r>
                </w:p>
                <w:p w14:paraId="6F7DC44B">
                  <w:pPr>
                    <w:spacing w:line="240" w:lineRule="auto"/>
                    <w:ind w:firstLine="420" w:firstLineChars="200"/>
                    <w:jc w:val="left"/>
                    <w:rPr>
                      <w:rFonts w:hint="eastAsia"/>
                      <w:color w:val="auto"/>
                      <w:sz w:val="21"/>
                      <w:szCs w:val="21"/>
                    </w:rPr>
                  </w:pPr>
                  <w:r>
                    <w:rPr>
                      <w:rFonts w:hint="eastAsia"/>
                      <w:color w:val="auto"/>
                      <w:sz w:val="21"/>
                      <w:szCs w:val="21"/>
                      <w:lang w:val="en-US" w:eastAsia="zh-CN"/>
                    </w:rPr>
                    <w:t>机关、事业单位等应当在生活垃圾分类工作中起示范带头作用。</w:t>
                  </w:r>
                </w:p>
              </w:tc>
              <w:tc>
                <w:tcPr>
                  <w:tcW w:w="3558" w:type="dxa"/>
                  <w:vAlign w:val="center"/>
                </w:tcPr>
                <w:p w14:paraId="1393E2A9">
                  <w:pPr>
                    <w:spacing w:line="240" w:lineRule="auto"/>
                    <w:ind w:firstLine="0" w:firstLineChars="0"/>
                    <w:jc w:val="left"/>
                    <w:rPr>
                      <w:rFonts w:hint="default"/>
                      <w:color w:val="auto"/>
                      <w:sz w:val="21"/>
                      <w:szCs w:val="21"/>
                      <w:lang w:val="en-US"/>
                    </w:rPr>
                  </w:pPr>
                  <w:r>
                    <w:rPr>
                      <w:rFonts w:hint="eastAsia"/>
                      <w:color w:val="auto"/>
                      <w:sz w:val="21"/>
                      <w:szCs w:val="21"/>
                      <w:lang w:val="en-US" w:eastAsia="zh-CN"/>
                    </w:rPr>
                    <w:t>本项目生活垃圾委托玉溪市江川区城市运行综合服务中心定期清运。</w:t>
                  </w:r>
                </w:p>
              </w:tc>
              <w:tc>
                <w:tcPr>
                  <w:tcW w:w="645" w:type="dxa"/>
                  <w:vAlign w:val="center"/>
                </w:tcPr>
                <w:p w14:paraId="10617B56">
                  <w:pPr>
                    <w:spacing w:line="240" w:lineRule="auto"/>
                    <w:ind w:firstLine="0" w:firstLineChars="0"/>
                    <w:jc w:val="center"/>
                    <w:rPr>
                      <w:rFonts w:hint="eastAsia"/>
                      <w:color w:val="auto"/>
                      <w:sz w:val="21"/>
                      <w:szCs w:val="21"/>
                    </w:rPr>
                  </w:pPr>
                  <w:r>
                    <w:rPr>
                      <w:rFonts w:hint="eastAsia"/>
                      <w:color w:val="auto"/>
                      <w:sz w:val="21"/>
                      <w:szCs w:val="21"/>
                    </w:rPr>
                    <w:t>符合</w:t>
                  </w:r>
                </w:p>
              </w:tc>
            </w:tr>
            <w:tr w14:paraId="727FE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678" w:type="dxa"/>
                  <w:gridSpan w:val="4"/>
                  <w:vAlign w:val="center"/>
                </w:tcPr>
                <w:p w14:paraId="41EE965B">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jc w:val="center"/>
                    <w:textAlignment w:val="auto"/>
                    <w:rPr>
                      <w:rFonts w:hint="eastAsia"/>
                      <w:color w:val="auto"/>
                      <w:sz w:val="21"/>
                      <w:szCs w:val="21"/>
                    </w:rPr>
                  </w:pPr>
                  <w:r>
                    <w:rPr>
                      <w:rFonts w:hint="eastAsia"/>
                      <w:b/>
                      <w:bCs/>
                      <w:color w:val="auto"/>
                      <w:sz w:val="21"/>
                      <w:szCs w:val="21"/>
                      <w:lang w:val="en-US" w:eastAsia="zh-CN"/>
                    </w:rPr>
                    <w:t>第七章 危险废物</w:t>
                  </w:r>
                </w:p>
              </w:tc>
            </w:tr>
            <w:tr w14:paraId="647A3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466" w:type="dxa"/>
                  <w:vAlign w:val="center"/>
                </w:tcPr>
                <w:p w14:paraId="5B229241">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第五十二条 产生危险废物的单位，应当按照国家有关规定制定危险废物管理计划；建立危险废物管理台账，如实记录有关信息，并通过省固体废物信息管理平台向所在地生态环境主管部门申报危险废物的种类、产生量、流向、贮存、处置等有关资料。</w:t>
                  </w:r>
                </w:p>
                <w:p w14:paraId="30AC1737">
                  <w:pPr>
                    <w:spacing w:line="240" w:lineRule="auto"/>
                    <w:ind w:firstLine="420" w:firstLineChars="200"/>
                    <w:jc w:val="left"/>
                    <w:rPr>
                      <w:rFonts w:hint="eastAsia"/>
                      <w:b/>
                      <w:bCs/>
                      <w:color w:val="auto"/>
                      <w:sz w:val="21"/>
                      <w:szCs w:val="21"/>
                      <w:lang w:val="en-US" w:eastAsia="zh-CN"/>
                    </w:rPr>
                  </w:pPr>
                  <w:r>
                    <w:rPr>
                      <w:rFonts w:hint="eastAsia"/>
                      <w:color w:val="auto"/>
                      <w:sz w:val="21"/>
                      <w:szCs w:val="21"/>
                      <w:lang w:val="en-US" w:eastAsia="zh-CN"/>
                    </w:rPr>
                    <w:t>产生危险废物的单位，应当按照国家有关规定和环境保护标准要求贮存、利用、处置危险废物，不得擅自倾倒、堆放。</w:t>
                  </w:r>
                </w:p>
              </w:tc>
              <w:tc>
                <w:tcPr>
                  <w:tcW w:w="3567" w:type="dxa"/>
                  <w:gridSpan w:val="2"/>
                  <w:vAlign w:val="center"/>
                </w:tcPr>
                <w:p w14:paraId="468430C6">
                  <w:pPr>
                    <w:spacing w:line="240" w:lineRule="auto"/>
                    <w:ind w:firstLine="0" w:firstLineChars="0"/>
                    <w:jc w:val="left"/>
                    <w:rPr>
                      <w:rFonts w:hint="default"/>
                      <w:b/>
                      <w:bCs/>
                      <w:color w:val="auto"/>
                      <w:sz w:val="21"/>
                      <w:szCs w:val="21"/>
                      <w:lang w:val="en-US" w:eastAsia="zh-CN"/>
                    </w:rPr>
                  </w:pPr>
                  <w:r>
                    <w:rPr>
                      <w:rFonts w:hint="eastAsia"/>
                      <w:color w:val="auto"/>
                      <w:sz w:val="21"/>
                      <w:szCs w:val="21"/>
                      <w:lang w:val="en-US" w:eastAsia="zh-CN"/>
                    </w:rPr>
                    <w:t>本项目危险废物为污水处理站污泥，委托大地丰源环保有限公司定期清掏后转运，不在院内暂存。项目危险废物建立有处置台账。</w:t>
                  </w:r>
                </w:p>
              </w:tc>
              <w:tc>
                <w:tcPr>
                  <w:tcW w:w="645" w:type="dxa"/>
                  <w:vAlign w:val="center"/>
                </w:tcPr>
                <w:p w14:paraId="77AFA43F">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hint="eastAsia"/>
                      <w:b/>
                      <w:bCs/>
                      <w:color w:val="auto"/>
                      <w:sz w:val="21"/>
                      <w:szCs w:val="21"/>
                      <w:lang w:val="en-US" w:eastAsia="zh-CN"/>
                    </w:rPr>
                  </w:pPr>
                  <w:r>
                    <w:rPr>
                      <w:rFonts w:hint="eastAsia"/>
                      <w:color w:val="auto"/>
                      <w:sz w:val="21"/>
                      <w:szCs w:val="21"/>
                    </w:rPr>
                    <w:t>符合</w:t>
                  </w:r>
                </w:p>
              </w:tc>
            </w:tr>
            <w:tr w14:paraId="3CD4C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466" w:type="dxa"/>
                  <w:vAlign w:val="center"/>
                </w:tcPr>
                <w:p w14:paraId="586899DE">
                  <w:pPr>
                    <w:spacing w:line="240" w:lineRule="auto"/>
                    <w:jc w:val="left"/>
                    <w:rPr>
                      <w:rFonts w:hint="eastAsia"/>
                      <w:color w:val="auto"/>
                      <w:sz w:val="21"/>
                      <w:szCs w:val="21"/>
                      <w:lang w:val="en-US" w:eastAsia="zh-CN"/>
                    </w:rPr>
                  </w:pPr>
                  <w:r>
                    <w:rPr>
                      <w:rFonts w:hint="eastAsia"/>
                      <w:color w:val="auto"/>
                      <w:sz w:val="21"/>
                      <w:szCs w:val="21"/>
                      <w:lang w:val="en-US" w:eastAsia="zh-CN"/>
                    </w:rPr>
                    <w:t>第五十四条 收集、贮存危险废物，应当按照危险废物特性分类进行。禁止混合收集、贮存、运输、处置性质不相容而未经安全性处置的危险废物。</w:t>
                  </w:r>
                </w:p>
                <w:p w14:paraId="78D84F83">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贮存危险废物应当采取符合国家环境保护标准的防护措施。禁止将危险废物混入非危险废物中贮存。</w:t>
                  </w:r>
                </w:p>
                <w:p w14:paraId="6BD6470C">
                  <w:pPr>
                    <w:spacing w:line="240" w:lineRule="auto"/>
                    <w:ind w:firstLine="420" w:firstLineChars="200"/>
                    <w:jc w:val="left"/>
                    <w:rPr>
                      <w:rFonts w:hint="eastAsia"/>
                      <w:b/>
                      <w:bCs/>
                      <w:color w:val="auto"/>
                      <w:sz w:val="21"/>
                      <w:szCs w:val="21"/>
                      <w:lang w:val="en-US" w:eastAsia="zh-CN"/>
                    </w:rPr>
                  </w:pPr>
                  <w:r>
                    <w:rPr>
                      <w:rFonts w:hint="eastAsia"/>
                      <w:color w:val="auto"/>
                      <w:sz w:val="21"/>
                      <w:szCs w:val="21"/>
                      <w:lang w:val="en-US" w:eastAsia="zh-CN"/>
                    </w:rPr>
                    <w:t>从事收集、贮存、利用、处置危险废物经营活动的单位，贮存危险废物不得超过一年；确需延长期限的，应当报经颁发许可证的生态环境主管部门批准；法律、行政法规另有规定的除外。</w:t>
                  </w:r>
                </w:p>
              </w:tc>
              <w:tc>
                <w:tcPr>
                  <w:tcW w:w="3567" w:type="dxa"/>
                  <w:gridSpan w:val="2"/>
                  <w:vAlign w:val="center"/>
                </w:tcPr>
                <w:p w14:paraId="21F66669">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jc w:val="left"/>
                    <w:textAlignment w:val="auto"/>
                    <w:rPr>
                      <w:rFonts w:hint="eastAsia"/>
                      <w:b/>
                      <w:bCs/>
                      <w:color w:val="auto"/>
                      <w:sz w:val="21"/>
                      <w:szCs w:val="21"/>
                      <w:lang w:val="en-US" w:eastAsia="zh-CN"/>
                    </w:rPr>
                  </w:pPr>
                  <w:r>
                    <w:rPr>
                      <w:rFonts w:hint="eastAsia"/>
                      <w:color w:val="auto"/>
                      <w:sz w:val="21"/>
                      <w:szCs w:val="21"/>
                      <w:lang w:val="en-US" w:eastAsia="zh-CN"/>
                    </w:rPr>
                    <w:t>本项目危险废物为污水处理站污泥，委托大地丰源环保有限公司定期清掏后转运，不在院内暂存。项目危险废物建立有处置台账</w:t>
                  </w:r>
                </w:p>
              </w:tc>
              <w:tc>
                <w:tcPr>
                  <w:tcW w:w="645" w:type="dxa"/>
                  <w:vAlign w:val="center"/>
                </w:tcPr>
                <w:p w14:paraId="5BD6191D">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hint="eastAsia"/>
                      <w:b/>
                      <w:bCs/>
                      <w:color w:val="auto"/>
                      <w:sz w:val="21"/>
                      <w:szCs w:val="21"/>
                      <w:lang w:val="en-US" w:eastAsia="zh-CN"/>
                    </w:rPr>
                  </w:pPr>
                  <w:r>
                    <w:rPr>
                      <w:rFonts w:hint="eastAsia"/>
                      <w:color w:val="auto"/>
                      <w:sz w:val="21"/>
                      <w:szCs w:val="21"/>
                    </w:rPr>
                    <w:t>符合</w:t>
                  </w:r>
                </w:p>
              </w:tc>
            </w:tr>
            <w:tr w14:paraId="2C262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466" w:type="dxa"/>
                  <w:vAlign w:val="center"/>
                </w:tcPr>
                <w:p w14:paraId="12FC1756">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第六十一条 医疗卫生机构应当依法分类收集本单位产生的医疗废物，交由医疗废物集中处置单位处置。医疗废物集中处置单位应当及时收集、运输和处置医疗废物。</w:t>
                  </w:r>
                </w:p>
                <w:p w14:paraId="27ED75FA">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医疗卫生机构和医疗废物集中处置单位，应当采取有效措施，防止医疗废物流失、泄漏、渗漏、扩散。</w:t>
                  </w:r>
                </w:p>
                <w:p w14:paraId="0EEDC63E">
                  <w:pPr>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鼓励发展移动式医疗废物处置设施，为偏远地区提供处置服务。</w:t>
                  </w:r>
                </w:p>
              </w:tc>
              <w:tc>
                <w:tcPr>
                  <w:tcW w:w="3567" w:type="dxa"/>
                  <w:gridSpan w:val="2"/>
                  <w:vAlign w:val="center"/>
                </w:tcPr>
                <w:p w14:paraId="33B62A61">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jc w:val="left"/>
                    <w:textAlignment w:val="auto"/>
                    <w:rPr>
                      <w:rFonts w:hint="default"/>
                      <w:b/>
                      <w:bCs/>
                      <w:color w:val="auto"/>
                      <w:sz w:val="21"/>
                      <w:szCs w:val="21"/>
                      <w:lang w:val="en-US" w:eastAsia="zh-CN"/>
                    </w:rPr>
                  </w:pPr>
                  <w:r>
                    <w:rPr>
                      <w:rFonts w:hint="eastAsia"/>
                      <w:color w:val="auto"/>
                      <w:sz w:val="21"/>
                      <w:szCs w:val="21"/>
                      <w:lang w:val="en-US" w:eastAsia="zh-CN"/>
                    </w:rPr>
                    <w:t>本项目医疗废物暂存于密闭医疗废物暂存间，暂存间分区暂存，房间重点防渗，江川区医共体总院委托玉溪兴洁垃圾处理有限公司定期清运处置，江城卫生院委托云南正晓环保投资有限公司定期清运处置。</w:t>
                  </w:r>
                </w:p>
              </w:tc>
              <w:tc>
                <w:tcPr>
                  <w:tcW w:w="645" w:type="dxa"/>
                  <w:vAlign w:val="center"/>
                </w:tcPr>
                <w:p w14:paraId="2DF5925C">
                  <w:pPr>
                    <w:pStyle w:val="66"/>
                    <w:keepNext w:val="0"/>
                    <w:keepLines w:val="0"/>
                    <w:pageBreakBefore w:val="0"/>
                    <w:widowControl w:val="0"/>
                    <w:kinsoku/>
                    <w:wordWrap/>
                    <w:overflowPunct/>
                    <w:topLinePunct w:val="0"/>
                    <w:bidi w:val="0"/>
                    <w:snapToGrid w:val="0"/>
                    <w:spacing w:before="95" w:beforeLines="30" w:after="95" w:afterLines="30" w:line="240" w:lineRule="auto"/>
                    <w:ind w:firstLine="0" w:firstLineChars="0"/>
                    <w:textAlignment w:val="auto"/>
                    <w:rPr>
                      <w:rFonts w:hint="eastAsia"/>
                      <w:b/>
                      <w:bCs/>
                      <w:color w:val="auto"/>
                      <w:sz w:val="21"/>
                      <w:szCs w:val="21"/>
                      <w:lang w:val="en-US" w:eastAsia="zh-CN"/>
                    </w:rPr>
                  </w:pPr>
                  <w:r>
                    <w:rPr>
                      <w:rFonts w:hint="eastAsia"/>
                      <w:color w:val="auto"/>
                      <w:sz w:val="21"/>
                      <w:szCs w:val="21"/>
                    </w:rPr>
                    <w:t>符合</w:t>
                  </w:r>
                </w:p>
              </w:tc>
            </w:tr>
          </w:tbl>
          <w:p w14:paraId="38D8E563">
            <w:pPr>
              <w:spacing w:line="360" w:lineRule="auto"/>
              <w:ind w:left="0" w:leftChars="0" w:firstLine="0" w:firstLineChars="0"/>
              <w:jc w:val="both"/>
              <w:rPr>
                <w:rFonts w:hint="default" w:eastAsia="宋体"/>
                <w:color w:val="auto"/>
                <w:lang w:val="en-US" w:eastAsia="zh-CN"/>
              </w:rPr>
            </w:pPr>
            <w:r>
              <w:rPr>
                <w:rFonts w:hint="eastAsia"/>
                <w:color w:val="auto"/>
                <w:lang w:eastAsia="zh-CN"/>
              </w:rPr>
              <w:t>（</w:t>
            </w:r>
            <w:r>
              <w:rPr>
                <w:rFonts w:hint="eastAsia"/>
                <w:color w:val="auto"/>
                <w:lang w:val="en-US" w:eastAsia="zh-CN"/>
              </w:rPr>
              <w:t>14</w:t>
            </w:r>
            <w:r>
              <w:rPr>
                <w:rFonts w:hint="eastAsia"/>
                <w:color w:val="auto"/>
                <w:lang w:eastAsia="zh-CN"/>
              </w:rPr>
              <w:t>）</w:t>
            </w:r>
            <w:r>
              <w:rPr>
                <w:rFonts w:hint="eastAsia"/>
                <w:color w:val="auto"/>
                <w:lang w:val="en-US" w:eastAsia="zh-CN"/>
              </w:rPr>
              <w:t>与《云南省“十四五”医疗卫生服务体系规划》相符性</w:t>
            </w:r>
          </w:p>
          <w:p w14:paraId="000EE612">
            <w:pPr>
              <w:pStyle w:val="8"/>
              <w:rPr>
                <w:rFonts w:hint="eastAsia" w:cs="Times New Roman"/>
                <w:color w:val="auto"/>
                <w:lang w:val="en-US" w:eastAsia="zh-CN"/>
              </w:rPr>
            </w:pPr>
            <w:r>
              <w:rPr>
                <w:rFonts w:hint="eastAsia" w:cs="Times New Roman"/>
                <w:color w:val="auto"/>
                <w:lang w:val="en-US" w:eastAsia="zh-CN"/>
              </w:rPr>
              <w:t>三、体系构成与资源配置</w:t>
            </w:r>
          </w:p>
          <w:p w14:paraId="17D6CA4A">
            <w:pPr>
              <w:pStyle w:val="8"/>
              <w:rPr>
                <w:rFonts w:hint="eastAsia" w:cs="Times New Roman"/>
                <w:color w:val="auto"/>
                <w:lang w:val="en-US" w:eastAsia="zh-CN"/>
              </w:rPr>
            </w:pPr>
            <w:r>
              <w:rPr>
                <w:rFonts w:hint="eastAsia" w:cs="Times New Roman"/>
                <w:color w:val="auto"/>
                <w:lang w:val="en-US" w:eastAsia="zh-CN"/>
              </w:rPr>
              <w:t>医疗卫生资源主要包括机构、床位、人力、设备、技术、信息与数据等。优化全省医疗卫生资源布局，省级和州市级分区域统筹规划、均衡布局，提高跨区域服务和保障能力；县级及基层医疗卫生资源按照常住人口规模和服务半径合理布局。</w:t>
            </w:r>
          </w:p>
          <w:p w14:paraId="7FEB1529">
            <w:pPr>
              <w:pStyle w:val="8"/>
              <w:rPr>
                <w:rFonts w:hint="eastAsia" w:cs="Times New Roman"/>
                <w:color w:val="auto"/>
                <w:lang w:val="en-US" w:eastAsia="zh-CN"/>
              </w:rPr>
            </w:pPr>
            <w:r>
              <w:rPr>
                <w:rFonts w:hint="eastAsia" w:cs="Times New Roman"/>
                <w:color w:val="auto"/>
                <w:lang w:val="en-US" w:eastAsia="zh-CN"/>
              </w:rPr>
              <w:t>（一）机构</w:t>
            </w:r>
          </w:p>
          <w:p w14:paraId="263B5934">
            <w:pPr>
              <w:pStyle w:val="8"/>
              <w:rPr>
                <w:rFonts w:hint="eastAsia" w:cs="Times New Roman"/>
                <w:color w:val="auto"/>
                <w:lang w:val="en-US" w:eastAsia="zh-CN"/>
              </w:rPr>
            </w:pPr>
            <w:r>
              <w:rPr>
                <w:rFonts w:hint="eastAsia" w:cs="Times New Roman"/>
                <w:color w:val="auto"/>
                <w:lang w:val="en-US" w:eastAsia="zh-CN"/>
              </w:rPr>
              <w:t>全省医疗卫生服务体系以医院、基层医疗卫生机构、专业公共卫生机构为主体，以老年人、婴幼儿等特殊人群健康照护新型服务机构为补充，面向全人群提供疾病预防、治疗、康复、健康促进等生命全周期、健康全过程服务。</w:t>
            </w:r>
          </w:p>
          <w:p w14:paraId="4F5E6240">
            <w:pPr>
              <w:pStyle w:val="8"/>
              <w:rPr>
                <w:rFonts w:hint="eastAsia" w:cs="Times New Roman"/>
                <w:color w:val="auto"/>
                <w:lang w:val="en-US" w:eastAsia="zh-CN"/>
              </w:rPr>
            </w:pPr>
            <w:r>
              <w:rPr>
                <w:rFonts w:hint="eastAsia" w:cs="Times New Roman"/>
                <w:color w:val="auto"/>
                <w:lang w:val="en-US" w:eastAsia="zh-CN"/>
              </w:rPr>
              <w:t>1.医院。分为公立医院和非公立医院。公立医院分为政府办医院（按举办层级分为省办医院、州市办医院、县办医院）和其他公立医院。非公立医院是满足人民群众多层次、多样化医疗服务需求的有效途径。</w:t>
            </w:r>
          </w:p>
          <w:p w14:paraId="04A3FEB7">
            <w:pPr>
              <w:pStyle w:val="8"/>
              <w:rPr>
                <w:rFonts w:hint="eastAsia" w:cs="Times New Roman"/>
                <w:color w:val="auto"/>
                <w:lang w:val="en-US" w:eastAsia="zh-CN"/>
              </w:rPr>
            </w:pPr>
            <w:r>
              <w:rPr>
                <w:rFonts w:hint="eastAsia" w:cs="Times New Roman"/>
                <w:color w:val="auto"/>
                <w:lang w:val="en-US" w:eastAsia="zh-CN"/>
              </w:rPr>
              <w:t>省、州市、县三级根据本行政区域常住人口数、服务范围、工作量等因素，按照医疗机构设置规划和要求，合理设置相应层级医疗机构。引导有条件的社会办医疗机构向高水平、高技术含量和品牌化的大型医疗集团发展。</w:t>
            </w:r>
          </w:p>
          <w:p w14:paraId="4854FF77">
            <w:pPr>
              <w:pStyle w:val="8"/>
              <w:rPr>
                <w:rFonts w:hint="eastAsia" w:cs="Times New Roman"/>
                <w:color w:val="auto"/>
                <w:lang w:val="en-US" w:eastAsia="zh-CN"/>
              </w:rPr>
            </w:pPr>
            <w:r>
              <w:rPr>
                <w:rFonts w:hint="eastAsia" w:cs="Times New Roman"/>
                <w:color w:val="auto"/>
                <w:lang w:val="en-US" w:eastAsia="zh-CN"/>
              </w:rPr>
              <w:t>2.基层医疗卫生机构。包括乡镇卫生院和社区卫生服务中心、社区卫生服务站（点）、村卫生室、诊所、门诊部等，发挥基本医疗和公共卫生服务“双网底”作用。</w:t>
            </w:r>
          </w:p>
          <w:p w14:paraId="130EB99A">
            <w:pPr>
              <w:pStyle w:val="8"/>
              <w:rPr>
                <w:rFonts w:hint="eastAsia" w:cs="Times New Roman"/>
                <w:color w:val="auto"/>
                <w:lang w:val="en-US" w:eastAsia="zh-CN"/>
              </w:rPr>
            </w:pPr>
            <w:r>
              <w:rPr>
                <w:rFonts w:hint="eastAsia" w:cs="Times New Roman"/>
                <w:color w:val="auto"/>
                <w:lang w:val="en-US" w:eastAsia="zh-CN"/>
              </w:rPr>
              <w:t>基层医疗卫生机构主要承担预防保健、健康教育、疾病管理等基本公共卫生服务和常见病多发病的诊疗以及部分疾病的康复、护理、安宁疗护服务等任务，接收医院转诊患者，向医院转诊超出自身服务能力的患者。每个乡镇办好1所政府办卫生院，每个街道办事处或每3万—10万居民设置1所社区卫生服务中心，合理设置社区卫生服务站、村卫生室。</w:t>
            </w:r>
          </w:p>
          <w:p w14:paraId="154995E9">
            <w:pPr>
              <w:pStyle w:val="8"/>
              <w:rPr>
                <w:rFonts w:hint="eastAsia" w:cs="Times New Roman"/>
                <w:color w:val="auto"/>
                <w:lang w:val="en-US" w:eastAsia="zh-CN"/>
              </w:rPr>
            </w:pPr>
            <w:r>
              <w:rPr>
                <w:rFonts w:hint="eastAsia" w:cs="Times New Roman"/>
                <w:color w:val="auto"/>
                <w:lang w:val="en-US" w:eastAsia="zh-CN"/>
              </w:rPr>
              <w:t>3.专业公共卫生机构。原则上为政府主办，主要包括疾病预防控制机构、妇幼保健机构、急救中心（站）、血站、专科疾病防治机构等。主要提供传染病、慢性非传染性疾病、职业病、地方病等疾病预防控制和健康教育、妇幼保健、院前急救、采供血、精神卫生等公共卫生服务。科学设置省、州市、县三级疾病预防控制机构。合理设置妇幼保健机构。以省急救中心为龙头，完善省、州市、县、乡四级院前急救网络。在昆明市设置云南昆明血液中心，在其他15个州、市人民政府所在地各设置1个中心血站，每个县、市、区至少设置1个固定采血点。各州、市、县、区根据需要设置专科疾病防治机构。</w:t>
            </w:r>
          </w:p>
          <w:p w14:paraId="48F02A82">
            <w:pPr>
              <w:pStyle w:val="8"/>
              <w:rPr>
                <w:rFonts w:hint="eastAsia" w:cs="Times New Roman"/>
                <w:color w:val="auto"/>
                <w:lang w:val="en-US" w:eastAsia="zh-CN"/>
              </w:rPr>
            </w:pPr>
            <w:r>
              <w:rPr>
                <w:rFonts w:hint="eastAsia" w:cs="Times New Roman"/>
                <w:color w:val="auto"/>
                <w:lang w:val="en-US" w:eastAsia="zh-CN"/>
              </w:rPr>
              <w:t>4.其他机构。主要包括独立设置机构和接续性服务机构。</w:t>
            </w:r>
          </w:p>
          <w:p w14:paraId="344E40C8">
            <w:pPr>
              <w:pStyle w:val="8"/>
              <w:rPr>
                <w:rFonts w:hint="eastAsia" w:cs="Times New Roman"/>
                <w:color w:val="auto"/>
                <w:lang w:val="en-US" w:eastAsia="zh-CN"/>
              </w:rPr>
            </w:pPr>
            <w:r>
              <w:rPr>
                <w:rFonts w:hint="eastAsia" w:cs="Times New Roman"/>
                <w:color w:val="auto"/>
                <w:lang w:val="en-US" w:eastAsia="zh-CN"/>
              </w:rPr>
              <w:t>（二）床位</w:t>
            </w:r>
          </w:p>
          <w:p w14:paraId="2D097464">
            <w:pPr>
              <w:pStyle w:val="8"/>
              <w:rPr>
                <w:rFonts w:hint="eastAsia" w:cs="Times New Roman"/>
                <w:color w:val="auto"/>
                <w:lang w:val="en-US" w:eastAsia="zh-CN"/>
              </w:rPr>
            </w:pPr>
            <w:r>
              <w:rPr>
                <w:rFonts w:hint="eastAsia" w:cs="Times New Roman"/>
                <w:color w:val="auto"/>
                <w:lang w:val="en-US" w:eastAsia="zh-CN"/>
              </w:rPr>
              <w:t>1.适度控制床位规模。适度合理配置省、州市、县三级公立医院床位总体规模，适度调整高水平高质量公立医院床位配置，引导优质医疗资源在资源相对薄弱区域规范设置分院区。结合基层床位使用率合理确定床位数量和结构。到2025年，全省每千人口医疗卫生机构床位数的预期性指标为7.5张（其中：医院床位数6.2张，乡镇卫生院和社区卫生服务中心等基层医疗卫生机构床位数1.3张）。医院床位中，公立医院4.4张（其中：中医类医院0.85张），非公立医院1.8张。</w:t>
            </w:r>
          </w:p>
          <w:p w14:paraId="7B3D2544">
            <w:pPr>
              <w:pStyle w:val="8"/>
              <w:rPr>
                <w:rFonts w:hint="eastAsia" w:cs="Times New Roman"/>
                <w:color w:val="auto"/>
                <w:lang w:val="en-US" w:eastAsia="zh-CN"/>
              </w:rPr>
            </w:pPr>
            <w:r>
              <w:rPr>
                <w:rFonts w:hint="eastAsia" w:cs="Times New Roman"/>
                <w:color w:val="auto"/>
                <w:lang w:val="en-US" w:eastAsia="zh-CN"/>
              </w:rPr>
              <w:t>2.优化床位结构。适度控制治疗床位增长，增量床位优先向传染病、重症、儿科、康复、精神、老年病等短缺领域倾斜。结合床位使用率、平均住院日、床医比、医护比、床人（卫生人员）比等指标，适度控制保山市、楚雄州、普洱市、德宏州、怒江州、迪庆州床位增速；引导昆明市、昭通市、曲靖市、红河州、丽江市床位平稳发展；支持玉溪市、文山州、西双版纳州、大理州、临沧市合理增加床位。</w:t>
            </w:r>
          </w:p>
          <w:p w14:paraId="5E15E173">
            <w:pPr>
              <w:pStyle w:val="8"/>
              <w:rPr>
                <w:rFonts w:hint="eastAsia" w:cs="Times New Roman"/>
                <w:color w:val="auto"/>
                <w:lang w:val="en-US" w:eastAsia="zh-CN"/>
              </w:rPr>
            </w:pPr>
            <w:r>
              <w:rPr>
                <w:rFonts w:hint="eastAsia" w:cs="Times New Roman"/>
                <w:color w:val="auto"/>
                <w:lang w:val="en-US" w:eastAsia="zh-CN"/>
              </w:rPr>
              <w:t>3.提高床位使用质量。鼓励医疗机构打破以科室为单位的资源管理方式，对全院床位实行统筹调配。公立综合医院病床使用率低于75%、平均住院日高于9天，不再新增床位。推动三级医院更加突出急危重症、疑难病症诊疗，逐步压缩一、二级手术占比，提高预约转诊比例和日间手术比例，提高床单元使用效率。</w:t>
            </w:r>
          </w:p>
          <w:p w14:paraId="78339ABD">
            <w:pPr>
              <w:pStyle w:val="8"/>
              <w:rPr>
                <w:rFonts w:hint="eastAsia" w:cs="Times New Roman"/>
                <w:color w:val="auto"/>
                <w:lang w:val="en-US" w:eastAsia="zh-CN"/>
              </w:rPr>
            </w:pPr>
            <w:r>
              <w:rPr>
                <w:rFonts w:hint="eastAsia" w:cs="Times New Roman"/>
                <w:color w:val="auto"/>
                <w:lang w:val="en-US" w:eastAsia="zh-CN"/>
              </w:rPr>
              <w:t>（四）设备</w:t>
            </w:r>
          </w:p>
          <w:p w14:paraId="6B831224">
            <w:pPr>
              <w:pStyle w:val="8"/>
              <w:rPr>
                <w:rFonts w:hint="eastAsia" w:cs="Times New Roman"/>
                <w:color w:val="auto"/>
                <w:lang w:val="en-US" w:eastAsia="zh-CN"/>
              </w:rPr>
            </w:pPr>
            <w:r>
              <w:rPr>
                <w:rFonts w:hint="eastAsia" w:cs="Times New Roman"/>
                <w:color w:val="auto"/>
                <w:lang w:val="en-US" w:eastAsia="zh-CN"/>
              </w:rPr>
              <w:t>1.医用设备配置。坚持资源共享、阶梯配置，以省为单位，统筹规划大型医用设备配置数量和布局，引导医疗机构合理配置适宜设备。落实社会办医配置乙类大型医用设备告知承诺制、自由贸易试验区内社会办医配置乙类大型医用设备备案制等改革要求。</w:t>
            </w:r>
          </w:p>
          <w:p w14:paraId="60491472">
            <w:pPr>
              <w:pStyle w:val="8"/>
              <w:rPr>
                <w:rFonts w:hint="eastAsia" w:cs="Times New Roman"/>
                <w:color w:val="auto"/>
                <w:lang w:val="en-US" w:eastAsia="zh-CN"/>
              </w:rPr>
            </w:pPr>
            <w:r>
              <w:rPr>
                <w:rFonts w:hint="eastAsia" w:cs="Times New Roman"/>
                <w:color w:val="auto"/>
                <w:lang w:val="en-US" w:eastAsia="zh-CN"/>
              </w:rPr>
              <w:t>2.公共卫生防控救治设备配置。根据保障公共卫生安全需要，参照国家有关标准，配置和更新专业公共卫生机构实验室检测检验、大型救治、应急和信息化等设施设备。加强承担重大传染病救治和紧急医学救援任务的医疗机构体外膜肺氧合（ECMO）、移动CT、聚合酶链式反应（PCR）仪、移动手术室、负压救护车等设备配置。</w:t>
            </w:r>
          </w:p>
          <w:p w14:paraId="2CF3EAD4">
            <w:pPr>
              <w:pStyle w:val="8"/>
              <w:rPr>
                <w:rFonts w:hint="default" w:cs="Times New Roman"/>
                <w:color w:val="auto"/>
                <w:lang w:val="en-US" w:eastAsia="zh-CN"/>
              </w:rPr>
            </w:pPr>
            <w:r>
              <w:rPr>
                <w:rFonts w:hint="eastAsia" w:cs="Times New Roman"/>
                <w:color w:val="auto"/>
                <w:lang w:val="en-US" w:eastAsia="zh-CN"/>
              </w:rPr>
              <w:t>本次项目扩建内容为江城卫生院床位增加和综合楼新建，院区布局基础设施优化；江川区医共体总院设备升级改造和扩建消毒中心，本次扩建项目建设内容符合及响应</w:t>
            </w:r>
            <w:r>
              <w:rPr>
                <w:rFonts w:hint="eastAsia"/>
                <w:color w:val="auto"/>
                <w:lang w:val="en-US" w:eastAsia="zh-CN"/>
              </w:rPr>
              <w:t>《云南省“十四五”医疗卫生服务体系规划》。</w:t>
            </w:r>
          </w:p>
          <w:p w14:paraId="7444990B">
            <w:pPr>
              <w:pStyle w:val="8"/>
              <w:rPr>
                <w:rFonts w:hint="default" w:cs="Times New Roman"/>
                <w:color w:val="auto"/>
                <w:lang w:val="en-US" w:eastAsia="zh-CN"/>
              </w:rPr>
            </w:pPr>
          </w:p>
        </w:tc>
      </w:tr>
    </w:tbl>
    <w:p w14:paraId="684A2FAC">
      <w:pPr>
        <w:pStyle w:val="3"/>
        <w:jc w:val="center"/>
        <w:rPr>
          <w:color w:val="auto"/>
        </w:rPr>
      </w:pPr>
      <w:r>
        <w:rPr>
          <w:color w:val="auto"/>
        </w:rPr>
        <w:br w:type="page"/>
      </w:r>
      <w:bookmarkStart w:id="2" w:name="_Toc20144"/>
      <w:r>
        <w:rPr>
          <w:color w:val="auto"/>
        </w:rPr>
        <w:t>二、建设项目工程分析</w:t>
      </w:r>
      <w:bookmarkEnd w:id="2"/>
    </w:p>
    <w:tbl>
      <w:tblPr>
        <w:tblStyle w:val="19"/>
        <w:tblpPr w:leftFromText="180" w:rightFromText="180" w:vertAnchor="text" w:tblpXSpec="right" w:tblpY="1"/>
        <w:tblOverlap w:val="never"/>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5"/>
        <w:gridCol w:w="7797"/>
      </w:tblGrid>
      <w:tr w14:paraId="5AC60B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5" w:type="dxa"/>
            <w:vAlign w:val="center"/>
          </w:tcPr>
          <w:p w14:paraId="5770F4C1">
            <w:pPr>
              <w:ind w:firstLine="0" w:firstLineChars="0"/>
              <w:rPr>
                <w:color w:val="auto"/>
              </w:rPr>
            </w:pPr>
            <w:r>
              <w:rPr>
                <w:color w:val="auto"/>
              </w:rPr>
              <w:t>建设内容</w:t>
            </w:r>
          </w:p>
        </w:tc>
        <w:tc>
          <w:tcPr>
            <w:tcW w:w="7797" w:type="dxa"/>
            <w:vAlign w:val="center"/>
          </w:tcPr>
          <w:p w14:paraId="402349A9">
            <w:pPr>
              <w:ind w:firstLine="482"/>
              <w:rPr>
                <w:b/>
                <w:color w:val="auto"/>
              </w:rPr>
            </w:pPr>
            <w:r>
              <w:rPr>
                <w:b/>
                <w:color w:val="auto"/>
              </w:rPr>
              <w:t>1、项目背景</w:t>
            </w:r>
          </w:p>
          <w:p w14:paraId="3931B010">
            <w:pPr>
              <w:ind w:firstLine="480"/>
              <w:rPr>
                <w:bCs/>
                <w:color w:val="auto"/>
              </w:rPr>
            </w:pPr>
            <w:r>
              <w:rPr>
                <w:rFonts w:hint="eastAsia"/>
                <w:bCs/>
                <w:color w:val="auto"/>
                <w:lang w:val="en-US" w:eastAsia="zh-CN"/>
              </w:rPr>
              <w:t>国家高度重视医疗卫生体系建设，为江川区医疗服务体系规划提供了重要指引。中共中央办公厅、国务院办公厅印发的《关于进一步完善医疗卫生服务体系的意见》着重强调推进县域医共体建设，实现县乡一体化管理，打造责任、管理、服务、利益共同体，这与江川区整合医疗资源的需求高度契合。《关于全面推进紧密型县域医疗卫生共同体建设的指导意见（国卫基层发〔2023〕41号）》则为江川区科学规划县域医共体组建提供了依据。党的二十届三中全会要求“强化基层医疗卫生服务”，《2025年政府工作报告》提出促进优质医疗资源扩容下沉，国家卫生健康委积极推动紧密型县域医共体建设、提升基层服务能力等举措，均为江川区改善医疗现状指明了方向。在此背景下，江川区亟需通过科学规划医疗服务体系，落实国家政策要求，解决现存医疗问题，满足本地居民与流动人口的健康需求。</w:t>
            </w:r>
          </w:p>
          <w:p w14:paraId="175138EE">
            <w:pPr>
              <w:ind w:firstLine="480"/>
              <w:rPr>
                <w:rFonts w:hint="eastAsia"/>
                <w:bCs/>
                <w:color w:val="auto"/>
                <w:lang w:val="en-US" w:eastAsia="zh-CN"/>
              </w:rPr>
            </w:pPr>
            <w:r>
              <w:rPr>
                <w:rFonts w:hint="eastAsia"/>
                <w:bCs/>
                <w:color w:val="auto"/>
                <w:lang w:val="en-US" w:eastAsia="zh-CN"/>
              </w:rPr>
              <w:t>江川区医共体总院环评手续办理情况：</w:t>
            </w:r>
          </w:p>
          <w:p w14:paraId="65B33652">
            <w:pPr>
              <w:pStyle w:val="9"/>
              <w:rPr>
                <w:rFonts w:hint="default"/>
                <w:color w:val="auto"/>
                <w:lang w:val="en-US" w:eastAsia="zh-CN"/>
              </w:rPr>
            </w:pPr>
            <w:r>
              <w:rPr>
                <w:rFonts w:hint="eastAsia"/>
                <w:bCs/>
                <w:color w:val="auto"/>
                <w:lang w:val="en-US" w:eastAsia="zh-CN"/>
              </w:rPr>
              <w:t>1、</w:t>
            </w:r>
            <w:r>
              <w:rPr>
                <w:bCs/>
                <w:color w:val="auto"/>
              </w:rPr>
              <w:t>本院始建于1941年，因医院建成时间较早，2009年对住院大楼、门诊楼及感染楼进行扩建，于2009年7月，医院委托玉溪市环境科学研究所编制项目环境影响报告书，于2009年12月30日获得玉溪市环境保护局出具的行政许可决定书（玉环准许[2009]147号）批复，并于2016年9月29日获得了玉溪市环境保护局的验收意见。</w:t>
            </w:r>
          </w:p>
          <w:p w14:paraId="4B58FBB0">
            <w:pPr>
              <w:ind w:firstLine="480"/>
              <w:rPr>
                <w:rFonts w:hint="eastAsia"/>
                <w:bCs/>
                <w:color w:val="auto"/>
                <w:lang w:eastAsia="zh-CN"/>
              </w:rPr>
            </w:pPr>
            <w:r>
              <w:rPr>
                <w:rFonts w:hint="eastAsia"/>
                <w:bCs/>
                <w:color w:val="auto"/>
                <w:lang w:val="en-US" w:eastAsia="zh-CN"/>
              </w:rPr>
              <w:t>2、</w:t>
            </w:r>
            <w:r>
              <w:rPr>
                <w:bCs/>
                <w:color w:val="auto"/>
              </w:rPr>
              <w:t>2017年9月，</w:t>
            </w:r>
            <w:r>
              <w:rPr>
                <w:rFonts w:hint="eastAsia"/>
                <w:bCs/>
                <w:color w:val="auto"/>
                <w:lang w:eastAsia="zh-CN"/>
              </w:rPr>
              <w:t>玉溪市江川区医共体总医院</w:t>
            </w:r>
            <w:r>
              <w:rPr>
                <w:bCs/>
                <w:color w:val="auto"/>
              </w:rPr>
              <w:t>委托云南大学科技咨询发展中心承担了本项目的环境影响评价工作，2017年12月编制完成《</w:t>
            </w:r>
            <w:r>
              <w:rPr>
                <w:rFonts w:hint="eastAsia"/>
                <w:bCs/>
                <w:color w:val="auto"/>
                <w:lang w:eastAsia="zh-CN"/>
              </w:rPr>
              <w:t>玉溪市江川区医共体总医院</w:t>
            </w:r>
            <w:r>
              <w:rPr>
                <w:bCs/>
                <w:color w:val="auto"/>
              </w:rPr>
              <w:t>综合住院大楼建设项目环境影响报告书》，并于2017年12月取得玉溪市生态环境局下发的《玉溪市江川区环境保护局关于</w:t>
            </w:r>
            <w:r>
              <w:rPr>
                <w:rFonts w:hint="eastAsia"/>
                <w:bCs/>
                <w:color w:val="auto"/>
                <w:lang w:eastAsia="zh-CN"/>
              </w:rPr>
              <w:t>玉溪市江川区医共体总医院</w:t>
            </w:r>
            <w:r>
              <w:rPr>
                <w:bCs/>
                <w:color w:val="auto"/>
              </w:rPr>
              <w:t>综合住院大楼建设项目环境影响报告书的批复》玉江环审[2017]29号</w:t>
            </w:r>
            <w:r>
              <w:rPr>
                <w:rFonts w:hint="eastAsia"/>
                <w:bCs/>
                <w:color w:val="auto"/>
                <w:lang w:eastAsia="zh-CN"/>
              </w:rPr>
              <w:t>；</w:t>
            </w:r>
          </w:p>
          <w:p w14:paraId="02BD81B1">
            <w:pPr>
              <w:ind w:firstLine="480"/>
              <w:rPr>
                <w:rFonts w:hint="eastAsia"/>
                <w:bCs/>
                <w:color w:val="auto"/>
                <w:lang w:eastAsia="zh-CN"/>
              </w:rPr>
            </w:pPr>
            <w:r>
              <w:rPr>
                <w:rFonts w:hint="eastAsia"/>
                <w:bCs/>
                <w:color w:val="auto"/>
                <w:lang w:val="en-US" w:eastAsia="zh-CN"/>
              </w:rPr>
              <w:t>3、于2023年8月，委托云南顺测环保工程有限公司编制了《</w:t>
            </w:r>
            <w:r>
              <w:rPr>
                <w:color w:val="auto"/>
              </w:rPr>
              <w:t>玉溪市江川区人民医院综合住院楼建设项目</w:t>
            </w:r>
            <w:r>
              <w:rPr>
                <w:bCs/>
                <w:color w:val="auto"/>
              </w:rPr>
              <w:t>环境影响报告</w:t>
            </w:r>
            <w:r>
              <w:rPr>
                <w:rFonts w:hint="eastAsia"/>
                <w:bCs/>
                <w:color w:val="auto"/>
                <w:lang w:val="en-US" w:eastAsia="zh-CN"/>
              </w:rPr>
              <w:t>表》并于2023年11月14日取得了</w:t>
            </w:r>
            <w:r>
              <w:rPr>
                <w:bCs/>
                <w:color w:val="auto"/>
              </w:rPr>
              <w:t>玉溪市生态环境局下发的《玉溪市江川区环境保护局关于</w:t>
            </w:r>
            <w:r>
              <w:rPr>
                <w:color w:val="auto"/>
              </w:rPr>
              <w:t>玉溪市江川区人民医院综合住院楼建设项目</w:t>
            </w:r>
            <w:r>
              <w:rPr>
                <w:bCs/>
                <w:color w:val="auto"/>
              </w:rPr>
              <w:t>环境影响报告</w:t>
            </w:r>
            <w:r>
              <w:rPr>
                <w:rFonts w:hint="eastAsia"/>
                <w:bCs/>
                <w:color w:val="auto"/>
                <w:lang w:val="en-US" w:eastAsia="zh-CN"/>
              </w:rPr>
              <w:t>表</w:t>
            </w:r>
            <w:r>
              <w:rPr>
                <w:bCs/>
                <w:color w:val="auto"/>
              </w:rPr>
              <w:t>的批复》玉</w:t>
            </w:r>
            <w:r>
              <w:rPr>
                <w:rFonts w:hint="eastAsia"/>
                <w:bCs/>
                <w:color w:val="auto"/>
                <w:lang w:val="en-US" w:eastAsia="zh-CN"/>
              </w:rPr>
              <w:t>环江</w:t>
            </w:r>
            <w:r>
              <w:rPr>
                <w:bCs/>
                <w:color w:val="auto"/>
              </w:rPr>
              <w:t>审[20</w:t>
            </w:r>
            <w:r>
              <w:rPr>
                <w:rFonts w:hint="eastAsia"/>
                <w:bCs/>
                <w:color w:val="auto"/>
                <w:lang w:val="en-US" w:eastAsia="zh-CN"/>
              </w:rPr>
              <w:t>23</w:t>
            </w:r>
            <w:r>
              <w:rPr>
                <w:bCs/>
                <w:color w:val="auto"/>
              </w:rPr>
              <w:t>]</w:t>
            </w:r>
            <w:r>
              <w:rPr>
                <w:rFonts w:hint="eastAsia"/>
                <w:bCs/>
                <w:color w:val="auto"/>
                <w:lang w:val="en-US" w:eastAsia="zh-CN"/>
              </w:rPr>
              <w:t>15</w:t>
            </w:r>
            <w:r>
              <w:rPr>
                <w:bCs/>
                <w:color w:val="auto"/>
              </w:rPr>
              <w:t>号</w:t>
            </w:r>
            <w:r>
              <w:rPr>
                <w:rFonts w:hint="eastAsia"/>
                <w:bCs/>
                <w:color w:val="auto"/>
                <w:lang w:eastAsia="zh-CN"/>
              </w:rPr>
              <w:t>。</w:t>
            </w:r>
          </w:p>
          <w:p w14:paraId="7F209DAD">
            <w:pPr>
              <w:ind w:firstLine="480"/>
              <w:rPr>
                <w:rFonts w:hint="eastAsia"/>
                <w:bCs/>
                <w:color w:val="auto"/>
                <w:lang w:val="en-US" w:eastAsia="zh-CN"/>
              </w:rPr>
            </w:pPr>
            <w:r>
              <w:rPr>
                <w:rFonts w:hint="eastAsia"/>
                <w:bCs/>
                <w:color w:val="auto"/>
                <w:lang w:val="en-US" w:eastAsia="zh-CN"/>
              </w:rPr>
              <w:t>江城镇卫生院环评手续办理情况：</w:t>
            </w:r>
          </w:p>
          <w:p w14:paraId="37497C90">
            <w:pPr>
              <w:ind w:firstLine="480"/>
              <w:rPr>
                <w:rFonts w:hint="eastAsia"/>
                <w:bCs/>
                <w:color w:val="auto"/>
                <w:lang w:val="en-US" w:eastAsia="zh-CN"/>
              </w:rPr>
            </w:pPr>
            <w:r>
              <w:rPr>
                <w:rFonts w:hint="eastAsia"/>
                <w:bCs/>
                <w:color w:val="auto"/>
                <w:lang w:val="en-US" w:eastAsia="zh-CN"/>
              </w:rPr>
              <w:t>1、江川县江城镇中心卫生院业务用房项目环境影响评价报告表由云南靖尚达环境咨询有限公司编制，2014年3月26日江川县环境保护局以“江环审〔2014〕3号”文件批准该项目环评，并于2016年7月22日提交了建设项目竣工环境保护验收申请。</w:t>
            </w:r>
          </w:p>
          <w:p w14:paraId="01284C13">
            <w:pPr>
              <w:ind w:firstLine="480"/>
              <w:rPr>
                <w:rFonts w:hint="eastAsia"/>
                <w:bCs/>
                <w:color w:val="auto"/>
              </w:rPr>
            </w:pPr>
            <w:r>
              <w:rPr>
                <w:rFonts w:hint="eastAsia"/>
                <w:bCs/>
                <w:color w:val="auto"/>
                <w:lang w:val="en-US" w:eastAsia="zh-CN"/>
              </w:rPr>
              <w:t>本次</w:t>
            </w:r>
            <w:r>
              <w:rPr>
                <w:rFonts w:hint="eastAsia"/>
                <w:color w:val="auto"/>
                <w:lang w:eastAsia="zh-CN"/>
              </w:rPr>
              <w:t>玉溪市江川区县域医共体</w:t>
            </w:r>
            <w:r>
              <w:rPr>
                <w:bCs/>
                <w:color w:val="auto"/>
              </w:rPr>
              <w:t>项目建设</w:t>
            </w:r>
            <w:r>
              <w:rPr>
                <w:rFonts w:hint="eastAsia"/>
                <w:bCs/>
                <w:color w:val="auto"/>
                <w:lang w:val="en-US" w:eastAsia="zh-CN"/>
              </w:rPr>
              <w:t>主要为玉溪市江川区医共体总院进行设施改造和新建消毒中心，规模不变；江城镇卫生院进行部分拆除和新建医共体次中心等设施，</w:t>
            </w:r>
            <w:r>
              <w:rPr>
                <w:rFonts w:hint="eastAsia"/>
                <w:bCs/>
                <w:color w:val="auto"/>
                <w:lang w:val="en-US" w:eastAsia="zh-CN"/>
              </w:rPr>
              <w:t>床位由原有100张扩张到145张，新增45张，</w:t>
            </w:r>
            <w:r>
              <w:rPr>
                <w:bCs/>
                <w:color w:val="auto"/>
              </w:rPr>
              <w:t>规模有所变动，根据最新的《建设项目环境影响评价分类管理名录》（2021年版）本项目属于“四十九、卫生84，其他（住院床位20张以下的除外）”应编制环境影响报告表。</w:t>
            </w:r>
            <w:r>
              <w:rPr>
                <w:rFonts w:hint="eastAsia"/>
                <w:bCs/>
                <w:color w:val="auto"/>
              </w:rPr>
              <w:t>本次环评内容不涉及辐射、放射科及感染科内容，医用磁共振成像设备(MRI)、医用诊断X射线机（DR）、X线电子计算机断层扫描装置(CT）等涉及辐射和放射的设备不在本次评价范围内，由建设单位</w:t>
            </w:r>
            <w:r>
              <w:rPr>
                <w:rFonts w:hint="eastAsia"/>
                <w:bCs/>
                <w:color w:val="auto"/>
                <w:lang w:val="en-US" w:eastAsia="zh-CN"/>
              </w:rPr>
              <w:t>委托有资质的单位</w:t>
            </w:r>
            <w:r>
              <w:rPr>
                <w:rFonts w:hint="eastAsia"/>
                <w:bCs/>
                <w:color w:val="auto"/>
              </w:rPr>
              <w:t>办理该部分内容的环保审批手续。我公司在现场踏勘和资料收集的基础上，根据环评技术导则及其它相关文件，编制了该项目的环境影响报告表，报请环保主管部门审批，以期为项目实施和环境管理提供依据。</w:t>
            </w:r>
          </w:p>
          <w:p w14:paraId="02AD305F">
            <w:pPr>
              <w:ind w:firstLine="482"/>
              <w:rPr>
                <w:color w:val="auto"/>
              </w:rPr>
            </w:pPr>
            <w:r>
              <w:rPr>
                <w:b/>
                <w:color w:val="auto"/>
              </w:rPr>
              <w:t>2、项目建设内容及规模</w:t>
            </w:r>
          </w:p>
          <w:p w14:paraId="050147FB">
            <w:pPr>
              <w:widowControl/>
              <w:ind w:firstLine="482"/>
              <w:jc w:val="left"/>
              <w:rPr>
                <w:b/>
                <w:bCs/>
                <w:color w:val="auto"/>
                <w:kern w:val="0"/>
                <w:szCs w:val="24"/>
                <w:lang w:bidi="ar"/>
              </w:rPr>
            </w:pPr>
            <w:r>
              <w:rPr>
                <w:b/>
                <w:bCs/>
                <w:color w:val="auto"/>
                <w:kern w:val="0"/>
                <w:szCs w:val="24"/>
                <w:lang w:bidi="ar"/>
              </w:rPr>
              <w:t>（1）项目基本情况</w:t>
            </w:r>
          </w:p>
          <w:p w14:paraId="4DB95CF0">
            <w:pPr>
              <w:widowControl/>
              <w:ind w:firstLine="480"/>
              <w:jc w:val="left"/>
              <w:rPr>
                <w:rFonts w:hint="eastAsia" w:eastAsia="宋体"/>
                <w:color w:val="auto"/>
                <w:lang w:eastAsia="zh-CN"/>
              </w:rPr>
            </w:pPr>
            <w:r>
              <w:rPr>
                <w:color w:val="auto"/>
                <w:kern w:val="0"/>
                <w:szCs w:val="24"/>
                <w:lang w:bidi="ar"/>
              </w:rPr>
              <w:t>项目名称：</w:t>
            </w:r>
            <w:r>
              <w:rPr>
                <w:rFonts w:hint="eastAsia"/>
                <w:color w:val="auto"/>
                <w:kern w:val="0"/>
                <w:szCs w:val="24"/>
                <w:lang w:eastAsia="zh-CN" w:bidi="ar"/>
              </w:rPr>
              <w:t>玉溪市江川区县域医共体建设项目</w:t>
            </w:r>
          </w:p>
          <w:p w14:paraId="1C841A97">
            <w:pPr>
              <w:widowControl/>
              <w:ind w:firstLine="480"/>
              <w:jc w:val="left"/>
              <w:rPr>
                <w:rFonts w:hint="eastAsia" w:eastAsia="宋体"/>
                <w:color w:val="auto"/>
                <w:lang w:eastAsia="zh-CN"/>
              </w:rPr>
            </w:pPr>
            <w:r>
              <w:rPr>
                <w:color w:val="auto"/>
                <w:kern w:val="0"/>
                <w:szCs w:val="24"/>
                <w:lang w:bidi="ar"/>
              </w:rPr>
              <w:t>建设单位：</w:t>
            </w:r>
            <w:r>
              <w:rPr>
                <w:rFonts w:hint="eastAsia"/>
                <w:color w:val="auto"/>
                <w:kern w:val="0"/>
                <w:szCs w:val="24"/>
                <w:lang w:eastAsia="zh-CN" w:bidi="ar"/>
              </w:rPr>
              <w:t>玉溪市江川区医共体总医院</w:t>
            </w:r>
          </w:p>
          <w:p w14:paraId="6359C0CE">
            <w:pPr>
              <w:widowControl/>
              <w:ind w:firstLine="480"/>
              <w:jc w:val="left"/>
              <w:rPr>
                <w:color w:val="auto"/>
              </w:rPr>
            </w:pPr>
            <w:r>
              <w:rPr>
                <w:color w:val="auto"/>
                <w:kern w:val="0"/>
                <w:szCs w:val="24"/>
                <w:lang w:bidi="ar"/>
              </w:rPr>
              <w:t>建设性质：</w:t>
            </w:r>
            <w:r>
              <w:rPr>
                <w:rFonts w:hint="eastAsia"/>
                <w:color w:val="auto"/>
                <w:kern w:val="0"/>
                <w:szCs w:val="24"/>
                <w:lang w:bidi="ar"/>
              </w:rPr>
              <w:t>扩建</w:t>
            </w:r>
          </w:p>
          <w:p w14:paraId="372F8E4D">
            <w:pPr>
              <w:widowControl/>
              <w:ind w:firstLine="480"/>
              <w:jc w:val="both"/>
              <w:rPr>
                <w:color w:val="auto"/>
              </w:rPr>
            </w:pPr>
            <w:r>
              <w:rPr>
                <w:color w:val="auto"/>
                <w:kern w:val="0"/>
                <w:szCs w:val="24"/>
                <w:lang w:bidi="ar"/>
              </w:rPr>
              <w:t>建设地点：</w:t>
            </w:r>
            <w:r>
              <w:rPr>
                <w:color w:val="auto"/>
                <w:szCs w:val="24"/>
              </w:rPr>
              <w:t>玉溪市江川区星云街道湖滨路北段14号</w:t>
            </w:r>
            <w:r>
              <w:rPr>
                <w:color w:val="auto"/>
              </w:rPr>
              <w:t>，</w:t>
            </w:r>
            <w:r>
              <w:rPr>
                <w:rFonts w:hint="eastAsia"/>
                <w:color w:val="auto"/>
                <w:lang w:val="en-US" w:eastAsia="zh-CN"/>
              </w:rPr>
              <w:t>江川区医共体总医院现址内，</w:t>
            </w:r>
            <w:r>
              <w:rPr>
                <w:color w:val="auto"/>
              </w:rPr>
              <w:t>中心地理坐标：东经102°45′30.333″，北纬24°17′56.716″。</w:t>
            </w:r>
          </w:p>
          <w:p w14:paraId="5F9B5BDC">
            <w:pPr>
              <w:widowControl/>
              <w:ind w:firstLine="480"/>
              <w:jc w:val="both"/>
              <w:rPr>
                <w:rFonts w:hint="eastAsia" w:eastAsia="宋体"/>
                <w:color w:val="auto"/>
                <w:lang w:eastAsia="zh-CN"/>
              </w:rPr>
            </w:pPr>
            <w:r>
              <w:rPr>
                <w:rFonts w:hint="eastAsia"/>
                <w:color w:val="auto"/>
                <w:lang w:val="en-US" w:eastAsia="zh-CN"/>
              </w:rPr>
              <w:t>玉溪市江川区江城镇振兴街53号，江城镇卫生院现址内，</w:t>
            </w:r>
            <w:r>
              <w:rPr>
                <w:color w:val="auto"/>
              </w:rPr>
              <w:t>中心地理坐标</w:t>
            </w:r>
            <w:r>
              <w:rPr>
                <w:rFonts w:hint="eastAsia"/>
                <w:color w:val="auto"/>
                <w:lang w:eastAsia="zh-CN"/>
              </w:rPr>
              <w:t>：</w:t>
            </w:r>
            <w:r>
              <w:rPr>
                <w:color w:val="auto"/>
              </w:rPr>
              <w:t>东经102°4</w:t>
            </w:r>
            <w:r>
              <w:rPr>
                <w:rFonts w:hint="eastAsia"/>
                <w:color w:val="auto"/>
                <w:lang w:val="en-US" w:eastAsia="zh-CN"/>
              </w:rPr>
              <w:t>8</w:t>
            </w:r>
            <w:r>
              <w:rPr>
                <w:color w:val="auto"/>
              </w:rPr>
              <w:t>′</w:t>
            </w:r>
            <w:r>
              <w:rPr>
                <w:rFonts w:hint="eastAsia"/>
                <w:color w:val="auto"/>
                <w:lang w:val="en-US" w:eastAsia="zh-CN"/>
              </w:rPr>
              <w:t>23</w:t>
            </w:r>
            <w:r>
              <w:rPr>
                <w:color w:val="auto"/>
              </w:rPr>
              <w:t>.3</w:t>
            </w:r>
            <w:r>
              <w:rPr>
                <w:rFonts w:hint="eastAsia"/>
                <w:color w:val="auto"/>
                <w:lang w:val="en-US" w:eastAsia="zh-CN"/>
              </w:rPr>
              <w:t>3405</w:t>
            </w:r>
            <w:r>
              <w:rPr>
                <w:color w:val="auto"/>
              </w:rPr>
              <w:t>″，北纬24°</w:t>
            </w:r>
            <w:r>
              <w:rPr>
                <w:rFonts w:hint="eastAsia"/>
                <w:color w:val="auto"/>
                <w:lang w:val="en-US" w:eastAsia="zh-CN"/>
              </w:rPr>
              <w:t>25</w:t>
            </w:r>
            <w:r>
              <w:rPr>
                <w:color w:val="auto"/>
              </w:rPr>
              <w:t>′56.</w:t>
            </w:r>
            <w:r>
              <w:rPr>
                <w:rFonts w:hint="eastAsia"/>
                <w:color w:val="auto"/>
                <w:lang w:val="en-US" w:eastAsia="zh-CN"/>
              </w:rPr>
              <w:t>3838</w:t>
            </w:r>
            <w:r>
              <w:rPr>
                <w:color w:val="auto"/>
              </w:rPr>
              <w:t>″</w:t>
            </w:r>
            <w:r>
              <w:rPr>
                <w:rFonts w:hint="eastAsia"/>
                <w:color w:val="auto"/>
                <w:lang w:eastAsia="zh-CN"/>
              </w:rPr>
              <w:t>。</w:t>
            </w:r>
          </w:p>
          <w:p w14:paraId="71E6B474">
            <w:pPr>
              <w:widowControl/>
              <w:ind w:firstLine="482"/>
              <w:jc w:val="left"/>
              <w:rPr>
                <w:b/>
                <w:bCs/>
                <w:color w:val="auto"/>
                <w:kern w:val="0"/>
                <w:szCs w:val="24"/>
                <w:lang w:bidi="ar"/>
              </w:rPr>
            </w:pPr>
            <w:r>
              <w:rPr>
                <w:b/>
                <w:bCs/>
                <w:color w:val="auto"/>
                <w:kern w:val="0"/>
                <w:szCs w:val="24"/>
                <w:lang w:bidi="ar"/>
              </w:rPr>
              <w:t>（2）主要建设内容</w:t>
            </w:r>
          </w:p>
          <w:p w14:paraId="3F71ECE4">
            <w:pPr>
              <w:widowControl/>
              <w:ind w:firstLine="480"/>
              <w:jc w:val="left"/>
              <w:rPr>
                <w:rFonts w:hint="eastAsia"/>
                <w:color w:val="auto"/>
                <w:kern w:val="0"/>
                <w:szCs w:val="24"/>
                <w:lang w:val="en-US" w:eastAsia="zh-CN" w:bidi="ar"/>
              </w:rPr>
            </w:pPr>
            <w:r>
              <w:rPr>
                <w:rFonts w:hint="eastAsia"/>
                <w:color w:val="auto"/>
                <w:kern w:val="0"/>
                <w:szCs w:val="24"/>
                <w:lang w:val="en-US" w:eastAsia="zh-CN" w:bidi="ar"/>
              </w:rPr>
              <w:t>1、江川区县域医共体资源共享中心和中心药房建设工程。购置医疗设备50台套。建筑面积:2935.5㎡，其中:医学影像中心改造572.00㎡、心电诊断改造467.00㎡、医学检验改造1040.00㎡、中心药房改造280.5㎡，另新建消毒供应中心576.00㎡。</w:t>
            </w:r>
          </w:p>
          <w:p w14:paraId="22FC2BDE">
            <w:pPr>
              <w:widowControl/>
              <w:ind w:firstLine="480"/>
              <w:jc w:val="left"/>
              <w:rPr>
                <w:rFonts w:hint="eastAsia"/>
                <w:color w:val="auto"/>
                <w:kern w:val="0"/>
                <w:szCs w:val="24"/>
                <w:lang w:val="en-US" w:eastAsia="zh-CN" w:bidi="ar"/>
              </w:rPr>
            </w:pPr>
            <w:r>
              <w:rPr>
                <w:rFonts w:hint="eastAsia"/>
                <w:color w:val="auto"/>
                <w:kern w:val="0"/>
                <w:szCs w:val="24"/>
                <w:lang w:val="en-US" w:eastAsia="zh-CN" w:bidi="ar"/>
              </w:rPr>
              <w:t>2、江城镇医疗卫生次中心建设工程。购置医疗设备3套。总建筑面积:5304.5㎡，其中:地上新建建筑面积:4864.82㎡，地下新建建筑面积439.68㎡;改造建筑面积:1302.00㎡;卫生院原有建筑拆除4254.83㎡。新建普通病房、ICU病房、手术室、地下室及辅助业务用房，新增床位45床。对现有业务楼内部功能提升改造，现有建筑外立面提升改造，院区绿化提升改造，相关附属设施改造提升。</w:t>
            </w:r>
          </w:p>
          <w:p w14:paraId="2556534E">
            <w:pPr>
              <w:widowControl/>
              <w:ind w:firstLine="480"/>
              <w:jc w:val="left"/>
              <w:rPr>
                <w:color w:val="auto"/>
              </w:rPr>
            </w:pPr>
            <w:r>
              <w:rPr>
                <w:color w:val="auto"/>
                <w:kern w:val="0"/>
                <w:szCs w:val="24"/>
                <w:lang w:bidi="ar"/>
              </w:rPr>
              <w:t>项目组成及建设内容见表2-1</w:t>
            </w:r>
            <w:r>
              <w:rPr>
                <w:rFonts w:hint="eastAsia"/>
                <w:color w:val="auto"/>
                <w:kern w:val="0"/>
                <w:szCs w:val="24"/>
                <w:lang w:eastAsia="zh-CN" w:bidi="ar"/>
              </w:rPr>
              <w:t>、</w:t>
            </w:r>
            <w:r>
              <w:rPr>
                <w:rFonts w:hint="eastAsia"/>
                <w:color w:val="auto"/>
                <w:kern w:val="0"/>
                <w:szCs w:val="24"/>
                <w:lang w:val="en-US" w:eastAsia="zh-CN" w:bidi="ar"/>
              </w:rPr>
              <w:t>2-2</w:t>
            </w:r>
            <w:r>
              <w:rPr>
                <w:color w:val="auto"/>
                <w:kern w:val="0"/>
                <w:szCs w:val="24"/>
                <w:lang w:bidi="ar"/>
              </w:rPr>
              <w:t>，平面布置详见附图</w:t>
            </w:r>
          </w:p>
          <w:p w14:paraId="4C5B487F">
            <w:pPr>
              <w:pStyle w:val="2"/>
              <w:jc w:val="center"/>
              <w:rPr>
                <w:b/>
                <w:color w:val="auto"/>
                <w:kern w:val="2"/>
                <w:sz w:val="21"/>
                <w:szCs w:val="21"/>
              </w:rPr>
            </w:pPr>
            <w:r>
              <w:rPr>
                <w:b/>
                <w:color w:val="auto"/>
                <w:kern w:val="2"/>
                <w:sz w:val="21"/>
                <w:szCs w:val="21"/>
              </w:rPr>
              <w:t>表2-1</w:t>
            </w:r>
            <w:r>
              <w:rPr>
                <w:rFonts w:hint="eastAsia"/>
                <w:b/>
                <w:color w:val="auto"/>
                <w:kern w:val="2"/>
                <w:sz w:val="21"/>
                <w:szCs w:val="21"/>
                <w:lang w:val="en-US" w:eastAsia="zh-CN"/>
              </w:rPr>
              <w:t>江川区医共体总医院</w:t>
            </w:r>
            <w:r>
              <w:rPr>
                <w:b/>
                <w:color w:val="auto"/>
                <w:kern w:val="2"/>
                <w:sz w:val="21"/>
                <w:szCs w:val="21"/>
              </w:rPr>
              <w:t>项目组成及建设内容一览表</w:t>
            </w:r>
          </w:p>
          <w:tbl>
            <w:tblPr>
              <w:tblStyle w:val="19"/>
              <w:tblW w:w="498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
              <w:gridCol w:w="945"/>
              <w:gridCol w:w="2655"/>
              <w:gridCol w:w="3064"/>
              <w:gridCol w:w="447"/>
            </w:tblGrid>
            <w:tr w14:paraId="2F062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15" w:type="pct"/>
                  <w:gridSpan w:val="2"/>
                  <w:tcBorders>
                    <w:top w:val="single" w:color="auto" w:sz="4" w:space="0"/>
                    <w:left w:val="single" w:color="auto" w:sz="4" w:space="0"/>
                    <w:bottom w:val="single" w:color="auto" w:sz="4" w:space="0"/>
                    <w:right w:val="single" w:color="auto" w:sz="4" w:space="0"/>
                  </w:tcBorders>
                  <w:vAlign w:val="center"/>
                </w:tcPr>
                <w:p w14:paraId="47D4F649">
                  <w:pPr>
                    <w:snapToGrid w:val="0"/>
                    <w:spacing w:line="240" w:lineRule="auto"/>
                    <w:ind w:firstLine="0" w:firstLineChars="0"/>
                    <w:jc w:val="center"/>
                    <w:rPr>
                      <w:color w:val="auto"/>
                      <w:sz w:val="21"/>
                      <w:szCs w:val="21"/>
                    </w:rPr>
                  </w:pPr>
                  <w:r>
                    <w:rPr>
                      <w:color w:val="auto"/>
                      <w:sz w:val="21"/>
                      <w:szCs w:val="21"/>
                    </w:rPr>
                    <w:t>工程类别</w:t>
                  </w:r>
                </w:p>
              </w:tc>
              <w:tc>
                <w:tcPr>
                  <w:tcW w:w="1758" w:type="pct"/>
                  <w:tcBorders>
                    <w:top w:val="single" w:color="auto" w:sz="4" w:space="0"/>
                    <w:left w:val="single" w:color="auto" w:sz="4" w:space="0"/>
                    <w:bottom w:val="single" w:color="auto" w:sz="4" w:space="0"/>
                    <w:right w:val="single" w:color="auto" w:sz="4" w:space="0"/>
                  </w:tcBorders>
                  <w:vAlign w:val="center"/>
                </w:tcPr>
                <w:p w14:paraId="2F3E45F7">
                  <w:pPr>
                    <w:snapToGrid w:val="0"/>
                    <w:spacing w:line="240" w:lineRule="auto"/>
                    <w:ind w:firstLine="0" w:firstLineChars="0"/>
                    <w:jc w:val="center"/>
                    <w:rPr>
                      <w:color w:val="auto"/>
                      <w:sz w:val="21"/>
                      <w:szCs w:val="21"/>
                    </w:rPr>
                  </w:pPr>
                  <w:r>
                    <w:rPr>
                      <w:color w:val="auto"/>
                      <w:sz w:val="21"/>
                      <w:szCs w:val="21"/>
                    </w:rPr>
                    <w:t>原项目建设内容</w:t>
                  </w:r>
                </w:p>
              </w:tc>
              <w:tc>
                <w:tcPr>
                  <w:tcW w:w="2029" w:type="pct"/>
                  <w:tcBorders>
                    <w:top w:val="single" w:color="auto" w:sz="4" w:space="0"/>
                    <w:left w:val="single" w:color="auto" w:sz="4" w:space="0"/>
                    <w:bottom w:val="single" w:color="auto" w:sz="4" w:space="0"/>
                    <w:right w:val="single" w:color="auto" w:sz="4" w:space="0"/>
                  </w:tcBorders>
                  <w:vAlign w:val="center"/>
                </w:tcPr>
                <w:p w14:paraId="00B9F0B7">
                  <w:pPr>
                    <w:snapToGrid w:val="0"/>
                    <w:spacing w:line="240" w:lineRule="auto"/>
                    <w:ind w:firstLine="0" w:firstLineChars="0"/>
                    <w:jc w:val="center"/>
                    <w:rPr>
                      <w:color w:val="auto"/>
                      <w:sz w:val="21"/>
                      <w:szCs w:val="21"/>
                    </w:rPr>
                  </w:pPr>
                  <w:r>
                    <w:rPr>
                      <w:color w:val="auto"/>
                      <w:sz w:val="21"/>
                      <w:szCs w:val="21"/>
                    </w:rPr>
                    <w:t>本次建设内容</w:t>
                  </w:r>
                </w:p>
              </w:tc>
              <w:tc>
                <w:tcPr>
                  <w:tcW w:w="296" w:type="pct"/>
                  <w:tcBorders>
                    <w:top w:val="single" w:color="auto" w:sz="4" w:space="0"/>
                    <w:left w:val="single" w:color="auto" w:sz="4" w:space="0"/>
                    <w:bottom w:val="single" w:color="auto" w:sz="4" w:space="0"/>
                    <w:right w:val="single" w:color="auto" w:sz="4" w:space="0"/>
                  </w:tcBorders>
                  <w:vAlign w:val="center"/>
                </w:tcPr>
                <w:p w14:paraId="3DA315EB">
                  <w:pPr>
                    <w:snapToGrid w:val="0"/>
                    <w:spacing w:line="240" w:lineRule="auto"/>
                    <w:ind w:firstLine="0" w:firstLineChars="0"/>
                    <w:jc w:val="center"/>
                    <w:rPr>
                      <w:color w:val="auto"/>
                      <w:sz w:val="21"/>
                      <w:szCs w:val="21"/>
                    </w:rPr>
                  </w:pPr>
                  <w:r>
                    <w:rPr>
                      <w:color w:val="auto"/>
                      <w:sz w:val="21"/>
                      <w:szCs w:val="21"/>
                    </w:rPr>
                    <w:t>备注</w:t>
                  </w:r>
                </w:p>
              </w:tc>
            </w:tr>
            <w:tr w14:paraId="418F9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7" w:hRule="atLeast"/>
              </w:trPr>
              <w:tc>
                <w:tcPr>
                  <w:tcW w:w="289" w:type="pct"/>
                  <w:vMerge w:val="restart"/>
                  <w:tcBorders>
                    <w:top w:val="single" w:color="auto" w:sz="4" w:space="0"/>
                    <w:left w:val="single" w:color="auto" w:sz="4" w:space="0"/>
                    <w:right w:val="single" w:color="auto" w:sz="4" w:space="0"/>
                  </w:tcBorders>
                  <w:vAlign w:val="center"/>
                </w:tcPr>
                <w:p w14:paraId="477B59EB">
                  <w:pPr>
                    <w:snapToGrid w:val="0"/>
                    <w:spacing w:line="240" w:lineRule="auto"/>
                    <w:ind w:firstLine="0" w:firstLineChars="0"/>
                    <w:jc w:val="center"/>
                    <w:rPr>
                      <w:color w:val="auto"/>
                      <w:sz w:val="21"/>
                      <w:szCs w:val="21"/>
                    </w:rPr>
                  </w:pPr>
                  <w:r>
                    <w:rPr>
                      <w:color w:val="auto"/>
                      <w:sz w:val="21"/>
                      <w:szCs w:val="21"/>
                    </w:rPr>
                    <w:t>主体工程</w:t>
                  </w:r>
                </w:p>
              </w:tc>
              <w:tc>
                <w:tcPr>
                  <w:tcW w:w="626" w:type="pct"/>
                  <w:tcBorders>
                    <w:top w:val="single" w:color="auto" w:sz="4" w:space="0"/>
                    <w:left w:val="single" w:color="auto" w:sz="4" w:space="0"/>
                    <w:bottom w:val="single" w:color="auto" w:sz="4" w:space="0"/>
                    <w:right w:val="single" w:color="auto" w:sz="4" w:space="0"/>
                  </w:tcBorders>
                  <w:vAlign w:val="center"/>
                </w:tcPr>
                <w:p w14:paraId="1A71F5C6">
                  <w:pPr>
                    <w:snapToGrid w:val="0"/>
                    <w:spacing w:line="240" w:lineRule="auto"/>
                    <w:ind w:firstLine="0" w:firstLineChars="0"/>
                    <w:jc w:val="center"/>
                    <w:rPr>
                      <w:color w:val="auto"/>
                      <w:sz w:val="21"/>
                      <w:szCs w:val="21"/>
                    </w:rPr>
                  </w:pPr>
                  <w:r>
                    <w:rPr>
                      <w:color w:val="auto"/>
                      <w:sz w:val="21"/>
                      <w:szCs w:val="21"/>
                    </w:rPr>
                    <w:t>门诊医技楼</w:t>
                  </w:r>
                </w:p>
              </w:tc>
              <w:tc>
                <w:tcPr>
                  <w:tcW w:w="1758" w:type="pct"/>
                  <w:tcBorders>
                    <w:top w:val="single" w:color="auto" w:sz="4" w:space="0"/>
                    <w:left w:val="single" w:color="auto" w:sz="4" w:space="0"/>
                    <w:bottom w:val="single" w:color="auto" w:sz="4" w:space="0"/>
                    <w:right w:val="single" w:color="auto" w:sz="4" w:space="0"/>
                  </w:tcBorders>
                  <w:vAlign w:val="center"/>
                </w:tcPr>
                <w:p w14:paraId="6E855022">
                  <w:pPr>
                    <w:snapToGrid w:val="0"/>
                    <w:spacing w:line="240" w:lineRule="auto"/>
                    <w:ind w:firstLine="420" w:firstLineChars="200"/>
                    <w:jc w:val="left"/>
                    <w:rPr>
                      <w:rFonts w:hint="eastAsia" w:eastAsia="宋体"/>
                      <w:color w:val="auto"/>
                      <w:sz w:val="21"/>
                      <w:szCs w:val="21"/>
                      <w:lang w:eastAsia="zh-CN"/>
                    </w:rPr>
                  </w:pPr>
                  <w:r>
                    <w:rPr>
                      <w:color w:val="auto"/>
                      <w:sz w:val="21"/>
                      <w:szCs w:val="21"/>
                    </w:rPr>
                    <w:t>1栋6层，建筑面积为10598m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1B0CCD21">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本次对门诊医技楼改造建筑面积为2359.5㎡，包括：医学影像中心改造572㎡；心电诊断改造467㎡；医学检验改造1040㎡；中心药房改造280.5㎡；</w:t>
                  </w:r>
                </w:p>
                <w:p w14:paraId="4097617F">
                  <w:pPr>
                    <w:snapToGrid w:val="0"/>
                    <w:spacing w:line="240" w:lineRule="auto"/>
                    <w:ind w:firstLine="420" w:firstLineChars="200"/>
                    <w:jc w:val="left"/>
                    <w:rPr>
                      <w:rFonts w:hint="eastAsia"/>
                      <w:color w:val="auto"/>
                      <w:sz w:val="21"/>
                      <w:szCs w:val="21"/>
                      <w:lang w:val="en-US" w:eastAsia="zh-CN"/>
                    </w:rPr>
                  </w:pPr>
                  <w:r>
                    <w:rPr>
                      <w:rFonts w:hint="eastAsia"/>
                      <w:color w:val="auto"/>
                      <w:sz w:val="21"/>
                      <w:szCs w:val="21"/>
                      <w:lang w:val="en-US" w:eastAsia="zh-CN"/>
                    </w:rPr>
                    <w:t>改造内容具体如下：</w:t>
                  </w:r>
                </w:p>
                <w:p w14:paraId="0A20144C">
                  <w:pPr>
                    <w:snapToGrid w:val="0"/>
                    <w:spacing w:line="240" w:lineRule="auto"/>
                    <w:ind w:firstLine="420" w:firstLineChars="200"/>
                    <w:jc w:val="left"/>
                    <w:rPr>
                      <w:color w:val="auto"/>
                      <w:sz w:val="21"/>
                      <w:szCs w:val="21"/>
                    </w:rPr>
                  </w:pPr>
                  <w:r>
                    <w:rPr>
                      <w:rFonts w:hint="eastAsia"/>
                      <w:color w:val="auto"/>
                      <w:sz w:val="21"/>
                      <w:szCs w:val="21"/>
                      <w:lang w:val="en-US" w:eastAsia="zh-CN"/>
                    </w:rPr>
                    <w:t>医学影像中心：改造范围涵盖现状门诊医技楼1层，以及现状综合住院楼1层局部区域。</w:t>
                  </w:r>
                </w:p>
                <w:p w14:paraId="0FC1F9C4">
                  <w:pPr>
                    <w:snapToGrid w:val="0"/>
                    <w:spacing w:line="240" w:lineRule="auto"/>
                    <w:ind w:firstLine="420" w:firstLineChars="200"/>
                    <w:jc w:val="left"/>
                    <w:rPr>
                      <w:color w:val="auto"/>
                      <w:sz w:val="21"/>
                      <w:szCs w:val="21"/>
                    </w:rPr>
                  </w:pPr>
                  <w:r>
                    <w:rPr>
                      <w:rFonts w:hint="eastAsia"/>
                      <w:color w:val="auto"/>
                      <w:sz w:val="21"/>
                      <w:szCs w:val="21"/>
                      <w:lang w:val="en-US" w:eastAsia="zh-CN"/>
                    </w:rPr>
                    <w:t>心电诊断中心：集中在现状门诊医技楼4层局部区域进行改造。</w:t>
                  </w:r>
                </w:p>
                <w:p w14:paraId="41F00871">
                  <w:pPr>
                    <w:snapToGrid w:val="0"/>
                    <w:spacing w:line="240" w:lineRule="auto"/>
                    <w:ind w:firstLine="420" w:firstLineChars="200"/>
                    <w:jc w:val="left"/>
                    <w:rPr>
                      <w:color w:val="auto"/>
                      <w:sz w:val="21"/>
                      <w:szCs w:val="21"/>
                    </w:rPr>
                  </w:pPr>
                  <w:r>
                    <w:rPr>
                      <w:rFonts w:hint="eastAsia"/>
                      <w:color w:val="auto"/>
                      <w:sz w:val="21"/>
                      <w:szCs w:val="21"/>
                      <w:lang w:val="en-US" w:eastAsia="zh-CN"/>
                    </w:rPr>
                    <w:t>医学检验中心：改造区域涉及现状门诊医技楼2层、3层，同时包含现状综合住院楼1层局部区域，通过跨楼层、跨建筑的空间整合。</w:t>
                  </w:r>
                </w:p>
                <w:p w14:paraId="39834C28">
                  <w:pPr>
                    <w:snapToGrid w:val="0"/>
                    <w:spacing w:line="240" w:lineRule="auto"/>
                    <w:ind w:firstLine="420" w:firstLineChars="200"/>
                    <w:jc w:val="left"/>
                    <w:rPr>
                      <w:color w:val="auto"/>
                      <w:sz w:val="21"/>
                      <w:szCs w:val="21"/>
                    </w:rPr>
                  </w:pPr>
                  <w:r>
                    <w:rPr>
                      <w:rFonts w:hint="eastAsia"/>
                      <w:color w:val="auto"/>
                      <w:sz w:val="21"/>
                      <w:szCs w:val="21"/>
                      <w:lang w:val="en-US" w:eastAsia="zh-CN"/>
                    </w:rPr>
                    <w:t>中心药房：改造范围明确为现状门诊医技楼1层局部区域、现状综合住院楼1层局部区域，以及现状住院部1层局部区域。</w:t>
                  </w:r>
                </w:p>
                <w:p w14:paraId="287C4CCD">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本次改造在原有建筑内进行，不新增建筑及占地。</w:t>
                  </w:r>
                </w:p>
              </w:tc>
              <w:tc>
                <w:tcPr>
                  <w:tcW w:w="296" w:type="pct"/>
                  <w:tcBorders>
                    <w:top w:val="single" w:color="auto" w:sz="4" w:space="0"/>
                    <w:left w:val="single" w:color="auto" w:sz="4" w:space="0"/>
                    <w:bottom w:val="single" w:color="auto" w:sz="4" w:space="0"/>
                    <w:right w:val="single" w:color="auto" w:sz="4" w:space="0"/>
                  </w:tcBorders>
                  <w:vAlign w:val="center"/>
                </w:tcPr>
                <w:p w14:paraId="5F343603">
                  <w:pPr>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改造</w:t>
                  </w:r>
                </w:p>
              </w:tc>
            </w:tr>
            <w:tr w14:paraId="40621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89" w:type="pct"/>
                  <w:vMerge w:val="continue"/>
                  <w:tcBorders>
                    <w:left w:val="single" w:color="auto" w:sz="4" w:space="0"/>
                    <w:right w:val="single" w:color="auto" w:sz="4" w:space="0"/>
                  </w:tcBorders>
                  <w:vAlign w:val="center"/>
                </w:tcPr>
                <w:p w14:paraId="7E74010B">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3A3532E6">
                  <w:pPr>
                    <w:snapToGrid w:val="0"/>
                    <w:spacing w:line="240" w:lineRule="auto"/>
                    <w:ind w:firstLine="0" w:firstLineChars="0"/>
                    <w:jc w:val="center"/>
                    <w:rPr>
                      <w:color w:val="auto"/>
                      <w:sz w:val="21"/>
                      <w:szCs w:val="21"/>
                    </w:rPr>
                  </w:pPr>
                  <w:r>
                    <w:rPr>
                      <w:color w:val="auto"/>
                      <w:sz w:val="21"/>
                      <w:szCs w:val="21"/>
                    </w:rPr>
                    <w:t>住院部</w:t>
                  </w:r>
                </w:p>
              </w:tc>
              <w:tc>
                <w:tcPr>
                  <w:tcW w:w="1758" w:type="pct"/>
                  <w:tcBorders>
                    <w:top w:val="single" w:color="auto" w:sz="4" w:space="0"/>
                    <w:left w:val="single" w:color="auto" w:sz="4" w:space="0"/>
                    <w:bottom w:val="single" w:color="auto" w:sz="4" w:space="0"/>
                    <w:right w:val="single" w:color="auto" w:sz="4" w:space="0"/>
                  </w:tcBorders>
                  <w:vAlign w:val="center"/>
                </w:tcPr>
                <w:p w14:paraId="6170EA66">
                  <w:pPr>
                    <w:snapToGrid w:val="0"/>
                    <w:spacing w:line="240" w:lineRule="auto"/>
                    <w:ind w:firstLine="420" w:firstLineChars="200"/>
                    <w:jc w:val="left"/>
                    <w:rPr>
                      <w:color w:val="auto"/>
                      <w:sz w:val="21"/>
                      <w:szCs w:val="21"/>
                    </w:rPr>
                  </w:pPr>
                  <w:r>
                    <w:rPr>
                      <w:color w:val="auto"/>
                      <w:sz w:val="21"/>
                      <w:szCs w:val="21"/>
                    </w:rPr>
                    <w:t>1栋9层，建筑面积为10616m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15923616">
                  <w:pPr>
                    <w:snapToGrid w:val="0"/>
                    <w:spacing w:line="240" w:lineRule="auto"/>
                    <w:ind w:firstLine="420" w:firstLineChars="200"/>
                    <w:jc w:val="left"/>
                    <w:rPr>
                      <w:color w:val="auto"/>
                      <w:sz w:val="21"/>
                      <w:szCs w:val="21"/>
                    </w:rPr>
                  </w:pPr>
                  <w:r>
                    <w:rPr>
                      <w:color w:val="auto"/>
                      <w:sz w:val="21"/>
                      <w:szCs w:val="21"/>
                    </w:rPr>
                    <w:t>/</w:t>
                  </w:r>
                </w:p>
              </w:tc>
              <w:tc>
                <w:tcPr>
                  <w:tcW w:w="296" w:type="pct"/>
                  <w:tcBorders>
                    <w:top w:val="single" w:color="auto" w:sz="4" w:space="0"/>
                    <w:left w:val="single" w:color="auto" w:sz="4" w:space="0"/>
                    <w:bottom w:val="single" w:color="auto" w:sz="4" w:space="0"/>
                    <w:right w:val="single" w:color="auto" w:sz="4" w:space="0"/>
                  </w:tcBorders>
                  <w:vAlign w:val="center"/>
                </w:tcPr>
                <w:p w14:paraId="41A433BB">
                  <w:pPr>
                    <w:snapToGrid w:val="0"/>
                    <w:spacing w:line="240" w:lineRule="auto"/>
                    <w:ind w:firstLine="0" w:firstLineChars="0"/>
                    <w:jc w:val="center"/>
                    <w:rPr>
                      <w:color w:val="auto"/>
                      <w:sz w:val="21"/>
                      <w:szCs w:val="21"/>
                    </w:rPr>
                  </w:pPr>
                  <w:r>
                    <w:rPr>
                      <w:color w:val="auto"/>
                      <w:sz w:val="21"/>
                      <w:szCs w:val="21"/>
                    </w:rPr>
                    <w:t>沿用</w:t>
                  </w:r>
                </w:p>
              </w:tc>
            </w:tr>
            <w:tr w14:paraId="49EAE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89" w:type="pct"/>
                  <w:vMerge w:val="continue"/>
                  <w:tcBorders>
                    <w:left w:val="single" w:color="auto" w:sz="4" w:space="0"/>
                    <w:right w:val="single" w:color="auto" w:sz="4" w:space="0"/>
                  </w:tcBorders>
                  <w:vAlign w:val="center"/>
                </w:tcPr>
                <w:p w14:paraId="75A558B6">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03C1A4FF">
                  <w:pPr>
                    <w:snapToGrid w:val="0"/>
                    <w:spacing w:line="240" w:lineRule="auto"/>
                    <w:ind w:firstLine="0" w:firstLineChars="0"/>
                    <w:jc w:val="center"/>
                    <w:rPr>
                      <w:color w:val="auto"/>
                      <w:sz w:val="21"/>
                      <w:szCs w:val="21"/>
                    </w:rPr>
                  </w:pPr>
                  <w:r>
                    <w:rPr>
                      <w:color w:val="auto"/>
                      <w:sz w:val="21"/>
                      <w:szCs w:val="21"/>
                    </w:rPr>
                    <w:t>感染科</w:t>
                  </w:r>
                </w:p>
              </w:tc>
              <w:tc>
                <w:tcPr>
                  <w:tcW w:w="1758" w:type="pct"/>
                  <w:tcBorders>
                    <w:top w:val="single" w:color="auto" w:sz="4" w:space="0"/>
                    <w:left w:val="single" w:color="auto" w:sz="4" w:space="0"/>
                    <w:bottom w:val="single" w:color="auto" w:sz="4" w:space="0"/>
                    <w:right w:val="single" w:color="auto" w:sz="4" w:space="0"/>
                  </w:tcBorders>
                  <w:vAlign w:val="center"/>
                </w:tcPr>
                <w:p w14:paraId="375E98BD">
                  <w:pPr>
                    <w:snapToGrid w:val="0"/>
                    <w:spacing w:line="240" w:lineRule="auto"/>
                    <w:ind w:firstLine="420" w:firstLineChars="200"/>
                    <w:jc w:val="left"/>
                    <w:rPr>
                      <w:color w:val="auto"/>
                      <w:sz w:val="21"/>
                      <w:szCs w:val="21"/>
                    </w:rPr>
                  </w:pPr>
                  <w:r>
                    <w:rPr>
                      <w:color w:val="auto"/>
                      <w:sz w:val="21"/>
                      <w:szCs w:val="21"/>
                    </w:rPr>
                    <w:t>1栋2层，建筑面积为1963.3m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50F3088B">
                  <w:pPr>
                    <w:snapToGrid w:val="0"/>
                    <w:spacing w:line="240" w:lineRule="auto"/>
                    <w:ind w:firstLine="420" w:firstLineChars="200"/>
                    <w:jc w:val="left"/>
                    <w:rPr>
                      <w:color w:val="auto"/>
                      <w:sz w:val="21"/>
                      <w:szCs w:val="21"/>
                    </w:rPr>
                  </w:pPr>
                  <w:r>
                    <w:rPr>
                      <w:color w:val="auto"/>
                      <w:sz w:val="21"/>
                      <w:szCs w:val="21"/>
                    </w:rPr>
                    <w:t>/</w:t>
                  </w:r>
                </w:p>
              </w:tc>
              <w:tc>
                <w:tcPr>
                  <w:tcW w:w="296" w:type="pct"/>
                  <w:tcBorders>
                    <w:top w:val="single" w:color="auto" w:sz="4" w:space="0"/>
                    <w:left w:val="single" w:color="auto" w:sz="4" w:space="0"/>
                    <w:bottom w:val="single" w:color="auto" w:sz="4" w:space="0"/>
                    <w:right w:val="single" w:color="auto" w:sz="4" w:space="0"/>
                  </w:tcBorders>
                  <w:vAlign w:val="center"/>
                </w:tcPr>
                <w:p w14:paraId="5509981C">
                  <w:pPr>
                    <w:snapToGrid w:val="0"/>
                    <w:spacing w:line="240" w:lineRule="auto"/>
                    <w:ind w:firstLine="0" w:firstLineChars="0"/>
                    <w:jc w:val="center"/>
                    <w:rPr>
                      <w:color w:val="auto"/>
                      <w:sz w:val="21"/>
                      <w:szCs w:val="21"/>
                    </w:rPr>
                  </w:pPr>
                  <w:r>
                    <w:rPr>
                      <w:color w:val="auto"/>
                      <w:sz w:val="21"/>
                      <w:szCs w:val="21"/>
                    </w:rPr>
                    <w:t>沿用</w:t>
                  </w:r>
                </w:p>
              </w:tc>
            </w:tr>
            <w:tr w14:paraId="04334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89" w:type="pct"/>
                  <w:vMerge w:val="continue"/>
                  <w:tcBorders>
                    <w:left w:val="single" w:color="auto" w:sz="4" w:space="0"/>
                    <w:right w:val="single" w:color="auto" w:sz="4" w:space="0"/>
                  </w:tcBorders>
                  <w:vAlign w:val="center"/>
                </w:tcPr>
                <w:p w14:paraId="3F7B2C9C">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67369C68">
                  <w:pPr>
                    <w:snapToGrid w:val="0"/>
                    <w:spacing w:line="240" w:lineRule="auto"/>
                    <w:ind w:firstLine="0" w:firstLineChars="0"/>
                    <w:jc w:val="center"/>
                    <w:rPr>
                      <w:color w:val="auto"/>
                      <w:sz w:val="21"/>
                      <w:szCs w:val="21"/>
                    </w:rPr>
                  </w:pPr>
                  <w:r>
                    <w:rPr>
                      <w:color w:val="auto"/>
                      <w:sz w:val="21"/>
                      <w:szCs w:val="21"/>
                    </w:rPr>
                    <w:t>急救中心</w:t>
                  </w:r>
                </w:p>
              </w:tc>
              <w:tc>
                <w:tcPr>
                  <w:tcW w:w="1758" w:type="pct"/>
                  <w:tcBorders>
                    <w:top w:val="single" w:color="auto" w:sz="4" w:space="0"/>
                    <w:left w:val="single" w:color="auto" w:sz="4" w:space="0"/>
                    <w:bottom w:val="single" w:color="auto" w:sz="4" w:space="0"/>
                    <w:right w:val="single" w:color="auto" w:sz="4" w:space="0"/>
                  </w:tcBorders>
                  <w:vAlign w:val="center"/>
                </w:tcPr>
                <w:p w14:paraId="3A1699AD">
                  <w:pPr>
                    <w:snapToGrid w:val="0"/>
                    <w:spacing w:line="240" w:lineRule="auto"/>
                    <w:ind w:firstLine="420" w:firstLineChars="200"/>
                    <w:jc w:val="left"/>
                    <w:rPr>
                      <w:color w:val="auto"/>
                      <w:sz w:val="21"/>
                      <w:szCs w:val="21"/>
                    </w:rPr>
                  </w:pPr>
                  <w:r>
                    <w:rPr>
                      <w:color w:val="auto"/>
                      <w:sz w:val="21"/>
                      <w:szCs w:val="21"/>
                    </w:rPr>
                    <w:t>1栋2层，建筑面积为425m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7BF74C74">
                  <w:pPr>
                    <w:snapToGrid w:val="0"/>
                    <w:spacing w:line="240" w:lineRule="auto"/>
                    <w:ind w:firstLine="420" w:firstLineChars="200"/>
                    <w:jc w:val="left"/>
                    <w:rPr>
                      <w:color w:val="auto"/>
                      <w:sz w:val="21"/>
                      <w:szCs w:val="21"/>
                    </w:rPr>
                  </w:pPr>
                  <w:r>
                    <w:rPr>
                      <w:color w:val="auto"/>
                      <w:sz w:val="21"/>
                      <w:szCs w:val="21"/>
                    </w:rPr>
                    <w:t>/</w:t>
                  </w:r>
                </w:p>
              </w:tc>
              <w:tc>
                <w:tcPr>
                  <w:tcW w:w="296" w:type="pct"/>
                  <w:tcBorders>
                    <w:top w:val="single" w:color="auto" w:sz="4" w:space="0"/>
                    <w:left w:val="single" w:color="auto" w:sz="4" w:space="0"/>
                    <w:bottom w:val="single" w:color="auto" w:sz="4" w:space="0"/>
                    <w:right w:val="single" w:color="auto" w:sz="4" w:space="0"/>
                  </w:tcBorders>
                  <w:vAlign w:val="center"/>
                </w:tcPr>
                <w:p w14:paraId="76C6560F">
                  <w:pPr>
                    <w:snapToGrid w:val="0"/>
                    <w:spacing w:line="240" w:lineRule="auto"/>
                    <w:ind w:firstLine="0" w:firstLineChars="0"/>
                    <w:jc w:val="center"/>
                    <w:rPr>
                      <w:color w:val="auto"/>
                      <w:sz w:val="21"/>
                      <w:szCs w:val="21"/>
                    </w:rPr>
                  </w:pPr>
                  <w:r>
                    <w:rPr>
                      <w:color w:val="auto"/>
                      <w:sz w:val="21"/>
                      <w:szCs w:val="21"/>
                    </w:rPr>
                    <w:t>沿用</w:t>
                  </w:r>
                </w:p>
              </w:tc>
            </w:tr>
            <w:tr w14:paraId="720E8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89" w:type="pct"/>
                  <w:vMerge w:val="continue"/>
                  <w:tcBorders>
                    <w:left w:val="single" w:color="auto" w:sz="4" w:space="0"/>
                    <w:right w:val="single" w:color="auto" w:sz="4" w:space="0"/>
                  </w:tcBorders>
                  <w:vAlign w:val="center"/>
                </w:tcPr>
                <w:p w14:paraId="1C3AD0C1">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364DE5C0">
                  <w:pPr>
                    <w:snapToGrid w:val="0"/>
                    <w:spacing w:line="240" w:lineRule="auto"/>
                    <w:ind w:firstLine="0" w:firstLineChars="0"/>
                    <w:jc w:val="center"/>
                    <w:rPr>
                      <w:color w:val="auto"/>
                      <w:sz w:val="21"/>
                      <w:szCs w:val="21"/>
                    </w:rPr>
                  </w:pPr>
                  <w:r>
                    <w:rPr>
                      <w:color w:val="auto"/>
                      <w:sz w:val="21"/>
                      <w:szCs w:val="21"/>
                    </w:rPr>
                    <w:t>新建综合住院楼</w:t>
                  </w:r>
                </w:p>
              </w:tc>
              <w:tc>
                <w:tcPr>
                  <w:tcW w:w="1758" w:type="pct"/>
                  <w:tcBorders>
                    <w:top w:val="single" w:color="auto" w:sz="4" w:space="0"/>
                    <w:left w:val="single" w:color="auto" w:sz="4" w:space="0"/>
                    <w:bottom w:val="single" w:color="auto" w:sz="4" w:space="0"/>
                    <w:right w:val="single" w:color="auto" w:sz="4" w:space="0"/>
                  </w:tcBorders>
                  <w:vAlign w:val="center"/>
                </w:tcPr>
                <w:p w14:paraId="2005B3ED">
                  <w:pPr>
                    <w:snapToGrid w:val="0"/>
                    <w:spacing w:line="240" w:lineRule="auto"/>
                    <w:ind w:firstLine="420" w:firstLineChars="200"/>
                    <w:jc w:val="left"/>
                    <w:rPr>
                      <w:color w:val="auto"/>
                      <w:sz w:val="21"/>
                      <w:szCs w:val="21"/>
                    </w:rPr>
                  </w:pPr>
                  <w:r>
                    <w:rPr>
                      <w:color w:val="auto"/>
                      <w:sz w:val="21"/>
                      <w:szCs w:val="21"/>
                    </w:rPr>
                    <w:t>地上7层（隔震层1层），建筑总高度31.65m，建筑面积为13555.68m</w:t>
                  </w:r>
                  <w:r>
                    <w:rPr>
                      <w:color w:val="auto"/>
                      <w:sz w:val="21"/>
                      <w:szCs w:val="21"/>
                      <w:vertAlign w:val="superscript"/>
                    </w:rPr>
                    <w:t>2</w:t>
                  </w:r>
                  <w:r>
                    <w:rPr>
                      <w:color w:val="auto"/>
                      <w:sz w:val="21"/>
                      <w:szCs w:val="21"/>
                    </w:rPr>
                    <w:t>结构形式为钢筋混凝土框架结构（具体设置为一层：急诊；二层：手术麻醉科；三层：重症医学科；四层：胸外科五层：骨科六层：肝胆外科；七楼：神经外科。</w:t>
                  </w:r>
                  <w:r>
                    <w:rPr>
                      <w:rFonts w:hint="eastAsia"/>
                      <w:color w:val="auto"/>
                      <w:sz w:val="21"/>
                      <w:szCs w:val="21"/>
                    </w:rPr>
                    <w:t>其中手术室：共8间（注：大手术2间中手术室4间，小手术室1间，感染手术室1间）</w:t>
                  </w:r>
                  <w:r>
                    <w:rPr>
                      <w:color w:val="auto"/>
                      <w:sz w:val="21"/>
                      <w:szCs w:val="21"/>
                    </w:rPr>
                    <w:t>）</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73857E8B">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3FF32FE">
                  <w:pPr>
                    <w:snapToGrid w:val="0"/>
                    <w:spacing w:line="240" w:lineRule="auto"/>
                    <w:ind w:firstLine="0" w:firstLineChars="0"/>
                    <w:jc w:val="center"/>
                    <w:rPr>
                      <w:color w:val="auto"/>
                      <w:sz w:val="21"/>
                      <w:szCs w:val="21"/>
                    </w:rPr>
                  </w:pPr>
                  <w:r>
                    <w:rPr>
                      <w:color w:val="auto"/>
                      <w:sz w:val="21"/>
                      <w:szCs w:val="21"/>
                    </w:rPr>
                    <w:t>沿用</w:t>
                  </w:r>
                </w:p>
              </w:tc>
            </w:tr>
            <w:tr w14:paraId="17BD5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89" w:type="pct"/>
                  <w:vMerge w:val="continue"/>
                  <w:tcBorders>
                    <w:left w:val="single" w:color="auto" w:sz="4" w:space="0"/>
                    <w:right w:val="single" w:color="auto" w:sz="4" w:space="0"/>
                  </w:tcBorders>
                  <w:vAlign w:val="center"/>
                </w:tcPr>
                <w:p w14:paraId="0D0FCA1C">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05C39791">
                  <w:pPr>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消毒中心</w:t>
                  </w:r>
                </w:p>
              </w:tc>
              <w:tc>
                <w:tcPr>
                  <w:tcW w:w="1758" w:type="pct"/>
                  <w:tcBorders>
                    <w:top w:val="single" w:color="auto" w:sz="4" w:space="0"/>
                    <w:left w:val="single" w:color="auto" w:sz="4" w:space="0"/>
                    <w:bottom w:val="single" w:color="auto" w:sz="4" w:space="0"/>
                    <w:right w:val="single" w:color="auto" w:sz="4" w:space="0"/>
                  </w:tcBorders>
                  <w:vAlign w:val="center"/>
                </w:tcPr>
                <w:p w14:paraId="2D3F764A">
                  <w:pPr>
                    <w:snapToGrid w:val="0"/>
                    <w:spacing w:line="240" w:lineRule="auto"/>
                    <w:ind w:firstLine="420" w:firstLineChars="200"/>
                    <w:jc w:val="left"/>
                    <w:rPr>
                      <w:rFonts w:hint="eastAsia" w:eastAsia="宋体"/>
                      <w:color w:val="auto"/>
                      <w:sz w:val="21"/>
                      <w:szCs w:val="21"/>
                      <w:lang w:val="en-US" w:eastAsia="zh-CN"/>
                    </w:rPr>
                  </w:pPr>
                  <w:r>
                    <w:rPr>
                      <w:rFonts w:hint="eastAsia"/>
                      <w:color w:val="auto"/>
                      <w:sz w:val="21"/>
                      <w:szCs w:val="21"/>
                      <w:lang w:val="en-US"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6C0CAB0B">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位于现状门诊医技楼北侧，新建总建筑面积576㎡，共上下两层，总高8.4米（室外地坪至屋顶完成面）一层：污物接收大厅、洁物发放大厅，污洗区、打包区；二层：打包区、洁净库房</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9B4C04F">
                  <w:pPr>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新建</w:t>
                  </w:r>
                </w:p>
              </w:tc>
            </w:tr>
            <w:tr w14:paraId="59632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7737AFBC">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2E634EED">
                  <w:pPr>
                    <w:snapToGrid w:val="0"/>
                    <w:spacing w:line="240" w:lineRule="auto"/>
                    <w:ind w:firstLine="0" w:firstLineChars="0"/>
                    <w:jc w:val="center"/>
                    <w:rPr>
                      <w:color w:val="auto"/>
                      <w:sz w:val="21"/>
                      <w:szCs w:val="21"/>
                    </w:rPr>
                  </w:pPr>
                  <w:r>
                    <w:rPr>
                      <w:color w:val="auto"/>
                      <w:sz w:val="21"/>
                      <w:szCs w:val="21"/>
                    </w:rPr>
                    <w:t>食堂</w:t>
                  </w:r>
                </w:p>
              </w:tc>
              <w:tc>
                <w:tcPr>
                  <w:tcW w:w="1758" w:type="pct"/>
                  <w:tcBorders>
                    <w:top w:val="single" w:color="auto" w:sz="4" w:space="0"/>
                    <w:left w:val="single" w:color="auto" w:sz="4" w:space="0"/>
                    <w:bottom w:val="single" w:color="auto" w:sz="4" w:space="0"/>
                    <w:right w:val="single" w:color="auto" w:sz="4" w:space="0"/>
                  </w:tcBorders>
                  <w:vAlign w:val="center"/>
                </w:tcPr>
                <w:p w14:paraId="7E49AA24">
                  <w:pPr>
                    <w:snapToGrid w:val="0"/>
                    <w:spacing w:line="240" w:lineRule="auto"/>
                    <w:ind w:firstLine="420" w:firstLineChars="200"/>
                    <w:jc w:val="left"/>
                    <w:rPr>
                      <w:color w:val="auto"/>
                      <w:sz w:val="21"/>
                      <w:szCs w:val="21"/>
                    </w:rPr>
                  </w:pPr>
                  <w:r>
                    <w:rPr>
                      <w:color w:val="auto"/>
                      <w:sz w:val="21"/>
                      <w:szCs w:val="21"/>
                    </w:rPr>
                    <w:t>1栋1层，建筑面积为200m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5A5E8754">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3A650DA7">
                  <w:pPr>
                    <w:snapToGrid w:val="0"/>
                    <w:spacing w:line="240" w:lineRule="auto"/>
                    <w:ind w:firstLine="0" w:firstLineChars="0"/>
                    <w:jc w:val="center"/>
                    <w:rPr>
                      <w:color w:val="auto"/>
                      <w:sz w:val="21"/>
                      <w:szCs w:val="21"/>
                    </w:rPr>
                  </w:pPr>
                  <w:r>
                    <w:rPr>
                      <w:color w:val="auto"/>
                      <w:sz w:val="21"/>
                      <w:szCs w:val="21"/>
                    </w:rPr>
                    <w:t>沿用</w:t>
                  </w:r>
                </w:p>
              </w:tc>
            </w:tr>
            <w:tr w14:paraId="133D9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3C642388">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69F7543A">
                  <w:pPr>
                    <w:snapToGrid w:val="0"/>
                    <w:spacing w:line="240" w:lineRule="auto"/>
                    <w:ind w:firstLine="0" w:firstLineChars="0"/>
                    <w:jc w:val="center"/>
                    <w:rPr>
                      <w:color w:val="auto"/>
                      <w:sz w:val="21"/>
                      <w:szCs w:val="21"/>
                    </w:rPr>
                  </w:pPr>
                  <w:r>
                    <w:rPr>
                      <w:color w:val="auto"/>
                      <w:sz w:val="21"/>
                      <w:szCs w:val="21"/>
                    </w:rPr>
                    <w:t>配电房</w:t>
                  </w:r>
                </w:p>
              </w:tc>
              <w:tc>
                <w:tcPr>
                  <w:tcW w:w="1758" w:type="pct"/>
                  <w:tcBorders>
                    <w:top w:val="single" w:color="auto" w:sz="4" w:space="0"/>
                    <w:left w:val="single" w:color="auto" w:sz="4" w:space="0"/>
                    <w:bottom w:val="single" w:color="auto" w:sz="4" w:space="0"/>
                    <w:right w:val="single" w:color="auto" w:sz="4" w:space="0"/>
                  </w:tcBorders>
                  <w:vAlign w:val="center"/>
                </w:tcPr>
                <w:p w14:paraId="075C243C">
                  <w:pPr>
                    <w:snapToGrid w:val="0"/>
                    <w:spacing w:line="240" w:lineRule="auto"/>
                    <w:ind w:firstLine="420" w:firstLineChars="200"/>
                    <w:jc w:val="left"/>
                    <w:rPr>
                      <w:color w:val="auto"/>
                      <w:sz w:val="21"/>
                      <w:szCs w:val="21"/>
                    </w:rPr>
                  </w:pPr>
                  <w:r>
                    <w:rPr>
                      <w:color w:val="auto"/>
                      <w:sz w:val="21"/>
                      <w:szCs w:val="21"/>
                    </w:rPr>
                    <w:t>建筑面积192m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66F39736">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7C7C6041">
                  <w:pPr>
                    <w:snapToGrid w:val="0"/>
                    <w:spacing w:line="240" w:lineRule="auto"/>
                    <w:ind w:firstLine="0" w:firstLineChars="0"/>
                    <w:jc w:val="center"/>
                    <w:rPr>
                      <w:color w:val="auto"/>
                      <w:sz w:val="21"/>
                      <w:szCs w:val="21"/>
                    </w:rPr>
                  </w:pPr>
                  <w:r>
                    <w:rPr>
                      <w:color w:val="auto"/>
                      <w:sz w:val="21"/>
                      <w:szCs w:val="21"/>
                    </w:rPr>
                    <w:t>沿用</w:t>
                  </w:r>
                </w:p>
              </w:tc>
            </w:tr>
            <w:tr w14:paraId="4B462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7864A100">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595DDF3F">
                  <w:pPr>
                    <w:snapToGrid w:val="0"/>
                    <w:spacing w:line="240" w:lineRule="auto"/>
                    <w:ind w:firstLine="0" w:firstLineChars="0"/>
                    <w:jc w:val="center"/>
                    <w:rPr>
                      <w:color w:val="auto"/>
                      <w:sz w:val="21"/>
                      <w:szCs w:val="21"/>
                    </w:rPr>
                  </w:pPr>
                  <w:r>
                    <w:rPr>
                      <w:color w:val="auto"/>
                      <w:sz w:val="21"/>
                      <w:szCs w:val="21"/>
                    </w:rPr>
                    <w:t>廉租房</w:t>
                  </w:r>
                </w:p>
              </w:tc>
              <w:tc>
                <w:tcPr>
                  <w:tcW w:w="1758" w:type="pct"/>
                  <w:tcBorders>
                    <w:top w:val="single" w:color="auto" w:sz="4" w:space="0"/>
                    <w:left w:val="single" w:color="auto" w:sz="4" w:space="0"/>
                    <w:bottom w:val="single" w:color="auto" w:sz="4" w:space="0"/>
                    <w:right w:val="single" w:color="auto" w:sz="4" w:space="0"/>
                  </w:tcBorders>
                  <w:vAlign w:val="center"/>
                </w:tcPr>
                <w:p w14:paraId="146CD6D1">
                  <w:pPr>
                    <w:snapToGrid w:val="0"/>
                    <w:spacing w:line="240" w:lineRule="auto"/>
                    <w:ind w:firstLine="420" w:firstLineChars="200"/>
                    <w:jc w:val="left"/>
                    <w:rPr>
                      <w:color w:val="auto"/>
                      <w:sz w:val="21"/>
                      <w:szCs w:val="21"/>
                    </w:rPr>
                  </w:pPr>
                  <w:r>
                    <w:rPr>
                      <w:color w:val="auto"/>
                      <w:sz w:val="21"/>
                      <w:szCs w:val="21"/>
                    </w:rPr>
                    <w:t>2栋6层，建筑面积为5063.44m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08A876AE">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28FACF5C">
                  <w:pPr>
                    <w:snapToGrid w:val="0"/>
                    <w:spacing w:line="240" w:lineRule="auto"/>
                    <w:ind w:firstLine="0" w:firstLineChars="0"/>
                    <w:jc w:val="center"/>
                    <w:rPr>
                      <w:color w:val="auto"/>
                      <w:sz w:val="21"/>
                      <w:szCs w:val="21"/>
                    </w:rPr>
                  </w:pPr>
                  <w:r>
                    <w:rPr>
                      <w:color w:val="auto"/>
                      <w:sz w:val="21"/>
                      <w:szCs w:val="21"/>
                    </w:rPr>
                    <w:t>沿用</w:t>
                  </w:r>
                </w:p>
              </w:tc>
            </w:tr>
            <w:tr w14:paraId="164AF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5EF457F6">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495F38B6">
                  <w:pPr>
                    <w:snapToGrid w:val="0"/>
                    <w:spacing w:line="240" w:lineRule="auto"/>
                    <w:ind w:firstLine="0" w:firstLineChars="0"/>
                    <w:jc w:val="center"/>
                    <w:rPr>
                      <w:color w:val="auto"/>
                      <w:sz w:val="21"/>
                      <w:szCs w:val="21"/>
                    </w:rPr>
                  </w:pPr>
                  <w:r>
                    <w:rPr>
                      <w:color w:val="auto"/>
                      <w:sz w:val="21"/>
                      <w:szCs w:val="21"/>
                    </w:rPr>
                    <w:t>宿舍</w:t>
                  </w:r>
                </w:p>
              </w:tc>
              <w:tc>
                <w:tcPr>
                  <w:tcW w:w="1758" w:type="pct"/>
                  <w:tcBorders>
                    <w:top w:val="single" w:color="auto" w:sz="4" w:space="0"/>
                    <w:left w:val="single" w:color="auto" w:sz="4" w:space="0"/>
                    <w:bottom w:val="single" w:color="auto" w:sz="4" w:space="0"/>
                    <w:right w:val="single" w:color="auto" w:sz="4" w:space="0"/>
                  </w:tcBorders>
                  <w:vAlign w:val="center"/>
                </w:tcPr>
                <w:p w14:paraId="2B42582A">
                  <w:pPr>
                    <w:snapToGrid w:val="0"/>
                    <w:spacing w:line="240" w:lineRule="auto"/>
                    <w:ind w:firstLine="420" w:firstLineChars="200"/>
                    <w:jc w:val="left"/>
                    <w:rPr>
                      <w:color w:val="auto"/>
                      <w:sz w:val="21"/>
                      <w:szCs w:val="21"/>
                    </w:rPr>
                  </w:pPr>
                  <w:r>
                    <w:rPr>
                      <w:color w:val="auto"/>
                      <w:sz w:val="21"/>
                      <w:szCs w:val="21"/>
                    </w:rPr>
                    <w:t>2栋4层，建筑面积为4600.10m</w:t>
                  </w:r>
                  <w:r>
                    <w:rPr>
                      <w:color w:val="auto"/>
                      <w:sz w:val="21"/>
                      <w:szCs w:val="21"/>
                      <w:vertAlign w:val="superscript"/>
                    </w:rPr>
                    <w:t>2</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7AB76E50">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41642CE7">
                  <w:pPr>
                    <w:snapToGrid w:val="0"/>
                    <w:spacing w:line="240" w:lineRule="auto"/>
                    <w:ind w:firstLine="0" w:firstLineChars="0"/>
                    <w:jc w:val="center"/>
                    <w:rPr>
                      <w:color w:val="auto"/>
                      <w:sz w:val="21"/>
                      <w:szCs w:val="21"/>
                    </w:rPr>
                  </w:pPr>
                  <w:r>
                    <w:rPr>
                      <w:color w:val="auto"/>
                      <w:sz w:val="21"/>
                      <w:szCs w:val="21"/>
                    </w:rPr>
                    <w:t>沿用</w:t>
                  </w:r>
                </w:p>
              </w:tc>
            </w:tr>
            <w:tr w14:paraId="06C91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66C1C1BC">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55739B46">
                  <w:pPr>
                    <w:snapToGrid w:val="0"/>
                    <w:spacing w:line="240" w:lineRule="auto"/>
                    <w:ind w:firstLine="0" w:firstLineChars="0"/>
                    <w:jc w:val="center"/>
                    <w:rPr>
                      <w:color w:val="auto"/>
                      <w:sz w:val="21"/>
                      <w:szCs w:val="21"/>
                    </w:rPr>
                  </w:pPr>
                  <w:r>
                    <w:rPr>
                      <w:color w:val="auto"/>
                      <w:sz w:val="21"/>
                      <w:szCs w:val="21"/>
                    </w:rPr>
                    <w:t>柴油发电机房</w:t>
                  </w:r>
                </w:p>
              </w:tc>
              <w:tc>
                <w:tcPr>
                  <w:tcW w:w="1758" w:type="pct"/>
                  <w:tcBorders>
                    <w:top w:val="single" w:color="auto" w:sz="4" w:space="0"/>
                    <w:left w:val="single" w:color="auto" w:sz="4" w:space="0"/>
                    <w:bottom w:val="single" w:color="auto" w:sz="4" w:space="0"/>
                    <w:right w:val="single" w:color="auto" w:sz="4" w:space="0"/>
                  </w:tcBorders>
                  <w:vAlign w:val="center"/>
                </w:tcPr>
                <w:p w14:paraId="75279486">
                  <w:pPr>
                    <w:snapToGrid w:val="0"/>
                    <w:spacing w:line="240" w:lineRule="auto"/>
                    <w:ind w:firstLine="420" w:firstLineChars="200"/>
                    <w:jc w:val="left"/>
                    <w:rPr>
                      <w:color w:val="auto"/>
                      <w:sz w:val="21"/>
                      <w:szCs w:val="21"/>
                    </w:rPr>
                  </w:pPr>
                  <w:r>
                    <w:rPr>
                      <w:color w:val="auto"/>
                      <w:sz w:val="21"/>
                      <w:szCs w:val="21"/>
                    </w:rPr>
                    <w:t>地上1层，建筑面积为60.32㎡，720KW</w:t>
                  </w:r>
                  <w:r>
                    <w:rPr>
                      <w:rFonts w:hint="eastAsia"/>
                      <w:color w:val="auto"/>
                      <w:sz w:val="21"/>
                      <w:szCs w:val="21"/>
                    </w:rPr>
                    <w:t>，</w:t>
                  </w:r>
                  <w:r>
                    <w:rPr>
                      <w:color w:val="auto"/>
                      <w:sz w:val="21"/>
                      <w:szCs w:val="21"/>
                    </w:rPr>
                    <w:t>建筑总高度5.4m，结构形式为钢筋混凝土框架结构</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1629923C">
                  <w:pPr>
                    <w:snapToGrid w:val="0"/>
                    <w:spacing w:line="240" w:lineRule="auto"/>
                    <w:ind w:firstLine="420" w:firstLineChars="200"/>
                    <w:jc w:val="left"/>
                    <w:rPr>
                      <w:rFonts w:hint="eastAsia" w:eastAsia="宋体"/>
                      <w:color w:val="auto"/>
                      <w:sz w:val="21"/>
                      <w:szCs w:val="21"/>
                      <w:lang w:eastAsia="zh-CN"/>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3A8F5835">
                  <w:pPr>
                    <w:snapToGrid w:val="0"/>
                    <w:spacing w:line="240" w:lineRule="auto"/>
                    <w:ind w:firstLine="0" w:firstLineChars="0"/>
                    <w:jc w:val="center"/>
                    <w:rPr>
                      <w:color w:val="auto"/>
                      <w:sz w:val="21"/>
                      <w:szCs w:val="21"/>
                    </w:rPr>
                  </w:pPr>
                  <w:r>
                    <w:rPr>
                      <w:color w:val="auto"/>
                      <w:sz w:val="21"/>
                      <w:szCs w:val="21"/>
                    </w:rPr>
                    <w:t>沿用</w:t>
                  </w:r>
                </w:p>
              </w:tc>
            </w:tr>
            <w:tr w14:paraId="2B0E8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1F2A52A8">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066FDE65">
                  <w:pPr>
                    <w:snapToGrid w:val="0"/>
                    <w:spacing w:line="240" w:lineRule="auto"/>
                    <w:ind w:firstLine="0" w:firstLineChars="0"/>
                    <w:jc w:val="center"/>
                    <w:rPr>
                      <w:color w:val="auto"/>
                      <w:sz w:val="21"/>
                      <w:szCs w:val="21"/>
                    </w:rPr>
                  </w:pPr>
                  <w:r>
                    <w:rPr>
                      <w:color w:val="auto"/>
                      <w:sz w:val="21"/>
                      <w:szCs w:val="21"/>
                    </w:rPr>
                    <w:t>水泵房、消防水池</w:t>
                  </w:r>
                </w:p>
              </w:tc>
              <w:tc>
                <w:tcPr>
                  <w:tcW w:w="1758" w:type="pct"/>
                  <w:tcBorders>
                    <w:top w:val="single" w:color="auto" w:sz="4" w:space="0"/>
                    <w:left w:val="single" w:color="auto" w:sz="4" w:space="0"/>
                    <w:bottom w:val="single" w:color="auto" w:sz="4" w:space="0"/>
                    <w:right w:val="single" w:color="auto" w:sz="4" w:space="0"/>
                  </w:tcBorders>
                  <w:vAlign w:val="center"/>
                </w:tcPr>
                <w:p w14:paraId="04F12B0F">
                  <w:pPr>
                    <w:snapToGrid w:val="0"/>
                    <w:spacing w:line="240" w:lineRule="auto"/>
                    <w:ind w:firstLine="420" w:firstLineChars="200"/>
                    <w:jc w:val="left"/>
                    <w:rPr>
                      <w:color w:val="auto"/>
                      <w:sz w:val="21"/>
                      <w:szCs w:val="21"/>
                    </w:rPr>
                  </w:pPr>
                  <w:r>
                    <w:rPr>
                      <w:color w:val="auto"/>
                      <w:sz w:val="21"/>
                      <w:szCs w:val="21"/>
                    </w:rPr>
                    <w:t>地下1层，地上1层，建筑面积为400.13㎡，建筑总高度3.0m，结构形式为地上钢筋混凝土框架结构</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165AA40B">
                  <w:pPr>
                    <w:snapToGrid w:val="0"/>
                    <w:spacing w:line="240" w:lineRule="auto"/>
                    <w:ind w:firstLine="420" w:firstLineChars="200"/>
                    <w:jc w:val="left"/>
                    <w:rPr>
                      <w:rFonts w:hint="eastAsia" w:eastAsia="宋体"/>
                      <w:color w:val="auto"/>
                      <w:sz w:val="21"/>
                      <w:szCs w:val="21"/>
                      <w:lang w:eastAsia="zh-CN"/>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299C1031">
                  <w:pPr>
                    <w:snapToGrid w:val="0"/>
                    <w:spacing w:line="240" w:lineRule="auto"/>
                    <w:ind w:firstLine="0" w:firstLineChars="0"/>
                    <w:jc w:val="center"/>
                    <w:rPr>
                      <w:color w:val="auto"/>
                      <w:sz w:val="21"/>
                      <w:szCs w:val="21"/>
                    </w:rPr>
                  </w:pPr>
                  <w:r>
                    <w:rPr>
                      <w:color w:val="auto"/>
                      <w:sz w:val="21"/>
                      <w:szCs w:val="21"/>
                    </w:rPr>
                    <w:t>沿用</w:t>
                  </w:r>
                </w:p>
              </w:tc>
            </w:tr>
            <w:tr w14:paraId="35D5E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restart"/>
                  <w:tcBorders>
                    <w:top w:val="single" w:color="auto" w:sz="4" w:space="0"/>
                    <w:left w:val="single" w:color="auto" w:sz="4" w:space="0"/>
                    <w:bottom w:val="single" w:color="auto" w:sz="4" w:space="0"/>
                    <w:right w:val="single" w:color="auto" w:sz="4" w:space="0"/>
                  </w:tcBorders>
                  <w:vAlign w:val="center"/>
                </w:tcPr>
                <w:p w14:paraId="628F7D7A">
                  <w:pPr>
                    <w:snapToGrid w:val="0"/>
                    <w:spacing w:line="240" w:lineRule="auto"/>
                    <w:ind w:firstLine="0" w:firstLineChars="0"/>
                    <w:jc w:val="center"/>
                    <w:rPr>
                      <w:color w:val="auto"/>
                      <w:sz w:val="21"/>
                      <w:szCs w:val="21"/>
                    </w:rPr>
                  </w:pPr>
                  <w:r>
                    <w:rPr>
                      <w:color w:val="auto"/>
                      <w:sz w:val="21"/>
                      <w:szCs w:val="21"/>
                    </w:rPr>
                    <w:t>公用工程</w:t>
                  </w:r>
                </w:p>
              </w:tc>
              <w:tc>
                <w:tcPr>
                  <w:tcW w:w="626" w:type="pct"/>
                  <w:vMerge w:val="restart"/>
                  <w:tcBorders>
                    <w:top w:val="single" w:color="auto" w:sz="4" w:space="0"/>
                    <w:left w:val="single" w:color="auto" w:sz="4" w:space="0"/>
                    <w:right w:val="single" w:color="auto" w:sz="4" w:space="0"/>
                  </w:tcBorders>
                  <w:vAlign w:val="center"/>
                </w:tcPr>
                <w:p w14:paraId="2A9B68F3">
                  <w:pPr>
                    <w:snapToGrid w:val="0"/>
                    <w:spacing w:line="240" w:lineRule="auto"/>
                    <w:ind w:firstLine="0" w:firstLineChars="0"/>
                    <w:jc w:val="center"/>
                    <w:rPr>
                      <w:color w:val="auto"/>
                      <w:sz w:val="21"/>
                      <w:szCs w:val="21"/>
                    </w:rPr>
                  </w:pPr>
                  <w:r>
                    <w:rPr>
                      <w:color w:val="auto"/>
                      <w:sz w:val="21"/>
                      <w:szCs w:val="21"/>
                    </w:rPr>
                    <w:t>给水</w:t>
                  </w:r>
                </w:p>
              </w:tc>
              <w:tc>
                <w:tcPr>
                  <w:tcW w:w="1758" w:type="pct"/>
                  <w:tcBorders>
                    <w:top w:val="single" w:color="auto" w:sz="4" w:space="0"/>
                    <w:left w:val="single" w:color="auto" w:sz="4" w:space="0"/>
                    <w:bottom w:val="single" w:color="auto" w:sz="4" w:space="0"/>
                    <w:right w:val="single" w:color="auto" w:sz="4" w:space="0"/>
                  </w:tcBorders>
                  <w:vAlign w:val="center"/>
                </w:tcPr>
                <w:p w14:paraId="159BE06B">
                  <w:pPr>
                    <w:snapToGrid w:val="0"/>
                    <w:spacing w:line="240" w:lineRule="auto"/>
                    <w:ind w:firstLine="420" w:firstLineChars="200"/>
                    <w:jc w:val="left"/>
                    <w:rPr>
                      <w:color w:val="auto"/>
                      <w:sz w:val="21"/>
                      <w:szCs w:val="21"/>
                    </w:rPr>
                  </w:pPr>
                  <w:r>
                    <w:rPr>
                      <w:color w:val="auto"/>
                      <w:sz w:val="21"/>
                      <w:szCs w:val="21"/>
                    </w:rPr>
                    <w:t>水源为城市自来水，由项目区东侧湖滨路市政给水干管上引入给水管供项目综合住院大楼和消防用水。</w:t>
                  </w:r>
                </w:p>
              </w:tc>
              <w:tc>
                <w:tcPr>
                  <w:tcW w:w="2029" w:type="pct"/>
                  <w:tcBorders>
                    <w:top w:val="single" w:color="auto" w:sz="4" w:space="0"/>
                    <w:left w:val="single" w:color="auto" w:sz="4" w:space="0"/>
                    <w:bottom w:val="single" w:color="auto" w:sz="4" w:space="0"/>
                    <w:right w:val="single" w:color="auto" w:sz="4" w:space="0"/>
                  </w:tcBorders>
                  <w:vAlign w:val="center"/>
                </w:tcPr>
                <w:p w14:paraId="4F2D46D0">
                  <w:pPr>
                    <w:snapToGrid w:val="0"/>
                    <w:spacing w:line="240" w:lineRule="auto"/>
                    <w:ind w:firstLine="420" w:firstLineChars="200"/>
                    <w:jc w:val="left"/>
                    <w:rPr>
                      <w:color w:val="auto"/>
                      <w:sz w:val="21"/>
                      <w:szCs w:val="21"/>
                    </w:rPr>
                  </w:pPr>
                  <w:r>
                    <w:rPr>
                      <w:color w:val="auto"/>
                      <w:sz w:val="21"/>
                      <w:szCs w:val="21"/>
                    </w:rPr>
                    <w:t>对新</w:t>
                  </w:r>
                  <w:r>
                    <w:rPr>
                      <w:rFonts w:hint="eastAsia"/>
                      <w:color w:val="auto"/>
                      <w:sz w:val="21"/>
                      <w:szCs w:val="21"/>
                      <w:lang w:val="en-US" w:eastAsia="zh-CN"/>
                    </w:rPr>
                    <w:t>建消毒中心</w:t>
                  </w:r>
                  <w:r>
                    <w:rPr>
                      <w:color w:val="auto"/>
                      <w:sz w:val="21"/>
                      <w:szCs w:val="21"/>
                    </w:rPr>
                    <w:t>供水管网新建接入布置，门诊、住院等其余建筑沿用原有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34DFFE3F">
                  <w:pPr>
                    <w:snapToGrid w:val="0"/>
                    <w:spacing w:line="240" w:lineRule="auto"/>
                    <w:ind w:firstLine="0" w:firstLineChars="0"/>
                    <w:jc w:val="center"/>
                    <w:rPr>
                      <w:color w:val="auto"/>
                      <w:sz w:val="21"/>
                      <w:szCs w:val="21"/>
                    </w:rPr>
                  </w:pPr>
                  <w:r>
                    <w:rPr>
                      <w:color w:val="auto"/>
                      <w:sz w:val="21"/>
                      <w:szCs w:val="21"/>
                    </w:rPr>
                    <w:t>部分沿用</w:t>
                  </w:r>
                </w:p>
              </w:tc>
            </w:tr>
            <w:tr w14:paraId="6885F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top w:val="single" w:color="auto" w:sz="4" w:space="0"/>
                    <w:left w:val="single" w:color="auto" w:sz="4" w:space="0"/>
                    <w:bottom w:val="single" w:color="auto" w:sz="4" w:space="0"/>
                    <w:right w:val="single" w:color="auto" w:sz="4" w:space="0"/>
                  </w:tcBorders>
                  <w:vAlign w:val="center"/>
                </w:tcPr>
                <w:p w14:paraId="374A6531">
                  <w:pPr>
                    <w:snapToGrid w:val="0"/>
                    <w:spacing w:line="240" w:lineRule="auto"/>
                    <w:ind w:firstLine="0" w:firstLineChars="0"/>
                    <w:jc w:val="center"/>
                    <w:rPr>
                      <w:color w:val="auto"/>
                      <w:sz w:val="21"/>
                      <w:szCs w:val="21"/>
                    </w:rPr>
                  </w:pPr>
                </w:p>
              </w:tc>
              <w:tc>
                <w:tcPr>
                  <w:tcW w:w="626" w:type="pct"/>
                  <w:vMerge w:val="continue"/>
                  <w:tcBorders>
                    <w:left w:val="single" w:color="auto" w:sz="4" w:space="0"/>
                    <w:right w:val="single" w:color="auto" w:sz="4" w:space="0"/>
                  </w:tcBorders>
                  <w:vAlign w:val="center"/>
                </w:tcPr>
                <w:p w14:paraId="1852CA60">
                  <w:pPr>
                    <w:snapToGrid w:val="0"/>
                    <w:spacing w:line="240" w:lineRule="auto"/>
                    <w:ind w:firstLine="0" w:firstLineChars="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6F1C36E7">
                  <w:pPr>
                    <w:snapToGrid w:val="0"/>
                    <w:spacing w:line="240" w:lineRule="auto"/>
                    <w:ind w:firstLine="420" w:firstLineChars="200"/>
                    <w:jc w:val="left"/>
                    <w:rPr>
                      <w:color w:val="auto"/>
                      <w:sz w:val="21"/>
                      <w:szCs w:val="21"/>
                    </w:rPr>
                  </w:pPr>
                  <w:r>
                    <w:rPr>
                      <w:color w:val="auto"/>
                      <w:sz w:val="21"/>
                      <w:szCs w:val="21"/>
                    </w:rPr>
                    <w:t>热水采用全日制集中供应方式，由太阳能热水系统辅助空气源热泵提供。</w:t>
                  </w:r>
                </w:p>
              </w:tc>
              <w:tc>
                <w:tcPr>
                  <w:tcW w:w="2029" w:type="pct"/>
                  <w:tcBorders>
                    <w:top w:val="single" w:color="auto" w:sz="4" w:space="0"/>
                    <w:left w:val="single" w:color="auto" w:sz="4" w:space="0"/>
                    <w:bottom w:val="single" w:color="auto" w:sz="4" w:space="0"/>
                    <w:right w:val="single" w:color="auto" w:sz="4" w:space="0"/>
                  </w:tcBorders>
                  <w:vAlign w:val="center"/>
                </w:tcPr>
                <w:p w14:paraId="48F89A79">
                  <w:pPr>
                    <w:snapToGrid w:val="0"/>
                    <w:spacing w:line="240" w:lineRule="auto"/>
                    <w:ind w:firstLine="420" w:firstLineChars="200"/>
                    <w:jc w:val="left"/>
                    <w:rPr>
                      <w:color w:val="auto"/>
                      <w:sz w:val="21"/>
                      <w:szCs w:val="21"/>
                    </w:rPr>
                  </w:pPr>
                  <w:r>
                    <w:rPr>
                      <w:color w:val="auto"/>
                      <w:sz w:val="21"/>
                      <w:szCs w:val="21"/>
                    </w:rPr>
                    <w:t>对新建</w:t>
                  </w:r>
                  <w:r>
                    <w:rPr>
                      <w:rFonts w:hint="eastAsia"/>
                      <w:color w:val="auto"/>
                      <w:sz w:val="21"/>
                      <w:szCs w:val="21"/>
                      <w:lang w:val="en-US" w:eastAsia="zh-CN"/>
                    </w:rPr>
                    <w:t>消毒中心</w:t>
                  </w:r>
                  <w:r>
                    <w:rPr>
                      <w:color w:val="auto"/>
                      <w:sz w:val="21"/>
                      <w:szCs w:val="21"/>
                    </w:rPr>
                    <w:t>热水供应新建布置，门诊、住院等其余建筑沿用原有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219AA691">
                  <w:pPr>
                    <w:snapToGrid w:val="0"/>
                    <w:spacing w:line="240" w:lineRule="auto"/>
                    <w:ind w:firstLine="0" w:firstLineChars="0"/>
                    <w:jc w:val="center"/>
                    <w:rPr>
                      <w:color w:val="auto"/>
                      <w:sz w:val="21"/>
                      <w:szCs w:val="21"/>
                    </w:rPr>
                  </w:pPr>
                  <w:r>
                    <w:rPr>
                      <w:color w:val="auto"/>
                      <w:sz w:val="21"/>
                      <w:szCs w:val="21"/>
                    </w:rPr>
                    <w:t>部分沿用</w:t>
                  </w:r>
                </w:p>
              </w:tc>
            </w:tr>
            <w:tr w14:paraId="5BF19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top w:val="single" w:color="auto" w:sz="4" w:space="0"/>
                    <w:left w:val="single" w:color="auto" w:sz="4" w:space="0"/>
                    <w:bottom w:val="single" w:color="auto" w:sz="4" w:space="0"/>
                    <w:right w:val="single" w:color="auto" w:sz="4" w:space="0"/>
                  </w:tcBorders>
                  <w:vAlign w:val="center"/>
                </w:tcPr>
                <w:p w14:paraId="79E2307C">
                  <w:pPr>
                    <w:snapToGrid w:val="0"/>
                    <w:spacing w:line="240" w:lineRule="auto"/>
                    <w:ind w:firstLine="0" w:firstLineChars="0"/>
                    <w:jc w:val="center"/>
                    <w:rPr>
                      <w:color w:val="auto"/>
                      <w:sz w:val="21"/>
                      <w:szCs w:val="21"/>
                    </w:rPr>
                  </w:pPr>
                </w:p>
              </w:tc>
              <w:tc>
                <w:tcPr>
                  <w:tcW w:w="626" w:type="pct"/>
                  <w:vMerge w:val="continue"/>
                  <w:tcBorders>
                    <w:left w:val="single" w:color="auto" w:sz="4" w:space="0"/>
                    <w:bottom w:val="single" w:color="auto" w:sz="4" w:space="0"/>
                    <w:right w:val="single" w:color="auto" w:sz="4" w:space="0"/>
                  </w:tcBorders>
                  <w:vAlign w:val="center"/>
                </w:tcPr>
                <w:p w14:paraId="4F5A3523">
                  <w:pPr>
                    <w:snapToGrid w:val="0"/>
                    <w:spacing w:line="240" w:lineRule="auto"/>
                    <w:ind w:firstLine="0" w:firstLineChars="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3BD2BBC4">
                  <w:pPr>
                    <w:snapToGrid w:val="0"/>
                    <w:spacing w:line="240" w:lineRule="auto"/>
                    <w:ind w:firstLine="420" w:firstLineChars="200"/>
                    <w:jc w:val="left"/>
                    <w:rPr>
                      <w:color w:val="auto"/>
                      <w:sz w:val="21"/>
                      <w:szCs w:val="21"/>
                    </w:rPr>
                  </w:pPr>
                  <w:r>
                    <w:rPr>
                      <w:color w:val="auto"/>
                      <w:sz w:val="21"/>
                      <w:szCs w:val="21"/>
                    </w:rPr>
                    <w:t>各层均设置开水间，开水间内设置电热式开水炉供应开水。</w:t>
                  </w:r>
                </w:p>
              </w:tc>
              <w:tc>
                <w:tcPr>
                  <w:tcW w:w="2029" w:type="pct"/>
                  <w:tcBorders>
                    <w:top w:val="single" w:color="auto" w:sz="4" w:space="0"/>
                    <w:left w:val="single" w:color="auto" w:sz="4" w:space="0"/>
                    <w:bottom w:val="single" w:color="auto" w:sz="4" w:space="0"/>
                    <w:right w:val="single" w:color="auto" w:sz="4" w:space="0"/>
                  </w:tcBorders>
                  <w:vAlign w:val="center"/>
                </w:tcPr>
                <w:p w14:paraId="0286B91E">
                  <w:pPr>
                    <w:snapToGrid w:val="0"/>
                    <w:spacing w:line="240" w:lineRule="auto"/>
                    <w:ind w:firstLine="420" w:firstLineChars="200"/>
                    <w:jc w:val="left"/>
                    <w:rPr>
                      <w:color w:val="auto"/>
                      <w:sz w:val="21"/>
                      <w:szCs w:val="21"/>
                    </w:rPr>
                  </w:pPr>
                  <w:r>
                    <w:rPr>
                      <w:color w:val="auto"/>
                      <w:sz w:val="21"/>
                      <w:szCs w:val="21"/>
                    </w:rPr>
                    <w:t>对新建</w:t>
                  </w:r>
                  <w:r>
                    <w:rPr>
                      <w:rFonts w:hint="eastAsia"/>
                      <w:color w:val="auto"/>
                      <w:sz w:val="21"/>
                      <w:szCs w:val="21"/>
                      <w:lang w:val="en-US" w:eastAsia="zh-CN"/>
                    </w:rPr>
                    <w:t>消毒中心</w:t>
                  </w:r>
                  <w:r>
                    <w:rPr>
                      <w:color w:val="auto"/>
                      <w:sz w:val="21"/>
                      <w:szCs w:val="21"/>
                    </w:rPr>
                    <w:t>新建布置，门诊、住院等其余建筑沿用原有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2BFD58CB">
                  <w:pPr>
                    <w:snapToGrid w:val="0"/>
                    <w:spacing w:line="240" w:lineRule="auto"/>
                    <w:ind w:firstLine="0" w:firstLineChars="0"/>
                    <w:jc w:val="center"/>
                    <w:rPr>
                      <w:color w:val="auto"/>
                      <w:sz w:val="21"/>
                      <w:szCs w:val="21"/>
                    </w:rPr>
                  </w:pPr>
                  <w:r>
                    <w:rPr>
                      <w:color w:val="auto"/>
                      <w:sz w:val="21"/>
                      <w:szCs w:val="21"/>
                    </w:rPr>
                    <w:t>部分沿用</w:t>
                  </w:r>
                </w:p>
              </w:tc>
            </w:tr>
            <w:tr w14:paraId="2E8BE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89" w:type="pct"/>
                  <w:vMerge w:val="continue"/>
                  <w:tcBorders>
                    <w:left w:val="single" w:color="auto" w:sz="4" w:space="0"/>
                    <w:right w:val="single" w:color="auto" w:sz="4" w:space="0"/>
                  </w:tcBorders>
                  <w:vAlign w:val="center"/>
                </w:tcPr>
                <w:p w14:paraId="45D2306E">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0251EDCE">
                  <w:pPr>
                    <w:snapToGrid w:val="0"/>
                    <w:spacing w:line="240" w:lineRule="auto"/>
                    <w:ind w:firstLine="0" w:firstLineChars="0"/>
                    <w:jc w:val="center"/>
                    <w:rPr>
                      <w:color w:val="auto"/>
                      <w:sz w:val="21"/>
                      <w:szCs w:val="21"/>
                    </w:rPr>
                  </w:pPr>
                  <w:r>
                    <w:rPr>
                      <w:color w:val="auto"/>
                      <w:sz w:val="21"/>
                      <w:szCs w:val="21"/>
                    </w:rPr>
                    <w:t>供电</w:t>
                  </w:r>
                </w:p>
              </w:tc>
              <w:tc>
                <w:tcPr>
                  <w:tcW w:w="1758" w:type="pct"/>
                  <w:tcBorders>
                    <w:top w:val="single" w:color="auto" w:sz="4" w:space="0"/>
                    <w:left w:val="single" w:color="auto" w:sz="4" w:space="0"/>
                    <w:bottom w:val="single" w:color="auto" w:sz="4" w:space="0"/>
                    <w:right w:val="single" w:color="auto" w:sz="4" w:space="0"/>
                  </w:tcBorders>
                  <w:vAlign w:val="center"/>
                </w:tcPr>
                <w:p w14:paraId="02EE2B43">
                  <w:pPr>
                    <w:snapToGrid w:val="0"/>
                    <w:spacing w:line="240" w:lineRule="auto"/>
                    <w:ind w:firstLine="420" w:firstLineChars="200"/>
                    <w:jc w:val="left"/>
                    <w:rPr>
                      <w:color w:val="auto"/>
                      <w:sz w:val="21"/>
                      <w:szCs w:val="21"/>
                    </w:rPr>
                  </w:pPr>
                  <w:r>
                    <w:rPr>
                      <w:color w:val="auto"/>
                      <w:sz w:val="21"/>
                      <w:szCs w:val="21"/>
                    </w:rPr>
                    <w:t>电源为市政供电电网提供；在污水处理站旁设置柴油发电机房，设置1台576kW的柴油发电机，作为各应急母线的备用电源，主要供电对象为应急照明、重要医疗设备、弱电、消防和安防负荷。</w:t>
                  </w:r>
                </w:p>
              </w:tc>
              <w:tc>
                <w:tcPr>
                  <w:tcW w:w="2029" w:type="pct"/>
                  <w:tcBorders>
                    <w:top w:val="single" w:color="auto" w:sz="4" w:space="0"/>
                    <w:left w:val="single" w:color="auto" w:sz="4" w:space="0"/>
                    <w:bottom w:val="single" w:color="auto" w:sz="4" w:space="0"/>
                    <w:right w:val="single" w:color="auto" w:sz="4" w:space="0"/>
                  </w:tcBorders>
                  <w:vAlign w:val="center"/>
                </w:tcPr>
                <w:p w14:paraId="622FFCA1">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72B22134">
                  <w:pPr>
                    <w:snapToGrid w:val="0"/>
                    <w:spacing w:line="240" w:lineRule="auto"/>
                    <w:ind w:firstLine="0" w:firstLineChars="0"/>
                    <w:jc w:val="center"/>
                    <w:rPr>
                      <w:color w:val="auto"/>
                      <w:sz w:val="21"/>
                      <w:szCs w:val="21"/>
                    </w:rPr>
                  </w:pPr>
                  <w:r>
                    <w:rPr>
                      <w:color w:val="auto"/>
                      <w:sz w:val="21"/>
                      <w:szCs w:val="21"/>
                    </w:rPr>
                    <w:t>依托</w:t>
                  </w:r>
                </w:p>
              </w:tc>
            </w:tr>
            <w:tr w14:paraId="6AF3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89" w:type="pct"/>
                  <w:vMerge w:val="continue"/>
                  <w:tcBorders>
                    <w:left w:val="single" w:color="auto" w:sz="4" w:space="0"/>
                    <w:right w:val="single" w:color="auto" w:sz="4" w:space="0"/>
                  </w:tcBorders>
                  <w:vAlign w:val="center"/>
                </w:tcPr>
                <w:p w14:paraId="3E19D649">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4FC919FF">
                  <w:pPr>
                    <w:snapToGrid w:val="0"/>
                    <w:spacing w:line="240" w:lineRule="auto"/>
                    <w:ind w:firstLine="0" w:firstLineChars="0"/>
                    <w:jc w:val="center"/>
                    <w:rPr>
                      <w:color w:val="auto"/>
                      <w:sz w:val="21"/>
                      <w:szCs w:val="21"/>
                    </w:rPr>
                  </w:pPr>
                  <w:r>
                    <w:rPr>
                      <w:color w:val="auto"/>
                      <w:sz w:val="21"/>
                      <w:szCs w:val="21"/>
                    </w:rPr>
                    <w:t>弱电</w:t>
                  </w:r>
                </w:p>
              </w:tc>
              <w:tc>
                <w:tcPr>
                  <w:tcW w:w="1758" w:type="pct"/>
                  <w:tcBorders>
                    <w:top w:val="single" w:color="auto" w:sz="4" w:space="0"/>
                    <w:left w:val="single" w:color="auto" w:sz="4" w:space="0"/>
                    <w:bottom w:val="single" w:color="auto" w:sz="4" w:space="0"/>
                    <w:right w:val="single" w:color="auto" w:sz="4" w:space="0"/>
                  </w:tcBorders>
                  <w:vAlign w:val="center"/>
                </w:tcPr>
                <w:p w14:paraId="325E77FD">
                  <w:pPr>
                    <w:snapToGrid w:val="0"/>
                    <w:spacing w:line="240" w:lineRule="auto"/>
                    <w:ind w:firstLine="420" w:firstLineChars="200"/>
                    <w:jc w:val="left"/>
                    <w:rPr>
                      <w:color w:val="auto"/>
                      <w:sz w:val="21"/>
                      <w:szCs w:val="21"/>
                    </w:rPr>
                  </w:pPr>
                  <w:r>
                    <w:rPr>
                      <w:color w:val="auto"/>
                      <w:sz w:val="21"/>
                      <w:szCs w:val="21"/>
                    </w:rPr>
                    <w:t>弱电工程包括语音系统、门禁系统、信息引导系统、医院信息管理系统、有线电视系统、安防系统、公共广播系统、消防火灾报警及联动控制系统、呼应信号系统。</w:t>
                  </w:r>
                </w:p>
              </w:tc>
              <w:tc>
                <w:tcPr>
                  <w:tcW w:w="2029" w:type="pct"/>
                  <w:tcBorders>
                    <w:top w:val="single" w:color="auto" w:sz="4" w:space="0"/>
                    <w:left w:val="single" w:color="auto" w:sz="4" w:space="0"/>
                    <w:bottom w:val="single" w:color="auto" w:sz="4" w:space="0"/>
                    <w:right w:val="single" w:color="auto" w:sz="4" w:space="0"/>
                  </w:tcBorders>
                  <w:vAlign w:val="center"/>
                </w:tcPr>
                <w:p w14:paraId="2419177E">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27C962A8">
                  <w:pPr>
                    <w:snapToGrid w:val="0"/>
                    <w:spacing w:line="240" w:lineRule="auto"/>
                    <w:ind w:firstLine="0" w:firstLineChars="0"/>
                    <w:jc w:val="center"/>
                    <w:rPr>
                      <w:color w:val="auto"/>
                      <w:sz w:val="21"/>
                      <w:szCs w:val="21"/>
                    </w:rPr>
                  </w:pPr>
                  <w:r>
                    <w:rPr>
                      <w:color w:val="auto"/>
                      <w:sz w:val="21"/>
                      <w:szCs w:val="21"/>
                    </w:rPr>
                    <w:t>依托</w:t>
                  </w:r>
                </w:p>
              </w:tc>
            </w:tr>
            <w:tr w14:paraId="7E91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289" w:type="pct"/>
                  <w:vMerge w:val="continue"/>
                  <w:tcBorders>
                    <w:top w:val="single" w:color="auto" w:sz="4" w:space="0"/>
                    <w:left w:val="single" w:color="auto" w:sz="4" w:space="0"/>
                    <w:bottom w:val="single" w:color="auto" w:sz="4" w:space="0"/>
                    <w:right w:val="single" w:color="auto" w:sz="4" w:space="0"/>
                  </w:tcBorders>
                  <w:vAlign w:val="center"/>
                </w:tcPr>
                <w:p w14:paraId="0959BCAC">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73444D02">
                  <w:pPr>
                    <w:snapToGrid w:val="0"/>
                    <w:spacing w:line="240" w:lineRule="auto"/>
                    <w:ind w:firstLine="0" w:firstLineChars="0"/>
                    <w:jc w:val="center"/>
                    <w:rPr>
                      <w:color w:val="auto"/>
                      <w:sz w:val="21"/>
                      <w:szCs w:val="21"/>
                    </w:rPr>
                  </w:pPr>
                  <w:r>
                    <w:rPr>
                      <w:color w:val="auto"/>
                      <w:sz w:val="21"/>
                      <w:szCs w:val="21"/>
                    </w:rPr>
                    <w:t>排水</w:t>
                  </w:r>
                </w:p>
              </w:tc>
              <w:tc>
                <w:tcPr>
                  <w:tcW w:w="1758" w:type="pct"/>
                  <w:tcBorders>
                    <w:top w:val="single" w:color="auto" w:sz="4" w:space="0"/>
                    <w:left w:val="single" w:color="auto" w:sz="4" w:space="0"/>
                    <w:bottom w:val="single" w:color="auto" w:sz="4" w:space="0"/>
                    <w:right w:val="single" w:color="auto" w:sz="4" w:space="0"/>
                  </w:tcBorders>
                  <w:vAlign w:val="center"/>
                </w:tcPr>
                <w:p w14:paraId="4A391CBF">
                  <w:pPr>
                    <w:snapToGrid w:val="0"/>
                    <w:spacing w:line="240" w:lineRule="auto"/>
                    <w:ind w:firstLine="420" w:firstLineChars="200"/>
                    <w:jc w:val="left"/>
                    <w:rPr>
                      <w:color w:val="auto"/>
                      <w:sz w:val="21"/>
                      <w:szCs w:val="21"/>
                    </w:rPr>
                  </w:pPr>
                  <w:r>
                    <w:rPr>
                      <w:color w:val="auto"/>
                      <w:sz w:val="21"/>
                      <w:szCs w:val="21"/>
                    </w:rPr>
                    <w:t>综合住院大楼医疗废水排入化粪池，排入医院北侧处理工艺为“一级强化处理+消毒”的污水处理站处理达到《医疗机构水污染排放标准》（GBl8466-2005）表2中预处理标准，排入西侧敷设DN600、长275m的污水管网，向西汇入星云铭城东北侧DN1000、长290m的污水管网，向西北侧排入星云湖南片区污水处理厂处理。</w:t>
                  </w:r>
                  <w:r>
                    <w:rPr>
                      <w:rFonts w:hint="eastAsia"/>
                      <w:color w:val="auto"/>
                      <w:sz w:val="21"/>
                      <w:szCs w:val="21"/>
                    </w:rPr>
                    <w:t>检验科废水、感染科废水分别经预处理后进入化粪池预处理，然后进入医院污水处理站。</w:t>
                  </w:r>
                </w:p>
              </w:tc>
              <w:tc>
                <w:tcPr>
                  <w:tcW w:w="2029" w:type="pct"/>
                  <w:tcBorders>
                    <w:top w:val="single" w:color="auto" w:sz="4" w:space="0"/>
                    <w:left w:val="single" w:color="auto" w:sz="4" w:space="0"/>
                    <w:bottom w:val="single" w:color="auto" w:sz="4" w:space="0"/>
                    <w:right w:val="single" w:color="auto" w:sz="4" w:space="0"/>
                  </w:tcBorders>
                  <w:vAlign w:val="center"/>
                </w:tcPr>
                <w:p w14:paraId="4968BC65">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EDBE192">
                  <w:pPr>
                    <w:snapToGrid w:val="0"/>
                    <w:spacing w:line="240" w:lineRule="auto"/>
                    <w:ind w:firstLine="0" w:firstLineChars="0"/>
                    <w:jc w:val="center"/>
                    <w:rPr>
                      <w:color w:val="auto"/>
                      <w:sz w:val="21"/>
                      <w:szCs w:val="21"/>
                    </w:rPr>
                  </w:pPr>
                  <w:r>
                    <w:rPr>
                      <w:color w:val="auto"/>
                      <w:sz w:val="21"/>
                      <w:szCs w:val="21"/>
                    </w:rPr>
                    <w:t>依托</w:t>
                  </w:r>
                </w:p>
              </w:tc>
            </w:tr>
            <w:tr w14:paraId="5B9F9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289" w:type="pct"/>
                  <w:vMerge w:val="restart"/>
                  <w:tcBorders>
                    <w:top w:val="single" w:color="auto" w:sz="4" w:space="0"/>
                    <w:left w:val="single" w:color="auto" w:sz="4" w:space="0"/>
                    <w:right w:val="single" w:color="auto" w:sz="4" w:space="0"/>
                  </w:tcBorders>
                  <w:vAlign w:val="center"/>
                </w:tcPr>
                <w:p w14:paraId="2CBB680F">
                  <w:pPr>
                    <w:snapToGrid w:val="0"/>
                    <w:spacing w:line="240" w:lineRule="auto"/>
                    <w:ind w:firstLine="0" w:firstLineChars="0"/>
                    <w:jc w:val="center"/>
                    <w:rPr>
                      <w:color w:val="auto"/>
                      <w:sz w:val="21"/>
                      <w:szCs w:val="21"/>
                    </w:rPr>
                  </w:pPr>
                  <w:r>
                    <w:rPr>
                      <w:color w:val="auto"/>
                      <w:sz w:val="21"/>
                      <w:szCs w:val="21"/>
                    </w:rPr>
                    <w:t>临时工程</w:t>
                  </w:r>
                </w:p>
              </w:tc>
              <w:tc>
                <w:tcPr>
                  <w:tcW w:w="626" w:type="pct"/>
                  <w:tcBorders>
                    <w:top w:val="single" w:color="auto" w:sz="4" w:space="0"/>
                    <w:left w:val="single" w:color="auto" w:sz="4" w:space="0"/>
                    <w:bottom w:val="single" w:color="auto" w:sz="4" w:space="0"/>
                    <w:right w:val="single" w:color="auto" w:sz="4" w:space="0"/>
                  </w:tcBorders>
                  <w:vAlign w:val="center"/>
                </w:tcPr>
                <w:p w14:paraId="230CF974">
                  <w:pPr>
                    <w:snapToGrid w:val="0"/>
                    <w:spacing w:line="240" w:lineRule="auto"/>
                    <w:ind w:firstLine="0" w:firstLineChars="0"/>
                    <w:jc w:val="center"/>
                    <w:rPr>
                      <w:color w:val="auto"/>
                      <w:sz w:val="21"/>
                      <w:szCs w:val="21"/>
                    </w:rPr>
                  </w:pPr>
                  <w:r>
                    <w:rPr>
                      <w:color w:val="auto"/>
                      <w:sz w:val="21"/>
                      <w:szCs w:val="21"/>
                    </w:rPr>
                    <w:t>临时发热门诊</w:t>
                  </w:r>
                </w:p>
              </w:tc>
              <w:tc>
                <w:tcPr>
                  <w:tcW w:w="1758" w:type="pct"/>
                  <w:tcBorders>
                    <w:top w:val="single" w:color="auto" w:sz="4" w:space="0"/>
                    <w:left w:val="single" w:color="auto" w:sz="4" w:space="0"/>
                    <w:bottom w:val="single" w:color="auto" w:sz="4" w:space="0"/>
                    <w:right w:val="single" w:color="auto" w:sz="4" w:space="0"/>
                  </w:tcBorders>
                  <w:vAlign w:val="center"/>
                </w:tcPr>
                <w:p w14:paraId="7BE397E1">
                  <w:pPr>
                    <w:snapToGrid w:val="0"/>
                    <w:spacing w:line="240" w:lineRule="auto"/>
                    <w:ind w:firstLine="420" w:firstLineChars="200"/>
                    <w:jc w:val="left"/>
                    <w:rPr>
                      <w:color w:val="auto"/>
                      <w:sz w:val="21"/>
                      <w:szCs w:val="21"/>
                    </w:rPr>
                  </w:pPr>
                  <w:r>
                    <w:rPr>
                      <w:color w:val="auto"/>
                      <w:sz w:val="21"/>
                      <w:szCs w:val="21"/>
                    </w:rPr>
                    <w:t>建筑面积431.84m</w:t>
                  </w:r>
                  <w:r>
                    <w:rPr>
                      <w:color w:val="auto"/>
                      <w:sz w:val="21"/>
                      <w:szCs w:val="21"/>
                      <w:vertAlign w:val="superscript"/>
                    </w:rPr>
                    <w:t>2</w:t>
                  </w:r>
                  <w:r>
                    <w:rPr>
                      <w:color w:val="auto"/>
                      <w:sz w:val="21"/>
                      <w:szCs w:val="21"/>
                    </w:rPr>
                    <w:t>（不计建筑面积）</w:t>
                  </w:r>
                </w:p>
              </w:tc>
              <w:tc>
                <w:tcPr>
                  <w:tcW w:w="2029" w:type="pct"/>
                  <w:tcBorders>
                    <w:top w:val="single" w:color="auto" w:sz="4" w:space="0"/>
                    <w:left w:val="single" w:color="auto" w:sz="4" w:space="0"/>
                    <w:bottom w:val="single" w:color="auto" w:sz="4" w:space="0"/>
                    <w:right w:val="single" w:color="auto" w:sz="4" w:space="0"/>
                  </w:tcBorders>
                  <w:vAlign w:val="center"/>
                </w:tcPr>
                <w:p w14:paraId="51BB4779">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708C80B8">
                  <w:pPr>
                    <w:snapToGrid w:val="0"/>
                    <w:spacing w:line="240" w:lineRule="auto"/>
                    <w:ind w:firstLine="0" w:firstLineChars="0"/>
                    <w:jc w:val="center"/>
                    <w:rPr>
                      <w:color w:val="auto"/>
                      <w:sz w:val="21"/>
                      <w:szCs w:val="21"/>
                    </w:rPr>
                  </w:pPr>
                  <w:r>
                    <w:rPr>
                      <w:color w:val="auto"/>
                      <w:sz w:val="21"/>
                      <w:szCs w:val="21"/>
                    </w:rPr>
                    <w:t>依托</w:t>
                  </w:r>
                </w:p>
              </w:tc>
            </w:tr>
            <w:tr w14:paraId="0712D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289" w:type="pct"/>
                  <w:vMerge w:val="continue"/>
                  <w:tcBorders>
                    <w:left w:val="single" w:color="auto" w:sz="4" w:space="0"/>
                    <w:bottom w:val="single" w:color="auto" w:sz="4" w:space="0"/>
                    <w:right w:val="single" w:color="auto" w:sz="4" w:space="0"/>
                  </w:tcBorders>
                  <w:vAlign w:val="center"/>
                </w:tcPr>
                <w:p w14:paraId="0105D6B6">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bottom w:val="single" w:color="auto" w:sz="4" w:space="0"/>
                    <w:right w:val="single" w:color="auto" w:sz="4" w:space="0"/>
                  </w:tcBorders>
                  <w:vAlign w:val="center"/>
                </w:tcPr>
                <w:p w14:paraId="67573BED">
                  <w:pPr>
                    <w:snapToGrid w:val="0"/>
                    <w:spacing w:line="240" w:lineRule="auto"/>
                    <w:ind w:firstLine="0" w:firstLineChars="0"/>
                    <w:jc w:val="center"/>
                    <w:rPr>
                      <w:color w:val="auto"/>
                      <w:sz w:val="21"/>
                      <w:szCs w:val="21"/>
                    </w:rPr>
                  </w:pPr>
                  <w:r>
                    <w:rPr>
                      <w:color w:val="auto"/>
                      <w:sz w:val="21"/>
                      <w:szCs w:val="21"/>
                    </w:rPr>
                    <w:t>临时实验室</w:t>
                  </w:r>
                </w:p>
              </w:tc>
              <w:tc>
                <w:tcPr>
                  <w:tcW w:w="1758" w:type="pct"/>
                  <w:tcBorders>
                    <w:top w:val="single" w:color="auto" w:sz="4" w:space="0"/>
                    <w:left w:val="single" w:color="auto" w:sz="4" w:space="0"/>
                    <w:bottom w:val="single" w:color="auto" w:sz="4" w:space="0"/>
                    <w:right w:val="single" w:color="auto" w:sz="4" w:space="0"/>
                  </w:tcBorders>
                  <w:vAlign w:val="center"/>
                </w:tcPr>
                <w:p w14:paraId="2F5C8B55">
                  <w:pPr>
                    <w:snapToGrid w:val="0"/>
                    <w:spacing w:line="240" w:lineRule="auto"/>
                    <w:ind w:firstLine="420" w:firstLineChars="200"/>
                    <w:jc w:val="left"/>
                    <w:rPr>
                      <w:color w:val="auto"/>
                      <w:sz w:val="21"/>
                      <w:szCs w:val="21"/>
                    </w:rPr>
                  </w:pPr>
                  <w:r>
                    <w:rPr>
                      <w:color w:val="auto"/>
                      <w:sz w:val="21"/>
                      <w:szCs w:val="21"/>
                    </w:rPr>
                    <w:t>建筑面积60.00m</w:t>
                  </w:r>
                  <w:r>
                    <w:rPr>
                      <w:color w:val="auto"/>
                      <w:sz w:val="21"/>
                      <w:szCs w:val="21"/>
                      <w:vertAlign w:val="superscript"/>
                    </w:rPr>
                    <w:t>2</w:t>
                  </w:r>
                  <w:r>
                    <w:rPr>
                      <w:color w:val="auto"/>
                      <w:sz w:val="21"/>
                      <w:szCs w:val="21"/>
                    </w:rPr>
                    <w:t>（不计建筑面积）</w:t>
                  </w:r>
                </w:p>
              </w:tc>
              <w:tc>
                <w:tcPr>
                  <w:tcW w:w="2029" w:type="pct"/>
                  <w:tcBorders>
                    <w:top w:val="single" w:color="auto" w:sz="4" w:space="0"/>
                    <w:left w:val="single" w:color="auto" w:sz="4" w:space="0"/>
                    <w:bottom w:val="single" w:color="auto" w:sz="4" w:space="0"/>
                    <w:right w:val="single" w:color="auto" w:sz="4" w:space="0"/>
                  </w:tcBorders>
                  <w:vAlign w:val="center"/>
                </w:tcPr>
                <w:p w14:paraId="33FB5774">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1984A610">
                  <w:pPr>
                    <w:snapToGrid w:val="0"/>
                    <w:spacing w:line="240" w:lineRule="auto"/>
                    <w:ind w:firstLine="0" w:firstLineChars="0"/>
                    <w:jc w:val="center"/>
                    <w:rPr>
                      <w:color w:val="auto"/>
                      <w:sz w:val="21"/>
                      <w:szCs w:val="21"/>
                    </w:rPr>
                  </w:pPr>
                  <w:r>
                    <w:rPr>
                      <w:color w:val="auto"/>
                      <w:sz w:val="21"/>
                      <w:szCs w:val="21"/>
                    </w:rPr>
                    <w:t>依托</w:t>
                  </w:r>
                </w:p>
              </w:tc>
            </w:tr>
            <w:tr w14:paraId="6D3B8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289" w:type="pct"/>
                  <w:vMerge w:val="restart"/>
                  <w:tcBorders>
                    <w:left w:val="single" w:color="auto" w:sz="4" w:space="0"/>
                    <w:right w:val="single" w:color="auto" w:sz="4" w:space="0"/>
                  </w:tcBorders>
                  <w:vAlign w:val="center"/>
                </w:tcPr>
                <w:p w14:paraId="43D2BED4">
                  <w:pPr>
                    <w:snapToGrid w:val="0"/>
                    <w:spacing w:line="240" w:lineRule="auto"/>
                    <w:ind w:firstLine="0" w:firstLineChars="0"/>
                    <w:jc w:val="center"/>
                    <w:rPr>
                      <w:color w:val="auto"/>
                      <w:sz w:val="21"/>
                      <w:szCs w:val="21"/>
                    </w:rPr>
                  </w:pPr>
                  <w:r>
                    <w:rPr>
                      <w:color w:val="auto"/>
                      <w:sz w:val="21"/>
                      <w:szCs w:val="21"/>
                    </w:rPr>
                    <w:t>环保工程</w:t>
                  </w:r>
                </w:p>
              </w:tc>
              <w:tc>
                <w:tcPr>
                  <w:tcW w:w="626" w:type="pct"/>
                  <w:vMerge w:val="restart"/>
                  <w:tcBorders>
                    <w:top w:val="single" w:color="auto" w:sz="4" w:space="0"/>
                    <w:left w:val="single" w:color="auto" w:sz="4" w:space="0"/>
                    <w:right w:val="single" w:color="auto" w:sz="4" w:space="0"/>
                  </w:tcBorders>
                  <w:vAlign w:val="center"/>
                </w:tcPr>
                <w:p w14:paraId="581470D1">
                  <w:pPr>
                    <w:snapToGrid w:val="0"/>
                    <w:spacing w:line="240" w:lineRule="auto"/>
                    <w:ind w:firstLine="0" w:firstLineChars="0"/>
                    <w:jc w:val="center"/>
                    <w:rPr>
                      <w:color w:val="auto"/>
                      <w:sz w:val="21"/>
                      <w:szCs w:val="21"/>
                    </w:rPr>
                  </w:pPr>
                  <w:r>
                    <w:rPr>
                      <w:color w:val="auto"/>
                      <w:sz w:val="21"/>
                      <w:szCs w:val="21"/>
                    </w:rPr>
                    <w:t>废水治理</w:t>
                  </w:r>
                </w:p>
              </w:tc>
              <w:tc>
                <w:tcPr>
                  <w:tcW w:w="1758" w:type="pct"/>
                  <w:tcBorders>
                    <w:top w:val="single" w:color="auto" w:sz="4" w:space="0"/>
                    <w:left w:val="single" w:color="auto" w:sz="4" w:space="0"/>
                    <w:bottom w:val="single" w:color="auto" w:sz="4" w:space="0"/>
                    <w:right w:val="single" w:color="auto" w:sz="4" w:space="0"/>
                  </w:tcBorders>
                  <w:vAlign w:val="center"/>
                </w:tcPr>
                <w:p w14:paraId="67254A66">
                  <w:pPr>
                    <w:snapToGrid w:val="0"/>
                    <w:spacing w:line="240" w:lineRule="auto"/>
                    <w:ind w:firstLine="420" w:firstLineChars="200"/>
                    <w:jc w:val="left"/>
                    <w:rPr>
                      <w:rFonts w:hint="eastAsia" w:eastAsia="宋体"/>
                      <w:color w:val="auto"/>
                      <w:sz w:val="21"/>
                      <w:szCs w:val="21"/>
                      <w:lang w:val="en-US" w:eastAsia="zh-CN"/>
                    </w:rPr>
                  </w:pPr>
                  <w:r>
                    <w:rPr>
                      <w:color w:val="auto"/>
                      <w:sz w:val="21"/>
                      <w:szCs w:val="21"/>
                    </w:rPr>
                    <w:t>在综合住院大楼西侧绿化带地下1个化粪池，容积为50m</w:t>
                  </w:r>
                  <w:r>
                    <w:rPr>
                      <w:color w:val="auto"/>
                      <w:sz w:val="21"/>
                      <w:szCs w:val="21"/>
                      <w:vertAlign w:val="superscript"/>
                    </w:rPr>
                    <w:t>3</w:t>
                  </w:r>
                  <w:r>
                    <w:rPr>
                      <w:color w:val="auto"/>
                      <w:sz w:val="21"/>
                      <w:szCs w:val="21"/>
                    </w:rPr>
                    <w:t>。</w:t>
                  </w:r>
                  <w:r>
                    <w:rPr>
                      <w:rFonts w:hint="eastAsia"/>
                      <w:color w:val="auto"/>
                      <w:sz w:val="21"/>
                      <w:szCs w:val="21"/>
                      <w:lang w:val="en-US" w:eastAsia="zh-CN"/>
                    </w:rPr>
                    <w:t>综合楼地下1个化粪池，容积为</w:t>
                  </w:r>
                  <w:r>
                    <w:rPr>
                      <w:color w:val="auto"/>
                      <w:sz w:val="21"/>
                      <w:szCs w:val="21"/>
                    </w:rPr>
                    <w:t>75m</w:t>
                  </w:r>
                  <w:r>
                    <w:rPr>
                      <w:color w:val="auto"/>
                      <w:sz w:val="21"/>
                      <w:szCs w:val="21"/>
                      <w:vertAlign w:val="superscript"/>
                    </w:rPr>
                    <w:t>3</w:t>
                  </w:r>
                  <w:r>
                    <w:rPr>
                      <w:color w:val="auto"/>
                      <w:sz w:val="21"/>
                      <w:szCs w:val="21"/>
                    </w:rPr>
                    <w:t>的化粪池</w:t>
                  </w:r>
                  <w:r>
                    <w:rPr>
                      <w:rFonts w:hint="eastAsia"/>
                      <w:color w:val="auto"/>
                      <w:sz w:val="21"/>
                      <w:szCs w:val="21"/>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0B42C46C">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DE9CB4E">
                  <w:pPr>
                    <w:snapToGrid w:val="0"/>
                    <w:spacing w:line="240" w:lineRule="auto"/>
                    <w:ind w:firstLine="0" w:firstLineChars="0"/>
                    <w:jc w:val="center"/>
                    <w:rPr>
                      <w:color w:val="auto"/>
                      <w:sz w:val="21"/>
                      <w:szCs w:val="21"/>
                    </w:rPr>
                  </w:pPr>
                  <w:r>
                    <w:rPr>
                      <w:color w:val="auto"/>
                      <w:sz w:val="21"/>
                      <w:szCs w:val="21"/>
                    </w:rPr>
                    <w:t>依托</w:t>
                  </w:r>
                </w:p>
              </w:tc>
            </w:tr>
            <w:tr w14:paraId="4ADC5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289" w:type="pct"/>
                  <w:vMerge w:val="continue"/>
                  <w:tcBorders>
                    <w:left w:val="single" w:color="auto" w:sz="4" w:space="0"/>
                    <w:right w:val="single" w:color="auto" w:sz="4" w:space="0"/>
                  </w:tcBorders>
                  <w:vAlign w:val="center"/>
                </w:tcPr>
                <w:p w14:paraId="19F0E6CE">
                  <w:pPr>
                    <w:snapToGrid w:val="0"/>
                    <w:spacing w:line="240" w:lineRule="auto"/>
                    <w:ind w:firstLine="0" w:firstLineChars="0"/>
                    <w:jc w:val="center"/>
                    <w:rPr>
                      <w:color w:val="auto"/>
                      <w:sz w:val="21"/>
                      <w:szCs w:val="21"/>
                    </w:rPr>
                  </w:pPr>
                </w:p>
              </w:tc>
              <w:tc>
                <w:tcPr>
                  <w:tcW w:w="626" w:type="pct"/>
                  <w:vMerge w:val="continue"/>
                  <w:tcBorders>
                    <w:left w:val="single" w:color="auto" w:sz="4" w:space="0"/>
                    <w:bottom w:val="single" w:color="auto" w:sz="4" w:space="0"/>
                    <w:right w:val="single" w:color="auto" w:sz="4" w:space="0"/>
                  </w:tcBorders>
                  <w:vAlign w:val="center"/>
                </w:tcPr>
                <w:p w14:paraId="10929A8B">
                  <w:pPr>
                    <w:snapToGrid w:val="0"/>
                    <w:spacing w:line="240" w:lineRule="auto"/>
                    <w:ind w:firstLine="0" w:firstLineChars="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4363A6B3">
                  <w:pPr>
                    <w:snapToGrid w:val="0"/>
                    <w:spacing w:line="240" w:lineRule="auto"/>
                    <w:ind w:firstLine="420" w:firstLineChars="200"/>
                    <w:jc w:val="left"/>
                    <w:rPr>
                      <w:color w:val="auto"/>
                      <w:sz w:val="21"/>
                      <w:szCs w:val="21"/>
                    </w:rPr>
                  </w:pPr>
                  <w:r>
                    <w:rPr>
                      <w:color w:val="auto"/>
                      <w:sz w:val="21"/>
                      <w:szCs w:val="21"/>
                    </w:rPr>
                    <w:t>污水处理站：位于医院北侧，处理工艺为“一级强化处理+消毒”，处理规模为250m</w:t>
                  </w:r>
                  <w:r>
                    <w:rPr>
                      <w:color w:val="auto"/>
                      <w:sz w:val="21"/>
                      <w:szCs w:val="21"/>
                      <w:vertAlign w:val="superscript"/>
                    </w:rPr>
                    <w:t>3</w:t>
                  </w:r>
                  <w:r>
                    <w:rPr>
                      <w:color w:val="auto"/>
                      <w:sz w:val="21"/>
                      <w:szCs w:val="21"/>
                    </w:rPr>
                    <w:t>/d。</w:t>
                  </w:r>
                </w:p>
              </w:tc>
              <w:tc>
                <w:tcPr>
                  <w:tcW w:w="2029" w:type="pct"/>
                  <w:tcBorders>
                    <w:top w:val="single" w:color="auto" w:sz="4" w:space="0"/>
                    <w:left w:val="single" w:color="auto" w:sz="4" w:space="0"/>
                    <w:bottom w:val="single" w:color="auto" w:sz="4" w:space="0"/>
                    <w:right w:val="single" w:color="auto" w:sz="4" w:space="0"/>
                  </w:tcBorders>
                  <w:vAlign w:val="center"/>
                </w:tcPr>
                <w:p w14:paraId="41E08253">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3781DE62">
                  <w:pPr>
                    <w:snapToGrid w:val="0"/>
                    <w:spacing w:line="240" w:lineRule="auto"/>
                    <w:ind w:firstLine="0" w:firstLineChars="0"/>
                    <w:jc w:val="center"/>
                    <w:rPr>
                      <w:color w:val="auto"/>
                      <w:sz w:val="21"/>
                      <w:szCs w:val="21"/>
                    </w:rPr>
                  </w:pPr>
                  <w:r>
                    <w:rPr>
                      <w:color w:val="auto"/>
                      <w:sz w:val="21"/>
                      <w:szCs w:val="21"/>
                    </w:rPr>
                    <w:t>依托</w:t>
                  </w:r>
                </w:p>
              </w:tc>
            </w:tr>
            <w:tr w14:paraId="5D0E2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89" w:type="pct"/>
                  <w:vMerge w:val="continue"/>
                  <w:tcBorders>
                    <w:left w:val="single" w:color="auto" w:sz="4" w:space="0"/>
                    <w:right w:val="single" w:color="auto" w:sz="4" w:space="0"/>
                  </w:tcBorders>
                  <w:vAlign w:val="center"/>
                </w:tcPr>
                <w:p w14:paraId="51549075">
                  <w:pPr>
                    <w:snapToGrid w:val="0"/>
                    <w:spacing w:line="240" w:lineRule="auto"/>
                    <w:ind w:firstLine="0" w:firstLineChars="0"/>
                    <w:jc w:val="center"/>
                    <w:rPr>
                      <w:color w:val="auto"/>
                      <w:sz w:val="21"/>
                      <w:szCs w:val="21"/>
                    </w:rPr>
                  </w:pPr>
                </w:p>
              </w:tc>
              <w:tc>
                <w:tcPr>
                  <w:tcW w:w="626" w:type="pct"/>
                  <w:vMerge w:val="restart"/>
                  <w:tcBorders>
                    <w:top w:val="single" w:color="auto" w:sz="4" w:space="0"/>
                    <w:left w:val="single" w:color="auto" w:sz="4" w:space="0"/>
                    <w:right w:val="single" w:color="auto" w:sz="4" w:space="0"/>
                  </w:tcBorders>
                  <w:vAlign w:val="center"/>
                </w:tcPr>
                <w:p w14:paraId="4A8596F3">
                  <w:pPr>
                    <w:snapToGrid w:val="0"/>
                    <w:spacing w:line="240" w:lineRule="auto"/>
                    <w:ind w:firstLine="0" w:firstLineChars="0"/>
                    <w:jc w:val="center"/>
                    <w:rPr>
                      <w:color w:val="auto"/>
                      <w:sz w:val="21"/>
                      <w:szCs w:val="21"/>
                    </w:rPr>
                  </w:pPr>
                  <w:r>
                    <w:rPr>
                      <w:color w:val="auto"/>
                      <w:sz w:val="21"/>
                      <w:szCs w:val="21"/>
                    </w:rPr>
                    <w:t>废气治理</w:t>
                  </w:r>
                </w:p>
              </w:tc>
              <w:tc>
                <w:tcPr>
                  <w:tcW w:w="1758" w:type="pct"/>
                  <w:tcBorders>
                    <w:top w:val="single" w:color="auto" w:sz="4" w:space="0"/>
                    <w:left w:val="single" w:color="auto" w:sz="4" w:space="0"/>
                    <w:bottom w:val="single" w:color="auto" w:sz="4" w:space="0"/>
                    <w:right w:val="single" w:color="auto" w:sz="4" w:space="0"/>
                  </w:tcBorders>
                  <w:vAlign w:val="center"/>
                </w:tcPr>
                <w:p w14:paraId="362D075D">
                  <w:pPr>
                    <w:snapToGrid w:val="0"/>
                    <w:spacing w:line="240" w:lineRule="auto"/>
                    <w:ind w:firstLine="420" w:firstLineChars="200"/>
                    <w:jc w:val="left"/>
                    <w:rPr>
                      <w:color w:val="auto"/>
                      <w:sz w:val="21"/>
                      <w:szCs w:val="21"/>
                    </w:rPr>
                  </w:pPr>
                  <w:r>
                    <w:rPr>
                      <w:color w:val="auto"/>
                      <w:sz w:val="21"/>
                      <w:szCs w:val="21"/>
                    </w:rPr>
                    <w:t>备用发电机房配备废气经排烟管送至排风机房通过通风机排放。</w:t>
                  </w:r>
                </w:p>
              </w:tc>
              <w:tc>
                <w:tcPr>
                  <w:tcW w:w="2029" w:type="pct"/>
                  <w:tcBorders>
                    <w:top w:val="single" w:color="auto" w:sz="4" w:space="0"/>
                    <w:left w:val="single" w:color="auto" w:sz="4" w:space="0"/>
                    <w:bottom w:val="single" w:color="auto" w:sz="4" w:space="0"/>
                    <w:right w:val="single" w:color="auto" w:sz="4" w:space="0"/>
                  </w:tcBorders>
                  <w:vAlign w:val="center"/>
                </w:tcPr>
                <w:p w14:paraId="27C6EED1">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BD8D3EA">
                  <w:pPr>
                    <w:snapToGrid w:val="0"/>
                    <w:spacing w:line="240" w:lineRule="auto"/>
                    <w:ind w:firstLine="0" w:firstLineChars="0"/>
                    <w:jc w:val="center"/>
                    <w:rPr>
                      <w:color w:val="auto"/>
                      <w:sz w:val="21"/>
                      <w:szCs w:val="21"/>
                    </w:rPr>
                  </w:pPr>
                  <w:r>
                    <w:rPr>
                      <w:color w:val="auto"/>
                      <w:sz w:val="21"/>
                      <w:szCs w:val="21"/>
                    </w:rPr>
                    <w:t>依托</w:t>
                  </w:r>
                </w:p>
              </w:tc>
            </w:tr>
            <w:tr w14:paraId="48F6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89" w:type="pct"/>
                  <w:vMerge w:val="continue"/>
                  <w:tcBorders>
                    <w:left w:val="single" w:color="auto" w:sz="4" w:space="0"/>
                    <w:right w:val="single" w:color="auto" w:sz="4" w:space="0"/>
                  </w:tcBorders>
                  <w:vAlign w:val="center"/>
                </w:tcPr>
                <w:p w14:paraId="04F4A166">
                  <w:pPr>
                    <w:snapToGrid w:val="0"/>
                    <w:spacing w:line="240" w:lineRule="auto"/>
                    <w:ind w:firstLine="0" w:firstLineChars="0"/>
                    <w:jc w:val="center"/>
                    <w:rPr>
                      <w:color w:val="auto"/>
                      <w:sz w:val="21"/>
                      <w:szCs w:val="21"/>
                    </w:rPr>
                  </w:pPr>
                </w:p>
              </w:tc>
              <w:tc>
                <w:tcPr>
                  <w:tcW w:w="626" w:type="pct"/>
                  <w:vMerge w:val="continue"/>
                  <w:tcBorders>
                    <w:left w:val="single" w:color="auto" w:sz="4" w:space="0"/>
                    <w:right w:val="single" w:color="auto" w:sz="4" w:space="0"/>
                  </w:tcBorders>
                  <w:vAlign w:val="center"/>
                </w:tcPr>
                <w:p w14:paraId="354C4F4B">
                  <w:pPr>
                    <w:snapToGrid w:val="0"/>
                    <w:spacing w:line="240" w:lineRule="auto"/>
                    <w:ind w:firstLine="0" w:firstLineChars="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3FBD7D75">
                  <w:pPr>
                    <w:snapToGrid w:val="0"/>
                    <w:spacing w:line="240" w:lineRule="auto"/>
                    <w:ind w:firstLine="420" w:firstLineChars="200"/>
                    <w:jc w:val="left"/>
                    <w:rPr>
                      <w:color w:val="auto"/>
                      <w:sz w:val="21"/>
                      <w:szCs w:val="21"/>
                    </w:rPr>
                  </w:pPr>
                  <w:r>
                    <w:rPr>
                      <w:color w:val="auto"/>
                      <w:sz w:val="21"/>
                      <w:szCs w:val="21"/>
                    </w:rPr>
                    <w:t>厨房油烟经抽油烟机处理后排放</w:t>
                  </w:r>
                  <w:r>
                    <w:rPr>
                      <w:rFonts w:hint="eastAsia"/>
                      <w:color w:val="auto"/>
                      <w:sz w:val="21"/>
                      <w:szCs w:val="21"/>
                      <w:vertAlign w:val="baseline"/>
                      <w:lang w:eastAsia="zh-CN"/>
                    </w:rPr>
                    <w:t>。</w:t>
                  </w:r>
                </w:p>
              </w:tc>
              <w:tc>
                <w:tcPr>
                  <w:tcW w:w="2029" w:type="pct"/>
                  <w:tcBorders>
                    <w:top w:val="single" w:color="auto" w:sz="4" w:space="0"/>
                    <w:left w:val="single" w:color="auto" w:sz="4" w:space="0"/>
                    <w:bottom w:val="single" w:color="auto" w:sz="4" w:space="0"/>
                    <w:right w:val="single" w:color="auto" w:sz="4" w:space="0"/>
                  </w:tcBorders>
                  <w:vAlign w:val="center"/>
                </w:tcPr>
                <w:p w14:paraId="2501A75C">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1E7C86B">
                  <w:pPr>
                    <w:snapToGrid w:val="0"/>
                    <w:spacing w:line="240" w:lineRule="auto"/>
                    <w:ind w:firstLine="0" w:firstLineChars="0"/>
                    <w:jc w:val="center"/>
                    <w:rPr>
                      <w:color w:val="auto"/>
                      <w:sz w:val="21"/>
                      <w:szCs w:val="21"/>
                    </w:rPr>
                  </w:pPr>
                  <w:r>
                    <w:rPr>
                      <w:color w:val="auto"/>
                      <w:sz w:val="21"/>
                      <w:szCs w:val="21"/>
                    </w:rPr>
                    <w:t>依托</w:t>
                  </w:r>
                </w:p>
              </w:tc>
            </w:tr>
            <w:tr w14:paraId="14D2C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289" w:type="pct"/>
                  <w:vMerge w:val="continue"/>
                  <w:tcBorders>
                    <w:left w:val="single" w:color="auto" w:sz="4" w:space="0"/>
                    <w:right w:val="single" w:color="auto" w:sz="4" w:space="0"/>
                  </w:tcBorders>
                  <w:vAlign w:val="center"/>
                </w:tcPr>
                <w:p w14:paraId="49C80184">
                  <w:pPr>
                    <w:snapToGrid w:val="0"/>
                    <w:spacing w:line="240" w:lineRule="auto"/>
                    <w:ind w:firstLine="0" w:firstLineChars="0"/>
                    <w:jc w:val="center"/>
                    <w:rPr>
                      <w:color w:val="auto"/>
                      <w:sz w:val="21"/>
                      <w:szCs w:val="21"/>
                    </w:rPr>
                  </w:pPr>
                </w:p>
              </w:tc>
              <w:tc>
                <w:tcPr>
                  <w:tcW w:w="626" w:type="pct"/>
                  <w:tcBorders>
                    <w:top w:val="single" w:color="auto" w:sz="4" w:space="0"/>
                    <w:left w:val="single" w:color="auto" w:sz="4" w:space="0"/>
                    <w:right w:val="single" w:color="auto" w:sz="4" w:space="0"/>
                  </w:tcBorders>
                  <w:vAlign w:val="center"/>
                </w:tcPr>
                <w:p w14:paraId="153C3059">
                  <w:pPr>
                    <w:snapToGrid w:val="0"/>
                    <w:spacing w:line="240" w:lineRule="auto"/>
                    <w:ind w:firstLine="0" w:firstLineChars="0"/>
                    <w:jc w:val="center"/>
                    <w:rPr>
                      <w:color w:val="auto"/>
                      <w:sz w:val="21"/>
                      <w:szCs w:val="21"/>
                    </w:rPr>
                  </w:pPr>
                  <w:r>
                    <w:rPr>
                      <w:color w:val="auto"/>
                      <w:sz w:val="21"/>
                      <w:szCs w:val="21"/>
                    </w:rPr>
                    <w:t>噪声治理</w:t>
                  </w:r>
                </w:p>
              </w:tc>
              <w:tc>
                <w:tcPr>
                  <w:tcW w:w="1758" w:type="pct"/>
                  <w:tcBorders>
                    <w:top w:val="single" w:color="auto" w:sz="4" w:space="0"/>
                    <w:left w:val="single" w:color="auto" w:sz="4" w:space="0"/>
                    <w:bottom w:val="single" w:color="auto" w:sz="4" w:space="0"/>
                    <w:right w:val="single" w:color="auto" w:sz="4" w:space="0"/>
                  </w:tcBorders>
                  <w:vAlign w:val="center"/>
                </w:tcPr>
                <w:p w14:paraId="4A8AF4AD">
                  <w:pPr>
                    <w:snapToGrid w:val="0"/>
                    <w:spacing w:line="240" w:lineRule="auto"/>
                    <w:ind w:firstLine="420" w:firstLineChars="200"/>
                    <w:jc w:val="left"/>
                    <w:rPr>
                      <w:color w:val="auto"/>
                      <w:sz w:val="21"/>
                      <w:szCs w:val="21"/>
                    </w:rPr>
                  </w:pPr>
                  <w:r>
                    <w:rPr>
                      <w:color w:val="auto"/>
                      <w:sz w:val="21"/>
                      <w:szCs w:val="21"/>
                    </w:rPr>
                    <w:t>柴油发电机、水泵、电梯间等均设置在独立设备间。</w:t>
                  </w:r>
                </w:p>
              </w:tc>
              <w:tc>
                <w:tcPr>
                  <w:tcW w:w="2029" w:type="pct"/>
                  <w:tcBorders>
                    <w:top w:val="single" w:color="auto" w:sz="4" w:space="0"/>
                    <w:left w:val="single" w:color="auto" w:sz="4" w:space="0"/>
                    <w:bottom w:val="single" w:color="auto" w:sz="4" w:space="0"/>
                    <w:right w:val="single" w:color="auto" w:sz="4" w:space="0"/>
                  </w:tcBorders>
                  <w:vAlign w:val="center"/>
                </w:tcPr>
                <w:p w14:paraId="1824B8DF">
                  <w:pPr>
                    <w:snapToGrid w:val="0"/>
                    <w:spacing w:line="240" w:lineRule="auto"/>
                    <w:ind w:firstLine="420" w:firstLineChars="200"/>
                    <w:jc w:val="left"/>
                    <w:rPr>
                      <w:rFonts w:hint="eastAsia" w:eastAsia="宋体"/>
                      <w:color w:val="auto"/>
                      <w:sz w:val="21"/>
                      <w:szCs w:val="21"/>
                      <w:lang w:eastAsia="zh-CN"/>
                    </w:rPr>
                  </w:pPr>
                  <w:r>
                    <w:rPr>
                      <w:rFonts w:hint="eastAsia"/>
                      <w:color w:val="auto"/>
                      <w:sz w:val="21"/>
                      <w:szCs w:val="21"/>
                      <w:lang w:val="en-US"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0F2C7E44">
                  <w:pPr>
                    <w:snapToGrid w:val="0"/>
                    <w:spacing w:line="240" w:lineRule="auto"/>
                    <w:ind w:firstLine="0" w:firstLineChars="0"/>
                    <w:jc w:val="center"/>
                    <w:rPr>
                      <w:color w:val="auto"/>
                      <w:sz w:val="21"/>
                      <w:szCs w:val="21"/>
                    </w:rPr>
                  </w:pPr>
                  <w:r>
                    <w:rPr>
                      <w:color w:val="auto"/>
                      <w:sz w:val="21"/>
                      <w:szCs w:val="21"/>
                    </w:rPr>
                    <w:t>部分依托</w:t>
                  </w:r>
                </w:p>
              </w:tc>
            </w:tr>
            <w:tr w14:paraId="70202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 w:hRule="atLeast"/>
              </w:trPr>
              <w:tc>
                <w:tcPr>
                  <w:tcW w:w="289" w:type="pct"/>
                  <w:vMerge w:val="continue"/>
                  <w:tcBorders>
                    <w:left w:val="single" w:color="auto" w:sz="4" w:space="0"/>
                    <w:right w:val="single" w:color="auto" w:sz="4" w:space="0"/>
                  </w:tcBorders>
                  <w:vAlign w:val="center"/>
                </w:tcPr>
                <w:p w14:paraId="58409EBC">
                  <w:pPr>
                    <w:snapToGrid w:val="0"/>
                    <w:spacing w:line="240" w:lineRule="auto"/>
                    <w:ind w:firstLine="0" w:firstLineChars="0"/>
                    <w:jc w:val="center"/>
                    <w:rPr>
                      <w:color w:val="auto"/>
                      <w:sz w:val="21"/>
                      <w:szCs w:val="21"/>
                    </w:rPr>
                  </w:pPr>
                </w:p>
              </w:tc>
              <w:tc>
                <w:tcPr>
                  <w:tcW w:w="626" w:type="pct"/>
                  <w:vMerge w:val="restart"/>
                  <w:tcBorders>
                    <w:top w:val="single" w:color="auto" w:sz="4" w:space="0"/>
                    <w:left w:val="single" w:color="auto" w:sz="4" w:space="0"/>
                    <w:right w:val="single" w:color="auto" w:sz="4" w:space="0"/>
                  </w:tcBorders>
                  <w:vAlign w:val="center"/>
                </w:tcPr>
                <w:p w14:paraId="00F89439">
                  <w:pPr>
                    <w:snapToGrid w:val="0"/>
                    <w:spacing w:line="240" w:lineRule="auto"/>
                    <w:ind w:firstLine="0" w:firstLineChars="0"/>
                    <w:jc w:val="center"/>
                    <w:rPr>
                      <w:color w:val="auto"/>
                      <w:sz w:val="21"/>
                      <w:szCs w:val="21"/>
                    </w:rPr>
                  </w:pPr>
                  <w:r>
                    <w:rPr>
                      <w:color w:val="auto"/>
                      <w:sz w:val="21"/>
                      <w:szCs w:val="21"/>
                    </w:rPr>
                    <w:t>固废治理</w:t>
                  </w:r>
                </w:p>
              </w:tc>
              <w:tc>
                <w:tcPr>
                  <w:tcW w:w="1758" w:type="pct"/>
                  <w:tcBorders>
                    <w:top w:val="single" w:color="auto" w:sz="4" w:space="0"/>
                    <w:left w:val="single" w:color="auto" w:sz="4" w:space="0"/>
                    <w:bottom w:val="single" w:color="auto" w:sz="4" w:space="0"/>
                    <w:right w:val="single" w:color="auto" w:sz="4" w:space="0"/>
                  </w:tcBorders>
                  <w:vAlign w:val="center"/>
                </w:tcPr>
                <w:p w14:paraId="4D6CE792">
                  <w:pPr>
                    <w:snapToGrid w:val="0"/>
                    <w:spacing w:line="240" w:lineRule="auto"/>
                    <w:ind w:firstLine="420" w:firstLineChars="200"/>
                    <w:jc w:val="left"/>
                    <w:rPr>
                      <w:color w:val="auto"/>
                      <w:sz w:val="21"/>
                      <w:szCs w:val="21"/>
                    </w:rPr>
                  </w:pPr>
                  <w:r>
                    <w:rPr>
                      <w:color w:val="auto"/>
                      <w:sz w:val="21"/>
                      <w:szCs w:val="21"/>
                    </w:rPr>
                    <w:t>各层均设置医废</w:t>
                  </w:r>
                  <w:r>
                    <w:rPr>
                      <w:rFonts w:hint="eastAsia"/>
                      <w:color w:val="auto"/>
                      <w:sz w:val="21"/>
                      <w:szCs w:val="21"/>
                    </w:rPr>
                    <w:t>收集处</w:t>
                  </w:r>
                  <w:r>
                    <w:rPr>
                      <w:color w:val="auto"/>
                      <w:sz w:val="21"/>
                      <w:szCs w:val="21"/>
                    </w:rPr>
                    <w:t>，对医疗固废集中分类收集</w:t>
                  </w:r>
                  <w:r>
                    <w:rPr>
                      <w:rFonts w:hint="eastAsia"/>
                      <w:color w:val="auto"/>
                      <w:sz w:val="21"/>
                      <w:szCs w:val="21"/>
                    </w:rPr>
                    <w:t>后运至医废暂存间。</w:t>
                  </w:r>
                </w:p>
              </w:tc>
              <w:tc>
                <w:tcPr>
                  <w:tcW w:w="2029" w:type="pct"/>
                  <w:tcBorders>
                    <w:top w:val="single" w:color="auto" w:sz="4" w:space="0"/>
                    <w:left w:val="single" w:color="auto" w:sz="4" w:space="0"/>
                    <w:bottom w:val="single" w:color="auto" w:sz="4" w:space="0"/>
                    <w:right w:val="single" w:color="auto" w:sz="4" w:space="0"/>
                  </w:tcBorders>
                  <w:vAlign w:val="center"/>
                </w:tcPr>
                <w:p w14:paraId="1ACD5C1F">
                  <w:pPr>
                    <w:snapToGrid w:val="0"/>
                    <w:spacing w:line="240" w:lineRule="auto"/>
                    <w:ind w:firstLine="420" w:firstLineChars="200"/>
                    <w:jc w:val="left"/>
                    <w:rPr>
                      <w:color w:val="auto"/>
                      <w:sz w:val="21"/>
                      <w:szCs w:val="21"/>
                    </w:rPr>
                  </w:pPr>
                  <w:r>
                    <w:rPr>
                      <w:color w:val="auto"/>
                      <w:sz w:val="21"/>
                      <w:szCs w:val="21"/>
                    </w:rPr>
                    <w:t>新建</w:t>
                  </w:r>
                  <w:r>
                    <w:rPr>
                      <w:rFonts w:hint="eastAsia"/>
                      <w:color w:val="auto"/>
                      <w:sz w:val="21"/>
                      <w:szCs w:val="21"/>
                      <w:lang w:val="en-US" w:eastAsia="zh-CN"/>
                    </w:rPr>
                    <w:t>消毒中心</w:t>
                  </w:r>
                  <w:r>
                    <w:rPr>
                      <w:color w:val="auto"/>
                      <w:sz w:val="21"/>
                      <w:szCs w:val="21"/>
                    </w:rPr>
                    <w:t>新建，其余依托原有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7C79569F">
                  <w:pPr>
                    <w:snapToGrid w:val="0"/>
                    <w:spacing w:line="240" w:lineRule="auto"/>
                    <w:ind w:firstLine="0" w:firstLineChars="0"/>
                    <w:jc w:val="center"/>
                    <w:rPr>
                      <w:color w:val="auto"/>
                      <w:sz w:val="21"/>
                      <w:szCs w:val="21"/>
                    </w:rPr>
                  </w:pPr>
                  <w:r>
                    <w:rPr>
                      <w:color w:val="auto"/>
                      <w:sz w:val="21"/>
                      <w:szCs w:val="21"/>
                    </w:rPr>
                    <w:t>部分依托</w:t>
                  </w:r>
                </w:p>
              </w:tc>
            </w:tr>
            <w:tr w14:paraId="0E0F0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00FC6F96">
                  <w:pPr>
                    <w:snapToGrid w:val="0"/>
                    <w:spacing w:line="240" w:lineRule="auto"/>
                    <w:ind w:firstLine="0" w:firstLineChars="0"/>
                    <w:jc w:val="center"/>
                    <w:rPr>
                      <w:color w:val="auto"/>
                      <w:sz w:val="21"/>
                      <w:szCs w:val="21"/>
                    </w:rPr>
                  </w:pPr>
                </w:p>
              </w:tc>
              <w:tc>
                <w:tcPr>
                  <w:tcW w:w="626" w:type="pct"/>
                  <w:vMerge w:val="continue"/>
                  <w:tcBorders>
                    <w:left w:val="single" w:color="auto" w:sz="4" w:space="0"/>
                    <w:right w:val="single" w:color="auto" w:sz="4" w:space="0"/>
                  </w:tcBorders>
                  <w:vAlign w:val="center"/>
                </w:tcPr>
                <w:p w14:paraId="4E732A72">
                  <w:pPr>
                    <w:snapToGrid w:val="0"/>
                    <w:spacing w:line="240" w:lineRule="auto"/>
                    <w:ind w:firstLine="42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04EC3D32">
                  <w:pPr>
                    <w:snapToGrid w:val="0"/>
                    <w:spacing w:line="240" w:lineRule="auto"/>
                    <w:ind w:firstLine="420" w:firstLineChars="200"/>
                    <w:jc w:val="left"/>
                    <w:rPr>
                      <w:color w:val="auto"/>
                      <w:sz w:val="21"/>
                      <w:szCs w:val="21"/>
                    </w:rPr>
                  </w:pPr>
                  <w:r>
                    <w:rPr>
                      <w:color w:val="auto"/>
                      <w:sz w:val="21"/>
                      <w:szCs w:val="21"/>
                    </w:rPr>
                    <w:t>各层及建筑物前设置生活垃圾收集桶。</w:t>
                  </w:r>
                </w:p>
              </w:tc>
              <w:tc>
                <w:tcPr>
                  <w:tcW w:w="2029" w:type="pct"/>
                  <w:tcBorders>
                    <w:top w:val="single" w:color="auto" w:sz="4" w:space="0"/>
                    <w:left w:val="single" w:color="auto" w:sz="4" w:space="0"/>
                    <w:bottom w:val="single" w:color="auto" w:sz="4" w:space="0"/>
                    <w:right w:val="single" w:color="auto" w:sz="4" w:space="0"/>
                  </w:tcBorders>
                  <w:vAlign w:val="center"/>
                </w:tcPr>
                <w:p w14:paraId="5187BC54">
                  <w:pPr>
                    <w:snapToGrid w:val="0"/>
                    <w:spacing w:line="240" w:lineRule="auto"/>
                    <w:ind w:firstLine="420" w:firstLineChars="200"/>
                    <w:jc w:val="left"/>
                    <w:rPr>
                      <w:color w:val="auto"/>
                      <w:sz w:val="21"/>
                      <w:szCs w:val="21"/>
                    </w:rPr>
                  </w:pPr>
                  <w:r>
                    <w:rPr>
                      <w:color w:val="auto"/>
                      <w:sz w:val="21"/>
                      <w:szCs w:val="21"/>
                    </w:rPr>
                    <w:t>新建</w:t>
                  </w:r>
                  <w:r>
                    <w:rPr>
                      <w:rFonts w:hint="eastAsia"/>
                      <w:color w:val="auto"/>
                      <w:sz w:val="21"/>
                      <w:szCs w:val="21"/>
                      <w:lang w:val="en-US" w:eastAsia="zh-CN"/>
                    </w:rPr>
                    <w:t>消毒中心</w:t>
                  </w:r>
                  <w:r>
                    <w:rPr>
                      <w:color w:val="auto"/>
                      <w:sz w:val="21"/>
                      <w:szCs w:val="21"/>
                    </w:rPr>
                    <w:t>新建，其余依托原有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327D85AF">
                  <w:pPr>
                    <w:snapToGrid w:val="0"/>
                    <w:spacing w:line="240" w:lineRule="auto"/>
                    <w:ind w:firstLine="0" w:firstLineChars="0"/>
                    <w:jc w:val="center"/>
                    <w:rPr>
                      <w:color w:val="auto"/>
                      <w:sz w:val="21"/>
                      <w:szCs w:val="21"/>
                    </w:rPr>
                  </w:pPr>
                  <w:r>
                    <w:rPr>
                      <w:color w:val="auto"/>
                      <w:sz w:val="21"/>
                      <w:szCs w:val="21"/>
                    </w:rPr>
                    <w:t>部分依托</w:t>
                  </w:r>
                </w:p>
              </w:tc>
            </w:tr>
            <w:tr w14:paraId="39815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89" w:type="pct"/>
                  <w:vMerge w:val="continue"/>
                  <w:tcBorders>
                    <w:left w:val="single" w:color="auto" w:sz="4" w:space="0"/>
                    <w:right w:val="single" w:color="auto" w:sz="4" w:space="0"/>
                  </w:tcBorders>
                  <w:vAlign w:val="center"/>
                </w:tcPr>
                <w:p w14:paraId="29AF6B57">
                  <w:pPr>
                    <w:snapToGrid w:val="0"/>
                    <w:spacing w:line="240" w:lineRule="auto"/>
                    <w:ind w:firstLine="0" w:firstLineChars="0"/>
                    <w:jc w:val="center"/>
                    <w:rPr>
                      <w:color w:val="auto"/>
                      <w:sz w:val="21"/>
                      <w:szCs w:val="21"/>
                    </w:rPr>
                  </w:pPr>
                </w:p>
              </w:tc>
              <w:tc>
                <w:tcPr>
                  <w:tcW w:w="626" w:type="pct"/>
                  <w:vMerge w:val="continue"/>
                  <w:tcBorders>
                    <w:left w:val="single" w:color="auto" w:sz="4" w:space="0"/>
                    <w:right w:val="single" w:color="auto" w:sz="4" w:space="0"/>
                  </w:tcBorders>
                  <w:vAlign w:val="center"/>
                </w:tcPr>
                <w:p w14:paraId="284CCAF5">
                  <w:pPr>
                    <w:snapToGrid w:val="0"/>
                    <w:spacing w:line="240" w:lineRule="auto"/>
                    <w:ind w:firstLine="42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44E2F9D3">
                  <w:pPr>
                    <w:snapToGrid w:val="0"/>
                    <w:spacing w:line="240" w:lineRule="auto"/>
                    <w:ind w:firstLine="420" w:firstLineChars="200"/>
                    <w:jc w:val="left"/>
                    <w:rPr>
                      <w:color w:val="auto"/>
                      <w:sz w:val="21"/>
                      <w:szCs w:val="21"/>
                    </w:rPr>
                  </w:pPr>
                  <w:r>
                    <w:rPr>
                      <w:color w:val="auto"/>
                      <w:sz w:val="21"/>
                      <w:szCs w:val="21"/>
                    </w:rPr>
                    <w:t>化粪池污泥经消毒杀菌，</w:t>
                  </w:r>
                  <w:r>
                    <w:rPr>
                      <w:bCs/>
                      <w:color w:val="auto"/>
                      <w:sz w:val="21"/>
                      <w:szCs w:val="21"/>
                    </w:rPr>
                    <w:t>达到《医疗机构水污染排放标准》（GBl8466-2005）表4医疗机构污泥控制标准后，委托有资质的单位清运处置。</w:t>
                  </w:r>
                </w:p>
              </w:tc>
              <w:tc>
                <w:tcPr>
                  <w:tcW w:w="2029" w:type="pct"/>
                  <w:tcBorders>
                    <w:top w:val="single" w:color="auto" w:sz="4" w:space="0"/>
                    <w:left w:val="single" w:color="auto" w:sz="4" w:space="0"/>
                    <w:bottom w:val="single" w:color="auto" w:sz="4" w:space="0"/>
                    <w:right w:val="single" w:color="auto" w:sz="4" w:space="0"/>
                  </w:tcBorders>
                  <w:vAlign w:val="center"/>
                </w:tcPr>
                <w:p w14:paraId="71C1A020">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613975BD">
                  <w:pPr>
                    <w:snapToGrid w:val="0"/>
                    <w:spacing w:line="240" w:lineRule="auto"/>
                    <w:ind w:firstLine="0" w:firstLineChars="0"/>
                    <w:jc w:val="center"/>
                    <w:rPr>
                      <w:color w:val="auto"/>
                      <w:sz w:val="21"/>
                      <w:szCs w:val="21"/>
                    </w:rPr>
                  </w:pPr>
                  <w:r>
                    <w:rPr>
                      <w:color w:val="auto"/>
                      <w:sz w:val="21"/>
                      <w:szCs w:val="21"/>
                    </w:rPr>
                    <w:t>依托</w:t>
                  </w:r>
                </w:p>
              </w:tc>
            </w:tr>
            <w:tr w14:paraId="0B550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289" w:type="pct"/>
                  <w:vMerge w:val="continue"/>
                  <w:tcBorders>
                    <w:left w:val="single" w:color="auto" w:sz="4" w:space="0"/>
                    <w:right w:val="single" w:color="auto" w:sz="4" w:space="0"/>
                  </w:tcBorders>
                  <w:vAlign w:val="center"/>
                </w:tcPr>
                <w:p w14:paraId="5361CA65">
                  <w:pPr>
                    <w:snapToGrid w:val="0"/>
                    <w:spacing w:line="240" w:lineRule="auto"/>
                    <w:ind w:firstLine="0" w:firstLineChars="0"/>
                    <w:jc w:val="center"/>
                    <w:rPr>
                      <w:color w:val="auto"/>
                      <w:sz w:val="21"/>
                      <w:szCs w:val="21"/>
                    </w:rPr>
                  </w:pPr>
                </w:p>
              </w:tc>
              <w:tc>
                <w:tcPr>
                  <w:tcW w:w="626" w:type="pct"/>
                  <w:vMerge w:val="continue"/>
                  <w:tcBorders>
                    <w:left w:val="single" w:color="auto" w:sz="4" w:space="0"/>
                    <w:right w:val="single" w:color="auto" w:sz="4" w:space="0"/>
                  </w:tcBorders>
                  <w:vAlign w:val="center"/>
                </w:tcPr>
                <w:p w14:paraId="613D2C39">
                  <w:pPr>
                    <w:snapToGrid w:val="0"/>
                    <w:spacing w:line="240" w:lineRule="auto"/>
                    <w:ind w:firstLine="0" w:firstLineChars="0"/>
                    <w:jc w:val="center"/>
                    <w:rPr>
                      <w:color w:val="auto"/>
                      <w:sz w:val="21"/>
                      <w:szCs w:val="21"/>
                    </w:rPr>
                  </w:pPr>
                </w:p>
              </w:tc>
              <w:tc>
                <w:tcPr>
                  <w:tcW w:w="1758" w:type="pct"/>
                  <w:tcBorders>
                    <w:top w:val="single" w:color="auto" w:sz="4" w:space="0"/>
                    <w:left w:val="single" w:color="auto" w:sz="4" w:space="0"/>
                    <w:bottom w:val="single" w:color="auto" w:sz="4" w:space="0"/>
                    <w:right w:val="single" w:color="auto" w:sz="4" w:space="0"/>
                  </w:tcBorders>
                  <w:vAlign w:val="center"/>
                </w:tcPr>
                <w:p w14:paraId="73895E09">
                  <w:pPr>
                    <w:snapToGrid w:val="0"/>
                    <w:spacing w:line="240" w:lineRule="auto"/>
                    <w:ind w:firstLine="420" w:firstLineChars="200"/>
                    <w:jc w:val="left"/>
                    <w:rPr>
                      <w:color w:val="auto"/>
                      <w:sz w:val="21"/>
                      <w:szCs w:val="21"/>
                    </w:rPr>
                  </w:pPr>
                  <w:r>
                    <w:rPr>
                      <w:color w:val="auto"/>
                      <w:sz w:val="21"/>
                      <w:szCs w:val="21"/>
                    </w:rPr>
                    <w:t>医疗固废暂存间45m</w:t>
                  </w:r>
                  <w:r>
                    <w:rPr>
                      <w:color w:val="auto"/>
                      <w:sz w:val="21"/>
                      <w:szCs w:val="21"/>
                      <w:vertAlign w:val="superscript"/>
                    </w:rPr>
                    <w:t>2</w:t>
                  </w:r>
                  <w:r>
                    <w:rPr>
                      <w:color w:val="auto"/>
                      <w:sz w:val="21"/>
                      <w:szCs w:val="21"/>
                    </w:rPr>
                    <w:t>：位于医院北侧，分类收集，委托</w:t>
                  </w:r>
                  <w:r>
                    <w:rPr>
                      <w:rFonts w:hint="eastAsia"/>
                      <w:color w:val="auto"/>
                      <w:sz w:val="21"/>
                      <w:szCs w:val="21"/>
                      <w:lang w:eastAsia="zh-CN"/>
                    </w:rPr>
                    <w:t>云南正晓环保投资有限公司</w:t>
                  </w:r>
                  <w:r>
                    <w:rPr>
                      <w:color w:val="auto"/>
                      <w:sz w:val="21"/>
                      <w:szCs w:val="21"/>
                    </w:rPr>
                    <w:t>清运处置。</w:t>
                  </w:r>
                </w:p>
              </w:tc>
              <w:tc>
                <w:tcPr>
                  <w:tcW w:w="2029" w:type="pct"/>
                  <w:tcBorders>
                    <w:top w:val="single" w:color="auto" w:sz="4" w:space="0"/>
                    <w:left w:val="single" w:color="auto" w:sz="4" w:space="0"/>
                    <w:bottom w:val="single" w:color="auto" w:sz="4" w:space="0"/>
                    <w:right w:val="single" w:color="auto" w:sz="4" w:space="0"/>
                  </w:tcBorders>
                  <w:vAlign w:val="center"/>
                </w:tcPr>
                <w:p w14:paraId="1FC6CCCE">
                  <w:pPr>
                    <w:snapToGrid w:val="0"/>
                    <w:spacing w:line="240" w:lineRule="auto"/>
                    <w:ind w:firstLine="420" w:firstLineChars="200"/>
                    <w:jc w:val="left"/>
                    <w:rPr>
                      <w:color w:val="auto"/>
                      <w:sz w:val="21"/>
                      <w:szCs w:val="21"/>
                    </w:rPr>
                  </w:pPr>
                  <w:r>
                    <w:rPr>
                      <w:color w:val="auto"/>
                      <w:sz w:val="21"/>
                      <w:szCs w:val="21"/>
                    </w:rPr>
                    <w:t>依托原有</w:t>
                  </w:r>
                  <w:r>
                    <w:rPr>
                      <w:rFonts w:hint="eastAsia"/>
                      <w:color w:val="auto"/>
                      <w:sz w:val="21"/>
                      <w:szCs w:val="21"/>
                      <w:vertAlign w:val="baseline"/>
                      <w:lang w:eastAsia="zh-CN"/>
                    </w:rPr>
                    <w:t>。</w:t>
                  </w:r>
                </w:p>
              </w:tc>
              <w:tc>
                <w:tcPr>
                  <w:tcW w:w="296" w:type="pct"/>
                  <w:tcBorders>
                    <w:top w:val="single" w:color="auto" w:sz="4" w:space="0"/>
                    <w:left w:val="single" w:color="auto" w:sz="4" w:space="0"/>
                    <w:bottom w:val="single" w:color="auto" w:sz="4" w:space="0"/>
                    <w:right w:val="single" w:color="auto" w:sz="4" w:space="0"/>
                  </w:tcBorders>
                  <w:vAlign w:val="center"/>
                </w:tcPr>
                <w:p w14:paraId="42B20B97">
                  <w:pPr>
                    <w:snapToGrid w:val="0"/>
                    <w:spacing w:line="240" w:lineRule="auto"/>
                    <w:ind w:firstLine="0" w:firstLineChars="0"/>
                    <w:jc w:val="center"/>
                    <w:rPr>
                      <w:color w:val="auto"/>
                      <w:sz w:val="21"/>
                      <w:szCs w:val="21"/>
                    </w:rPr>
                  </w:pPr>
                  <w:r>
                    <w:rPr>
                      <w:color w:val="auto"/>
                      <w:sz w:val="21"/>
                      <w:szCs w:val="21"/>
                    </w:rPr>
                    <w:t>依托</w:t>
                  </w:r>
                </w:p>
              </w:tc>
            </w:tr>
          </w:tbl>
          <w:p w14:paraId="4B2CAECE">
            <w:pPr>
              <w:pStyle w:val="2"/>
              <w:jc w:val="center"/>
              <w:rPr>
                <w:b/>
                <w:color w:val="auto"/>
                <w:kern w:val="2"/>
                <w:sz w:val="21"/>
                <w:szCs w:val="21"/>
                <w:highlight w:val="none"/>
              </w:rPr>
            </w:pPr>
            <w:r>
              <w:rPr>
                <w:b/>
                <w:color w:val="auto"/>
                <w:kern w:val="2"/>
                <w:sz w:val="21"/>
                <w:szCs w:val="21"/>
                <w:highlight w:val="none"/>
              </w:rPr>
              <w:t>表2-</w:t>
            </w:r>
            <w:r>
              <w:rPr>
                <w:rFonts w:hint="eastAsia"/>
                <w:b/>
                <w:color w:val="auto"/>
                <w:kern w:val="2"/>
                <w:sz w:val="21"/>
                <w:szCs w:val="21"/>
                <w:highlight w:val="none"/>
                <w:lang w:val="en-US" w:eastAsia="zh-CN"/>
              </w:rPr>
              <w:t>2江城卫生院</w:t>
            </w:r>
            <w:r>
              <w:rPr>
                <w:b/>
                <w:color w:val="auto"/>
                <w:kern w:val="2"/>
                <w:sz w:val="21"/>
                <w:szCs w:val="21"/>
                <w:highlight w:val="none"/>
              </w:rPr>
              <w:t>项目组成及建设内容一览表</w:t>
            </w:r>
          </w:p>
          <w:tbl>
            <w:tblPr>
              <w:tblStyle w:val="19"/>
              <w:tblW w:w="4935" w:type="pct"/>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933"/>
              <w:gridCol w:w="2641"/>
              <w:gridCol w:w="2917"/>
              <w:gridCol w:w="569"/>
            </w:tblGrid>
            <w:tr w14:paraId="4EB52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 w:hRule="atLeast"/>
              </w:trPr>
              <w:tc>
                <w:tcPr>
                  <w:tcW w:w="900" w:type="pct"/>
                  <w:gridSpan w:val="2"/>
                  <w:tcBorders>
                    <w:top w:val="single" w:color="auto" w:sz="4" w:space="0"/>
                    <w:left w:val="single" w:color="auto" w:sz="4" w:space="0"/>
                    <w:bottom w:val="single" w:color="auto" w:sz="4" w:space="0"/>
                    <w:right w:val="single" w:color="auto" w:sz="4" w:space="0"/>
                  </w:tcBorders>
                  <w:vAlign w:val="center"/>
                </w:tcPr>
                <w:p w14:paraId="717F2394">
                  <w:pPr>
                    <w:snapToGrid w:val="0"/>
                    <w:spacing w:line="240" w:lineRule="auto"/>
                    <w:ind w:firstLine="0" w:firstLineChars="0"/>
                    <w:jc w:val="center"/>
                    <w:rPr>
                      <w:color w:val="auto"/>
                      <w:sz w:val="21"/>
                      <w:szCs w:val="21"/>
                    </w:rPr>
                  </w:pPr>
                  <w:r>
                    <w:rPr>
                      <w:color w:val="auto"/>
                      <w:sz w:val="21"/>
                      <w:szCs w:val="21"/>
                    </w:rPr>
                    <w:t>工程类别</w:t>
                  </w:r>
                </w:p>
              </w:tc>
              <w:tc>
                <w:tcPr>
                  <w:tcW w:w="1767" w:type="pct"/>
                  <w:tcBorders>
                    <w:top w:val="single" w:color="auto" w:sz="4" w:space="0"/>
                    <w:left w:val="single" w:color="auto" w:sz="4" w:space="0"/>
                    <w:bottom w:val="single" w:color="auto" w:sz="4" w:space="0"/>
                    <w:right w:val="single" w:color="auto" w:sz="4" w:space="0"/>
                  </w:tcBorders>
                  <w:vAlign w:val="center"/>
                </w:tcPr>
                <w:p w14:paraId="3BD91E5F">
                  <w:pPr>
                    <w:snapToGrid w:val="0"/>
                    <w:spacing w:line="240" w:lineRule="auto"/>
                    <w:ind w:firstLine="0" w:firstLineChars="0"/>
                    <w:jc w:val="center"/>
                    <w:rPr>
                      <w:color w:val="auto"/>
                      <w:sz w:val="21"/>
                      <w:szCs w:val="21"/>
                    </w:rPr>
                  </w:pPr>
                  <w:r>
                    <w:rPr>
                      <w:color w:val="auto"/>
                      <w:sz w:val="21"/>
                      <w:szCs w:val="21"/>
                    </w:rPr>
                    <w:t>原项目建设内容</w:t>
                  </w:r>
                </w:p>
              </w:tc>
              <w:tc>
                <w:tcPr>
                  <w:tcW w:w="1951" w:type="pct"/>
                  <w:tcBorders>
                    <w:top w:val="single" w:color="auto" w:sz="4" w:space="0"/>
                    <w:left w:val="single" w:color="auto" w:sz="4" w:space="0"/>
                    <w:bottom w:val="single" w:color="auto" w:sz="4" w:space="0"/>
                    <w:right w:val="single" w:color="auto" w:sz="4" w:space="0"/>
                  </w:tcBorders>
                  <w:vAlign w:val="center"/>
                </w:tcPr>
                <w:p w14:paraId="66004748">
                  <w:pPr>
                    <w:snapToGrid w:val="0"/>
                    <w:spacing w:line="240" w:lineRule="auto"/>
                    <w:ind w:firstLine="0" w:firstLineChars="0"/>
                    <w:jc w:val="center"/>
                    <w:rPr>
                      <w:color w:val="auto"/>
                      <w:sz w:val="21"/>
                      <w:szCs w:val="21"/>
                    </w:rPr>
                  </w:pPr>
                  <w:r>
                    <w:rPr>
                      <w:color w:val="auto"/>
                      <w:sz w:val="21"/>
                      <w:szCs w:val="21"/>
                    </w:rPr>
                    <w:t>本次建设内容</w:t>
                  </w:r>
                </w:p>
              </w:tc>
              <w:tc>
                <w:tcPr>
                  <w:tcW w:w="380" w:type="pct"/>
                  <w:tcBorders>
                    <w:top w:val="single" w:color="auto" w:sz="4" w:space="0"/>
                    <w:left w:val="single" w:color="auto" w:sz="4" w:space="0"/>
                    <w:bottom w:val="single" w:color="auto" w:sz="4" w:space="0"/>
                    <w:right w:val="single" w:color="auto" w:sz="4" w:space="0"/>
                  </w:tcBorders>
                  <w:vAlign w:val="center"/>
                </w:tcPr>
                <w:p w14:paraId="3D42B1CE">
                  <w:pPr>
                    <w:snapToGrid w:val="0"/>
                    <w:spacing w:line="240" w:lineRule="auto"/>
                    <w:ind w:firstLine="0" w:firstLineChars="0"/>
                    <w:jc w:val="center"/>
                    <w:rPr>
                      <w:color w:val="auto"/>
                      <w:sz w:val="21"/>
                      <w:szCs w:val="21"/>
                    </w:rPr>
                  </w:pPr>
                  <w:r>
                    <w:rPr>
                      <w:color w:val="auto"/>
                      <w:sz w:val="21"/>
                      <w:szCs w:val="21"/>
                    </w:rPr>
                    <w:t>备注</w:t>
                  </w:r>
                </w:p>
              </w:tc>
            </w:tr>
            <w:tr w14:paraId="49794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7" w:hRule="atLeast"/>
              </w:trPr>
              <w:tc>
                <w:tcPr>
                  <w:tcW w:w="276" w:type="pct"/>
                  <w:vMerge w:val="restart"/>
                  <w:tcBorders>
                    <w:top w:val="single" w:color="auto" w:sz="4" w:space="0"/>
                    <w:left w:val="single" w:color="auto" w:sz="4" w:space="0"/>
                    <w:right w:val="single" w:color="auto" w:sz="4" w:space="0"/>
                  </w:tcBorders>
                  <w:vAlign w:val="center"/>
                </w:tcPr>
                <w:p w14:paraId="389351B5">
                  <w:pPr>
                    <w:snapToGrid w:val="0"/>
                    <w:spacing w:line="240" w:lineRule="auto"/>
                    <w:ind w:firstLine="0" w:firstLineChars="0"/>
                    <w:jc w:val="center"/>
                    <w:rPr>
                      <w:color w:val="auto"/>
                      <w:sz w:val="21"/>
                      <w:szCs w:val="21"/>
                    </w:rPr>
                  </w:pPr>
                  <w:r>
                    <w:rPr>
                      <w:color w:val="auto"/>
                      <w:sz w:val="21"/>
                      <w:szCs w:val="21"/>
                    </w:rPr>
                    <w:t>主体工程</w:t>
                  </w:r>
                </w:p>
              </w:tc>
              <w:tc>
                <w:tcPr>
                  <w:tcW w:w="624" w:type="pct"/>
                  <w:tcBorders>
                    <w:top w:val="single" w:color="auto" w:sz="4" w:space="0"/>
                    <w:left w:val="single" w:color="auto" w:sz="4" w:space="0"/>
                    <w:bottom w:val="single" w:color="auto" w:sz="4" w:space="0"/>
                    <w:right w:val="single" w:color="auto" w:sz="4" w:space="0"/>
                  </w:tcBorders>
                  <w:vAlign w:val="center"/>
                </w:tcPr>
                <w:p w14:paraId="3E837982">
                  <w:pPr>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新建综合楼</w:t>
                  </w:r>
                </w:p>
              </w:tc>
              <w:tc>
                <w:tcPr>
                  <w:tcW w:w="1767" w:type="pct"/>
                  <w:tcBorders>
                    <w:top w:val="single" w:color="auto" w:sz="4" w:space="0"/>
                    <w:left w:val="single" w:color="auto" w:sz="4" w:space="0"/>
                    <w:bottom w:val="single" w:color="auto" w:sz="4" w:space="0"/>
                    <w:right w:val="single" w:color="auto" w:sz="4" w:space="0"/>
                  </w:tcBorders>
                  <w:vAlign w:val="center"/>
                </w:tcPr>
                <w:p w14:paraId="01368FAD">
                  <w:pPr>
                    <w:snapToGrid w:val="0"/>
                    <w:spacing w:line="240" w:lineRule="auto"/>
                    <w:ind w:firstLine="420" w:firstLineChars="200"/>
                    <w:jc w:val="left"/>
                    <w:rPr>
                      <w:color w:val="auto"/>
                      <w:sz w:val="21"/>
                      <w:szCs w:val="21"/>
                    </w:rPr>
                  </w:pPr>
                  <w:r>
                    <w:rPr>
                      <w:color w:val="auto"/>
                      <w:sz w:val="21"/>
                      <w:szCs w:val="21"/>
                    </w:rPr>
                    <w:t>1栋</w:t>
                  </w:r>
                  <w:r>
                    <w:rPr>
                      <w:rFonts w:hint="eastAsia"/>
                      <w:color w:val="auto"/>
                      <w:sz w:val="21"/>
                      <w:szCs w:val="21"/>
                      <w:lang w:val="en-US" w:eastAsia="zh-CN"/>
                    </w:rPr>
                    <w:t>5</w:t>
                  </w:r>
                  <w:r>
                    <w:rPr>
                      <w:color w:val="auto"/>
                      <w:sz w:val="21"/>
                      <w:szCs w:val="21"/>
                    </w:rPr>
                    <w:t>层，</w:t>
                  </w:r>
                  <w:r>
                    <w:rPr>
                      <w:rFonts w:hint="eastAsia"/>
                      <w:color w:val="auto"/>
                      <w:sz w:val="21"/>
                      <w:szCs w:val="21"/>
                      <w:lang w:val="en-US" w:eastAsia="zh-CN"/>
                    </w:rPr>
                    <w:t>地上</w:t>
                  </w:r>
                  <w:r>
                    <w:rPr>
                      <w:color w:val="auto"/>
                      <w:sz w:val="21"/>
                      <w:szCs w:val="21"/>
                    </w:rPr>
                    <w:t>建筑面积为</w:t>
                  </w:r>
                  <w:r>
                    <w:rPr>
                      <w:rFonts w:hint="eastAsia"/>
                      <w:color w:val="auto"/>
                      <w:sz w:val="21"/>
                      <w:szCs w:val="21"/>
                      <w:lang w:val="en-US" w:eastAsia="zh-CN"/>
                    </w:rPr>
                    <w:t>4659.54</w:t>
                  </w:r>
                  <w:r>
                    <w:rPr>
                      <w:color w:val="auto"/>
                      <w:sz w:val="21"/>
                      <w:szCs w:val="21"/>
                    </w:rPr>
                    <w:t>m</w:t>
                  </w:r>
                  <w:r>
                    <w:rPr>
                      <w:color w:val="auto"/>
                      <w:sz w:val="21"/>
                      <w:szCs w:val="21"/>
                      <w:vertAlign w:val="superscript"/>
                    </w:rPr>
                    <w:t>2</w:t>
                  </w:r>
                </w:p>
              </w:tc>
              <w:tc>
                <w:tcPr>
                  <w:tcW w:w="1951" w:type="pct"/>
                  <w:tcBorders>
                    <w:top w:val="single" w:color="auto" w:sz="4" w:space="0"/>
                    <w:left w:val="single" w:color="auto" w:sz="4" w:space="0"/>
                    <w:bottom w:val="single" w:color="auto" w:sz="4" w:space="0"/>
                    <w:right w:val="single" w:color="auto" w:sz="4" w:space="0"/>
                  </w:tcBorders>
                  <w:vAlign w:val="center"/>
                </w:tcPr>
                <w:p w14:paraId="29947CF4">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新建综合楼位于项目区东侧，总高22.35m，隔振层1层，地上5层；隔振层层高2.9m，地上一层层高4.8m，2~5层层高4.2,m，室内外高差为0.45m。一层：建筑面积901.90㎡，急诊诊疗与影像中心；二层：建筑面积901.90㎡，诊疗服务与综合服务层；三层：建筑面积901.90㎡，医技与健康服务层；四层：建筑面积901.90㎡，重症救治与手术中心；五层：建筑面积901.90㎡，住院病房。本次改造在原有建筑内进行，不新增建筑及占地。</w:t>
                  </w:r>
                </w:p>
              </w:tc>
              <w:tc>
                <w:tcPr>
                  <w:tcW w:w="380" w:type="pct"/>
                  <w:tcBorders>
                    <w:top w:val="single" w:color="auto" w:sz="4" w:space="0"/>
                    <w:left w:val="single" w:color="auto" w:sz="4" w:space="0"/>
                    <w:bottom w:val="single" w:color="auto" w:sz="4" w:space="0"/>
                    <w:right w:val="single" w:color="auto" w:sz="4" w:space="0"/>
                  </w:tcBorders>
                  <w:vAlign w:val="center"/>
                </w:tcPr>
                <w:p w14:paraId="71102FE5">
                  <w:pPr>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新建</w:t>
                  </w:r>
                </w:p>
              </w:tc>
            </w:tr>
            <w:tr w14:paraId="25F23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1D8DD834">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5884D039">
                  <w:pPr>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新建设备房</w:t>
                  </w:r>
                </w:p>
              </w:tc>
              <w:tc>
                <w:tcPr>
                  <w:tcW w:w="1767" w:type="pct"/>
                  <w:tcBorders>
                    <w:top w:val="single" w:color="auto" w:sz="4" w:space="0"/>
                    <w:left w:val="single" w:color="auto" w:sz="4" w:space="0"/>
                    <w:bottom w:val="single" w:color="auto" w:sz="4" w:space="0"/>
                    <w:right w:val="single" w:color="auto" w:sz="4" w:space="0"/>
                  </w:tcBorders>
                  <w:vAlign w:val="center"/>
                </w:tcPr>
                <w:p w14:paraId="3ACD0D42">
                  <w:pPr>
                    <w:snapToGrid w:val="0"/>
                    <w:spacing w:line="240" w:lineRule="auto"/>
                    <w:ind w:firstLine="420" w:firstLineChars="200"/>
                    <w:jc w:val="left"/>
                    <w:rPr>
                      <w:rFonts w:hint="eastAsia" w:eastAsia="宋体"/>
                      <w:color w:val="auto"/>
                      <w:sz w:val="21"/>
                      <w:szCs w:val="21"/>
                      <w:lang w:eastAsia="zh-CN"/>
                    </w:rPr>
                  </w:pPr>
                  <w:r>
                    <w:rPr>
                      <w:rFonts w:hint="eastAsia"/>
                      <w:color w:val="auto"/>
                      <w:sz w:val="21"/>
                      <w:szCs w:val="21"/>
                      <w:lang w:val="en-US" w:eastAsia="zh-CN"/>
                    </w:rPr>
                    <w:t>/</w:t>
                  </w:r>
                </w:p>
              </w:tc>
              <w:tc>
                <w:tcPr>
                  <w:tcW w:w="1951" w:type="pct"/>
                  <w:tcBorders>
                    <w:top w:val="single" w:color="auto" w:sz="4" w:space="0"/>
                    <w:left w:val="single" w:color="auto" w:sz="4" w:space="0"/>
                    <w:bottom w:val="single" w:color="auto" w:sz="4" w:space="0"/>
                    <w:right w:val="single" w:color="auto" w:sz="4" w:space="0"/>
                  </w:tcBorders>
                  <w:vAlign w:val="center"/>
                </w:tcPr>
                <w:p w14:paraId="633F547F">
                  <w:pPr>
                    <w:snapToGrid w:val="0"/>
                    <w:spacing w:line="240" w:lineRule="auto"/>
                    <w:ind w:firstLine="420" w:firstLineChars="200"/>
                    <w:jc w:val="left"/>
                    <w:rPr>
                      <w:rFonts w:hint="default"/>
                      <w:color w:val="auto"/>
                      <w:sz w:val="21"/>
                      <w:szCs w:val="21"/>
                      <w:lang w:val="en-US"/>
                    </w:rPr>
                  </w:pPr>
                  <w:r>
                    <w:rPr>
                      <w:rFonts w:hint="eastAsia"/>
                      <w:color w:val="auto"/>
                      <w:sz w:val="21"/>
                      <w:szCs w:val="21"/>
                      <w:lang w:val="en-US" w:eastAsia="zh-CN"/>
                    </w:rPr>
                    <w:t>位于项目区西侧，</w:t>
                  </w:r>
                  <w:r>
                    <w:rPr>
                      <w:color w:val="auto"/>
                      <w:sz w:val="21"/>
                      <w:szCs w:val="21"/>
                    </w:rPr>
                    <w:t>1栋</w:t>
                  </w:r>
                  <w:r>
                    <w:rPr>
                      <w:rFonts w:hint="eastAsia"/>
                      <w:color w:val="auto"/>
                      <w:sz w:val="21"/>
                      <w:szCs w:val="21"/>
                      <w:lang w:val="en-US" w:eastAsia="zh-CN"/>
                    </w:rPr>
                    <w:t>1</w:t>
                  </w:r>
                  <w:r>
                    <w:rPr>
                      <w:color w:val="auto"/>
                      <w:sz w:val="21"/>
                      <w:szCs w:val="21"/>
                    </w:rPr>
                    <w:t>层，建筑面积为</w:t>
                  </w:r>
                  <w:r>
                    <w:rPr>
                      <w:rFonts w:hint="eastAsia"/>
                      <w:color w:val="auto"/>
                      <w:sz w:val="21"/>
                      <w:szCs w:val="21"/>
                      <w:lang w:val="en-US" w:eastAsia="zh-CN"/>
                    </w:rPr>
                    <w:t>185.44</w:t>
                  </w:r>
                  <w:r>
                    <w:rPr>
                      <w:color w:val="auto"/>
                      <w:sz w:val="21"/>
                      <w:szCs w:val="21"/>
                    </w:rPr>
                    <w:t>m</w:t>
                  </w:r>
                  <w:r>
                    <w:rPr>
                      <w:color w:val="auto"/>
                      <w:sz w:val="21"/>
                      <w:szCs w:val="21"/>
                      <w:vertAlign w:val="superscript"/>
                    </w:rPr>
                    <w:t>2</w:t>
                  </w:r>
                  <w:r>
                    <w:rPr>
                      <w:rFonts w:hint="eastAsia"/>
                      <w:color w:val="auto"/>
                      <w:sz w:val="21"/>
                      <w:szCs w:val="21"/>
                      <w:vertAlign w:val="baseline"/>
                      <w:lang w:eastAsia="zh-CN"/>
                    </w:rPr>
                    <w:t>；</w:t>
                  </w:r>
                  <w:r>
                    <w:rPr>
                      <w:rFonts w:hint="eastAsia"/>
                      <w:color w:val="auto"/>
                      <w:sz w:val="21"/>
                      <w:szCs w:val="21"/>
                      <w:vertAlign w:val="baseline"/>
                      <w:lang w:val="en-US" w:eastAsia="zh-CN"/>
                    </w:rPr>
                    <w:t>负一层：</w:t>
                  </w:r>
                  <w:r>
                    <w:rPr>
                      <w:rFonts w:hint="eastAsia"/>
                      <w:color w:val="auto"/>
                      <w:sz w:val="21"/>
                      <w:szCs w:val="21"/>
                      <w:lang w:val="en-US" w:eastAsia="zh-CN"/>
                    </w:rPr>
                    <w:t>消防水池、生活水池、楼梯间；一层：变配电室、柴油发电机房、楼梯间。</w:t>
                  </w:r>
                </w:p>
              </w:tc>
              <w:tc>
                <w:tcPr>
                  <w:tcW w:w="380" w:type="pct"/>
                  <w:tcBorders>
                    <w:top w:val="single" w:color="auto" w:sz="4" w:space="0"/>
                    <w:left w:val="single" w:color="auto" w:sz="4" w:space="0"/>
                    <w:bottom w:val="single" w:color="auto" w:sz="4" w:space="0"/>
                    <w:right w:val="single" w:color="auto" w:sz="4" w:space="0"/>
                  </w:tcBorders>
                  <w:vAlign w:val="center"/>
                </w:tcPr>
                <w:p w14:paraId="7D4E781D">
                  <w:pPr>
                    <w:snapToGrid w:val="0"/>
                    <w:spacing w:line="240" w:lineRule="auto"/>
                    <w:ind w:firstLine="0" w:firstLineChars="0"/>
                    <w:jc w:val="center"/>
                    <w:rPr>
                      <w:color w:val="auto"/>
                      <w:sz w:val="21"/>
                      <w:szCs w:val="21"/>
                    </w:rPr>
                  </w:pPr>
                  <w:r>
                    <w:rPr>
                      <w:rFonts w:hint="eastAsia"/>
                      <w:color w:val="auto"/>
                      <w:sz w:val="21"/>
                      <w:szCs w:val="21"/>
                      <w:lang w:val="en-US" w:eastAsia="zh-CN"/>
                    </w:rPr>
                    <w:t>新建</w:t>
                  </w:r>
                </w:p>
              </w:tc>
            </w:tr>
            <w:tr w14:paraId="36584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6846D05B">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655C316C">
                  <w:pPr>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门诊楼</w:t>
                  </w:r>
                </w:p>
              </w:tc>
              <w:tc>
                <w:tcPr>
                  <w:tcW w:w="1767" w:type="pct"/>
                  <w:tcBorders>
                    <w:top w:val="single" w:color="auto" w:sz="4" w:space="0"/>
                    <w:left w:val="single" w:color="auto" w:sz="4" w:space="0"/>
                    <w:bottom w:val="single" w:color="auto" w:sz="4" w:space="0"/>
                    <w:right w:val="single" w:color="auto" w:sz="4" w:space="0"/>
                  </w:tcBorders>
                  <w:vAlign w:val="center"/>
                </w:tcPr>
                <w:p w14:paraId="3970DDC3">
                  <w:pPr>
                    <w:snapToGrid w:val="0"/>
                    <w:spacing w:line="240" w:lineRule="auto"/>
                    <w:ind w:firstLine="420" w:firstLineChars="200"/>
                    <w:jc w:val="left"/>
                    <w:rPr>
                      <w:color w:val="auto"/>
                      <w:sz w:val="21"/>
                      <w:szCs w:val="21"/>
                    </w:rPr>
                  </w:pPr>
                  <w:r>
                    <w:rPr>
                      <w:color w:val="auto"/>
                      <w:sz w:val="21"/>
                      <w:szCs w:val="21"/>
                    </w:rPr>
                    <w:t>1栋</w:t>
                  </w:r>
                  <w:r>
                    <w:rPr>
                      <w:rFonts w:hint="eastAsia"/>
                      <w:color w:val="auto"/>
                      <w:sz w:val="21"/>
                      <w:szCs w:val="21"/>
                      <w:lang w:val="en-US" w:eastAsia="zh-CN"/>
                    </w:rPr>
                    <w:t>4</w:t>
                  </w:r>
                  <w:r>
                    <w:rPr>
                      <w:color w:val="auto"/>
                      <w:sz w:val="21"/>
                      <w:szCs w:val="21"/>
                    </w:rPr>
                    <w:t>层，建筑面积为</w:t>
                  </w:r>
                  <w:r>
                    <w:rPr>
                      <w:rFonts w:hint="eastAsia"/>
                      <w:color w:val="auto"/>
                      <w:sz w:val="21"/>
                      <w:szCs w:val="21"/>
                      <w:lang w:val="en-US" w:eastAsia="zh-CN"/>
                    </w:rPr>
                    <w:t>1302</w:t>
                  </w:r>
                  <w:r>
                    <w:rPr>
                      <w:color w:val="auto"/>
                      <w:sz w:val="21"/>
                      <w:szCs w:val="21"/>
                    </w:rPr>
                    <w:t>.3m</w:t>
                  </w:r>
                  <w:r>
                    <w:rPr>
                      <w:color w:val="auto"/>
                      <w:sz w:val="21"/>
                      <w:szCs w:val="21"/>
                      <w:vertAlign w:val="superscript"/>
                    </w:rPr>
                    <w:t>2</w:t>
                  </w:r>
                </w:p>
              </w:tc>
              <w:tc>
                <w:tcPr>
                  <w:tcW w:w="1951" w:type="pct"/>
                  <w:tcBorders>
                    <w:top w:val="single" w:color="auto" w:sz="4" w:space="0"/>
                    <w:left w:val="single" w:color="auto" w:sz="4" w:space="0"/>
                    <w:bottom w:val="single" w:color="auto" w:sz="4" w:space="0"/>
                    <w:right w:val="single" w:color="auto" w:sz="4" w:space="0"/>
                  </w:tcBorders>
                  <w:vAlign w:val="center"/>
                </w:tcPr>
                <w:p w14:paraId="42A87F43">
                  <w:pPr>
                    <w:snapToGrid w:val="0"/>
                    <w:spacing w:line="240" w:lineRule="auto"/>
                    <w:ind w:firstLine="420" w:firstLineChars="200"/>
                    <w:jc w:val="left"/>
                    <w:rPr>
                      <w:color w:val="auto"/>
                      <w:sz w:val="21"/>
                      <w:szCs w:val="21"/>
                    </w:rPr>
                  </w:pPr>
                  <w:r>
                    <w:rPr>
                      <w:color w:val="auto"/>
                      <w:sz w:val="21"/>
                      <w:szCs w:val="21"/>
                    </w:rPr>
                    <w:t>/</w:t>
                  </w:r>
                </w:p>
              </w:tc>
              <w:tc>
                <w:tcPr>
                  <w:tcW w:w="380" w:type="pct"/>
                  <w:tcBorders>
                    <w:top w:val="single" w:color="auto" w:sz="4" w:space="0"/>
                    <w:left w:val="single" w:color="auto" w:sz="4" w:space="0"/>
                    <w:bottom w:val="single" w:color="auto" w:sz="4" w:space="0"/>
                    <w:right w:val="single" w:color="auto" w:sz="4" w:space="0"/>
                  </w:tcBorders>
                  <w:vAlign w:val="center"/>
                </w:tcPr>
                <w:p w14:paraId="1612F5E5">
                  <w:pPr>
                    <w:snapToGrid w:val="0"/>
                    <w:spacing w:line="240" w:lineRule="auto"/>
                    <w:ind w:firstLine="0" w:firstLineChars="0"/>
                    <w:jc w:val="center"/>
                    <w:rPr>
                      <w:color w:val="auto"/>
                      <w:sz w:val="21"/>
                      <w:szCs w:val="21"/>
                    </w:rPr>
                  </w:pPr>
                  <w:r>
                    <w:rPr>
                      <w:color w:val="auto"/>
                      <w:sz w:val="21"/>
                      <w:szCs w:val="21"/>
                    </w:rPr>
                    <w:t>沿用</w:t>
                  </w:r>
                </w:p>
              </w:tc>
            </w:tr>
            <w:tr w14:paraId="38851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2E54E829">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4FE15388">
                  <w:pPr>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业务综合楼</w:t>
                  </w:r>
                </w:p>
              </w:tc>
              <w:tc>
                <w:tcPr>
                  <w:tcW w:w="1767" w:type="pct"/>
                  <w:tcBorders>
                    <w:top w:val="single" w:color="auto" w:sz="4" w:space="0"/>
                    <w:left w:val="single" w:color="auto" w:sz="4" w:space="0"/>
                    <w:bottom w:val="single" w:color="auto" w:sz="4" w:space="0"/>
                    <w:right w:val="single" w:color="auto" w:sz="4" w:space="0"/>
                  </w:tcBorders>
                  <w:vAlign w:val="center"/>
                </w:tcPr>
                <w:p w14:paraId="0FE3EDAB">
                  <w:pPr>
                    <w:snapToGrid w:val="0"/>
                    <w:spacing w:line="240" w:lineRule="auto"/>
                    <w:ind w:firstLine="420" w:firstLineChars="200"/>
                    <w:jc w:val="left"/>
                    <w:rPr>
                      <w:color w:val="auto"/>
                      <w:sz w:val="21"/>
                      <w:szCs w:val="21"/>
                    </w:rPr>
                  </w:pPr>
                  <w:r>
                    <w:rPr>
                      <w:color w:val="auto"/>
                      <w:sz w:val="21"/>
                      <w:szCs w:val="21"/>
                    </w:rPr>
                    <w:t>1栋</w:t>
                  </w:r>
                  <w:r>
                    <w:rPr>
                      <w:rFonts w:hint="eastAsia"/>
                      <w:color w:val="auto"/>
                      <w:sz w:val="21"/>
                      <w:szCs w:val="21"/>
                      <w:lang w:val="en-US" w:eastAsia="zh-CN"/>
                    </w:rPr>
                    <w:t>4</w:t>
                  </w:r>
                  <w:r>
                    <w:rPr>
                      <w:color w:val="auto"/>
                      <w:sz w:val="21"/>
                      <w:szCs w:val="21"/>
                    </w:rPr>
                    <w:t>层，建筑面积为</w:t>
                  </w:r>
                  <w:r>
                    <w:rPr>
                      <w:rFonts w:hint="eastAsia"/>
                      <w:color w:val="auto"/>
                      <w:sz w:val="21"/>
                      <w:szCs w:val="21"/>
                      <w:lang w:val="en-US" w:eastAsia="zh-CN"/>
                    </w:rPr>
                    <w:t>1158.96</w:t>
                  </w:r>
                  <w:r>
                    <w:rPr>
                      <w:color w:val="auto"/>
                      <w:sz w:val="21"/>
                      <w:szCs w:val="21"/>
                    </w:rPr>
                    <w:t>m</w:t>
                  </w:r>
                  <w:r>
                    <w:rPr>
                      <w:color w:val="auto"/>
                      <w:sz w:val="21"/>
                      <w:szCs w:val="21"/>
                      <w:vertAlign w:val="superscript"/>
                    </w:rPr>
                    <w:t>2</w:t>
                  </w:r>
                </w:p>
              </w:tc>
              <w:tc>
                <w:tcPr>
                  <w:tcW w:w="1951" w:type="pct"/>
                  <w:tcBorders>
                    <w:top w:val="single" w:color="auto" w:sz="4" w:space="0"/>
                    <w:left w:val="single" w:color="auto" w:sz="4" w:space="0"/>
                    <w:bottom w:val="single" w:color="auto" w:sz="4" w:space="0"/>
                    <w:right w:val="single" w:color="auto" w:sz="4" w:space="0"/>
                  </w:tcBorders>
                  <w:vAlign w:val="center"/>
                </w:tcPr>
                <w:p w14:paraId="444AF66E">
                  <w:pPr>
                    <w:snapToGrid w:val="0"/>
                    <w:spacing w:line="240" w:lineRule="auto"/>
                    <w:ind w:firstLine="420" w:firstLineChars="200"/>
                    <w:jc w:val="left"/>
                    <w:rPr>
                      <w:color w:val="auto"/>
                      <w:sz w:val="21"/>
                      <w:szCs w:val="21"/>
                    </w:rPr>
                  </w:pPr>
                  <w:r>
                    <w:rPr>
                      <w:color w:val="auto"/>
                      <w:sz w:val="21"/>
                      <w:szCs w:val="21"/>
                    </w:rPr>
                    <w:t>/</w:t>
                  </w:r>
                </w:p>
              </w:tc>
              <w:tc>
                <w:tcPr>
                  <w:tcW w:w="380" w:type="pct"/>
                  <w:tcBorders>
                    <w:top w:val="single" w:color="auto" w:sz="4" w:space="0"/>
                    <w:left w:val="single" w:color="auto" w:sz="4" w:space="0"/>
                    <w:bottom w:val="single" w:color="auto" w:sz="4" w:space="0"/>
                    <w:right w:val="single" w:color="auto" w:sz="4" w:space="0"/>
                  </w:tcBorders>
                  <w:vAlign w:val="center"/>
                </w:tcPr>
                <w:p w14:paraId="4D68415B">
                  <w:pPr>
                    <w:snapToGrid w:val="0"/>
                    <w:spacing w:line="240" w:lineRule="auto"/>
                    <w:ind w:firstLine="0" w:firstLineChars="0"/>
                    <w:jc w:val="center"/>
                    <w:rPr>
                      <w:color w:val="auto"/>
                      <w:sz w:val="21"/>
                      <w:szCs w:val="21"/>
                    </w:rPr>
                  </w:pPr>
                  <w:r>
                    <w:rPr>
                      <w:color w:val="auto"/>
                      <w:sz w:val="21"/>
                      <w:szCs w:val="21"/>
                    </w:rPr>
                    <w:t>沿用</w:t>
                  </w:r>
                </w:p>
              </w:tc>
            </w:tr>
            <w:tr w14:paraId="1BA80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7C855A67">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6D6D7630">
                  <w:pPr>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食堂</w:t>
                  </w:r>
                </w:p>
              </w:tc>
              <w:tc>
                <w:tcPr>
                  <w:tcW w:w="1767" w:type="pct"/>
                  <w:tcBorders>
                    <w:top w:val="single" w:color="auto" w:sz="4" w:space="0"/>
                    <w:left w:val="single" w:color="auto" w:sz="4" w:space="0"/>
                    <w:bottom w:val="single" w:color="auto" w:sz="4" w:space="0"/>
                    <w:right w:val="single" w:color="auto" w:sz="4" w:space="0"/>
                  </w:tcBorders>
                  <w:vAlign w:val="center"/>
                </w:tcPr>
                <w:p w14:paraId="653EAFDE">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位于项目区东侧</w:t>
                  </w:r>
                  <w:r>
                    <w:rPr>
                      <w:color w:val="auto"/>
                      <w:sz w:val="21"/>
                      <w:szCs w:val="21"/>
                    </w:rPr>
                    <w:t>1栋</w:t>
                  </w:r>
                  <w:r>
                    <w:rPr>
                      <w:rFonts w:hint="eastAsia"/>
                      <w:color w:val="auto"/>
                      <w:sz w:val="21"/>
                      <w:szCs w:val="21"/>
                      <w:lang w:val="en-US" w:eastAsia="zh-CN"/>
                    </w:rPr>
                    <w:t>2层，</w:t>
                  </w:r>
                  <w:r>
                    <w:rPr>
                      <w:color w:val="auto"/>
                      <w:sz w:val="21"/>
                      <w:szCs w:val="21"/>
                    </w:rPr>
                    <w:t>建筑面积为</w:t>
                  </w:r>
                  <w:r>
                    <w:rPr>
                      <w:rFonts w:hint="eastAsia"/>
                      <w:color w:val="auto"/>
                      <w:sz w:val="21"/>
                      <w:szCs w:val="21"/>
                      <w:lang w:val="en-US" w:eastAsia="zh-CN"/>
                    </w:rPr>
                    <w:t>198</w:t>
                  </w:r>
                  <w:r>
                    <w:rPr>
                      <w:color w:val="auto"/>
                      <w:sz w:val="21"/>
                      <w:szCs w:val="21"/>
                    </w:rPr>
                    <w:t>m</w:t>
                  </w:r>
                  <w:r>
                    <w:rPr>
                      <w:color w:val="auto"/>
                      <w:sz w:val="21"/>
                      <w:szCs w:val="21"/>
                      <w:vertAlign w:val="superscript"/>
                    </w:rPr>
                    <w:t>2</w:t>
                  </w:r>
                </w:p>
              </w:tc>
              <w:tc>
                <w:tcPr>
                  <w:tcW w:w="1951" w:type="pct"/>
                  <w:tcBorders>
                    <w:top w:val="single" w:color="auto" w:sz="4" w:space="0"/>
                    <w:left w:val="single" w:color="auto" w:sz="4" w:space="0"/>
                    <w:bottom w:val="single" w:color="auto" w:sz="4" w:space="0"/>
                    <w:right w:val="single" w:color="auto" w:sz="4" w:space="0"/>
                  </w:tcBorders>
                  <w:vAlign w:val="center"/>
                </w:tcPr>
                <w:p w14:paraId="1021A0B4">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4E8F54BA">
                  <w:pPr>
                    <w:snapToGrid w:val="0"/>
                    <w:spacing w:line="240" w:lineRule="auto"/>
                    <w:ind w:firstLine="0" w:firstLineChars="0"/>
                    <w:jc w:val="center"/>
                    <w:rPr>
                      <w:color w:val="auto"/>
                      <w:sz w:val="21"/>
                      <w:szCs w:val="21"/>
                    </w:rPr>
                  </w:pPr>
                  <w:r>
                    <w:rPr>
                      <w:color w:val="auto"/>
                      <w:sz w:val="21"/>
                      <w:szCs w:val="21"/>
                    </w:rPr>
                    <w:t>沿用</w:t>
                  </w:r>
                </w:p>
              </w:tc>
            </w:tr>
            <w:tr w14:paraId="662E1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0A2D8C8D">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3C1EFE24">
                  <w:pPr>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辅助用房</w:t>
                  </w:r>
                </w:p>
              </w:tc>
              <w:tc>
                <w:tcPr>
                  <w:tcW w:w="1767" w:type="pct"/>
                  <w:tcBorders>
                    <w:top w:val="single" w:color="auto" w:sz="4" w:space="0"/>
                    <w:left w:val="single" w:color="auto" w:sz="4" w:space="0"/>
                    <w:bottom w:val="single" w:color="auto" w:sz="4" w:space="0"/>
                    <w:right w:val="single" w:color="auto" w:sz="4" w:space="0"/>
                  </w:tcBorders>
                  <w:vAlign w:val="center"/>
                </w:tcPr>
                <w:p w14:paraId="022EF66B">
                  <w:pPr>
                    <w:snapToGrid w:val="0"/>
                    <w:spacing w:line="240" w:lineRule="auto"/>
                    <w:ind w:firstLine="420" w:firstLineChars="200"/>
                    <w:jc w:val="left"/>
                    <w:rPr>
                      <w:rFonts w:hint="eastAsia" w:eastAsia="宋体"/>
                      <w:color w:val="auto"/>
                      <w:sz w:val="21"/>
                      <w:szCs w:val="21"/>
                      <w:lang w:val="en-US" w:eastAsia="zh-CN"/>
                    </w:rPr>
                  </w:pPr>
                  <w:r>
                    <w:rPr>
                      <w:rFonts w:hint="eastAsia"/>
                      <w:color w:val="auto"/>
                      <w:sz w:val="21"/>
                      <w:szCs w:val="21"/>
                      <w:lang w:val="en-US" w:eastAsia="zh-CN"/>
                    </w:rPr>
                    <w:t>位于项目东侧3</w:t>
                  </w:r>
                  <w:r>
                    <w:rPr>
                      <w:color w:val="auto"/>
                      <w:sz w:val="21"/>
                      <w:szCs w:val="21"/>
                    </w:rPr>
                    <w:t>栋</w:t>
                  </w:r>
                  <w:r>
                    <w:rPr>
                      <w:rFonts w:hint="eastAsia"/>
                      <w:color w:val="auto"/>
                      <w:sz w:val="21"/>
                      <w:szCs w:val="21"/>
                      <w:lang w:val="en-US" w:eastAsia="zh-CN"/>
                    </w:rPr>
                    <w:t>1层，现有辅助用房1</w:t>
                  </w:r>
                  <w:r>
                    <w:rPr>
                      <w:color w:val="auto"/>
                      <w:sz w:val="21"/>
                      <w:szCs w:val="21"/>
                    </w:rPr>
                    <w:t>建筑面积为</w:t>
                  </w:r>
                  <w:r>
                    <w:rPr>
                      <w:rFonts w:hint="eastAsia"/>
                      <w:color w:val="auto"/>
                      <w:sz w:val="21"/>
                      <w:szCs w:val="21"/>
                      <w:lang w:val="en-US" w:eastAsia="zh-CN"/>
                    </w:rPr>
                    <w:t>38.63</w:t>
                  </w:r>
                  <w:r>
                    <w:rPr>
                      <w:color w:val="auto"/>
                      <w:sz w:val="21"/>
                      <w:szCs w:val="21"/>
                    </w:rPr>
                    <w:t>m</w:t>
                  </w:r>
                  <w:r>
                    <w:rPr>
                      <w:color w:val="auto"/>
                      <w:sz w:val="21"/>
                      <w:szCs w:val="21"/>
                      <w:vertAlign w:val="superscript"/>
                    </w:rPr>
                    <w:t>2</w:t>
                  </w:r>
                  <w:r>
                    <w:rPr>
                      <w:rFonts w:hint="eastAsia"/>
                      <w:color w:val="auto"/>
                      <w:sz w:val="21"/>
                      <w:szCs w:val="21"/>
                      <w:vertAlign w:val="baseline"/>
                      <w:lang w:eastAsia="zh-CN"/>
                    </w:rPr>
                    <w:t>；</w:t>
                  </w:r>
                  <w:r>
                    <w:rPr>
                      <w:rFonts w:hint="eastAsia"/>
                      <w:color w:val="auto"/>
                      <w:sz w:val="21"/>
                      <w:szCs w:val="21"/>
                      <w:lang w:val="en-US" w:eastAsia="zh-CN"/>
                    </w:rPr>
                    <w:t>现有辅助用房2</w:t>
                  </w:r>
                  <w:r>
                    <w:rPr>
                      <w:color w:val="auto"/>
                      <w:sz w:val="21"/>
                      <w:szCs w:val="21"/>
                    </w:rPr>
                    <w:t>建筑面积为</w:t>
                  </w:r>
                  <w:r>
                    <w:rPr>
                      <w:rFonts w:hint="eastAsia"/>
                      <w:color w:val="auto"/>
                      <w:sz w:val="21"/>
                      <w:szCs w:val="21"/>
                      <w:lang w:val="en-US" w:eastAsia="zh-CN"/>
                    </w:rPr>
                    <w:t>52.13</w:t>
                  </w:r>
                  <w:r>
                    <w:rPr>
                      <w:color w:val="auto"/>
                      <w:sz w:val="21"/>
                      <w:szCs w:val="21"/>
                    </w:rPr>
                    <w:t>m</w:t>
                  </w:r>
                  <w:r>
                    <w:rPr>
                      <w:color w:val="auto"/>
                      <w:sz w:val="21"/>
                      <w:szCs w:val="21"/>
                      <w:vertAlign w:val="superscript"/>
                    </w:rPr>
                    <w:t>2</w:t>
                  </w:r>
                  <w:r>
                    <w:rPr>
                      <w:rFonts w:hint="eastAsia"/>
                      <w:color w:val="auto"/>
                      <w:sz w:val="21"/>
                      <w:szCs w:val="21"/>
                      <w:vertAlign w:val="baseline"/>
                      <w:lang w:eastAsia="zh-CN"/>
                    </w:rPr>
                    <w:t>；</w:t>
                  </w:r>
                  <w:r>
                    <w:rPr>
                      <w:rFonts w:hint="eastAsia"/>
                      <w:color w:val="auto"/>
                      <w:sz w:val="21"/>
                      <w:szCs w:val="21"/>
                      <w:lang w:val="en-US" w:eastAsia="zh-CN"/>
                    </w:rPr>
                    <w:t>现有辅助用房3</w:t>
                  </w:r>
                  <w:r>
                    <w:rPr>
                      <w:color w:val="auto"/>
                      <w:sz w:val="21"/>
                      <w:szCs w:val="21"/>
                    </w:rPr>
                    <w:t>建筑面积为</w:t>
                  </w:r>
                  <w:r>
                    <w:rPr>
                      <w:rFonts w:hint="eastAsia"/>
                      <w:color w:val="auto"/>
                      <w:sz w:val="21"/>
                      <w:szCs w:val="21"/>
                      <w:lang w:val="en-US" w:eastAsia="zh-CN"/>
                    </w:rPr>
                    <w:t>44.18</w:t>
                  </w:r>
                  <w:r>
                    <w:rPr>
                      <w:color w:val="auto"/>
                      <w:sz w:val="21"/>
                      <w:szCs w:val="21"/>
                    </w:rPr>
                    <w:t>m</w:t>
                  </w:r>
                  <w:r>
                    <w:rPr>
                      <w:color w:val="auto"/>
                      <w:sz w:val="21"/>
                      <w:szCs w:val="21"/>
                      <w:vertAlign w:val="superscript"/>
                    </w:rPr>
                    <w:t>2</w:t>
                  </w:r>
                  <w:r>
                    <w:rPr>
                      <w:rFonts w:hint="eastAsia"/>
                      <w:color w:val="auto"/>
                      <w:sz w:val="21"/>
                      <w:szCs w:val="21"/>
                      <w:vertAlign w:val="baseline"/>
                      <w:lang w:eastAsia="zh-CN"/>
                    </w:rPr>
                    <w:t>；</w:t>
                  </w:r>
                </w:p>
              </w:tc>
              <w:tc>
                <w:tcPr>
                  <w:tcW w:w="1951" w:type="pct"/>
                  <w:tcBorders>
                    <w:top w:val="single" w:color="auto" w:sz="4" w:space="0"/>
                    <w:left w:val="single" w:color="auto" w:sz="4" w:space="0"/>
                    <w:bottom w:val="single" w:color="auto" w:sz="4" w:space="0"/>
                    <w:right w:val="single" w:color="auto" w:sz="4" w:space="0"/>
                  </w:tcBorders>
                  <w:vAlign w:val="center"/>
                </w:tcPr>
                <w:p w14:paraId="0F97A047">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1C9D6273">
                  <w:pPr>
                    <w:snapToGrid w:val="0"/>
                    <w:spacing w:line="240" w:lineRule="auto"/>
                    <w:ind w:firstLine="0" w:firstLineChars="0"/>
                    <w:jc w:val="center"/>
                    <w:rPr>
                      <w:rFonts w:hint="eastAsia" w:eastAsia="宋体"/>
                      <w:color w:val="auto"/>
                      <w:sz w:val="21"/>
                      <w:szCs w:val="21"/>
                      <w:lang w:val="en-US" w:eastAsia="zh-CN"/>
                    </w:rPr>
                  </w:pPr>
                  <w:r>
                    <w:rPr>
                      <w:color w:val="auto"/>
                      <w:sz w:val="21"/>
                      <w:szCs w:val="21"/>
                    </w:rPr>
                    <w:t>沿用</w:t>
                  </w:r>
                </w:p>
              </w:tc>
            </w:tr>
            <w:tr w14:paraId="40050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54B30585">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37F784F8">
                  <w:pPr>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值班室/污水处理站</w:t>
                  </w:r>
                </w:p>
              </w:tc>
              <w:tc>
                <w:tcPr>
                  <w:tcW w:w="1767" w:type="pct"/>
                  <w:tcBorders>
                    <w:top w:val="single" w:color="auto" w:sz="4" w:space="0"/>
                    <w:left w:val="single" w:color="auto" w:sz="4" w:space="0"/>
                    <w:bottom w:val="single" w:color="auto" w:sz="4" w:space="0"/>
                    <w:right w:val="single" w:color="auto" w:sz="4" w:space="0"/>
                  </w:tcBorders>
                  <w:vAlign w:val="center"/>
                </w:tcPr>
                <w:p w14:paraId="75743349">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w:t>
                  </w:r>
                </w:p>
              </w:tc>
              <w:tc>
                <w:tcPr>
                  <w:tcW w:w="1951" w:type="pct"/>
                  <w:tcBorders>
                    <w:top w:val="single" w:color="auto" w:sz="4" w:space="0"/>
                    <w:left w:val="single" w:color="auto" w:sz="4" w:space="0"/>
                    <w:bottom w:val="single" w:color="auto" w:sz="4" w:space="0"/>
                    <w:right w:val="single" w:color="auto" w:sz="4" w:space="0"/>
                  </w:tcBorders>
                  <w:vAlign w:val="center"/>
                </w:tcPr>
                <w:p w14:paraId="0F37B9E9">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位于项目区东北角，</w:t>
                  </w:r>
                  <w:r>
                    <w:rPr>
                      <w:color w:val="auto"/>
                      <w:sz w:val="21"/>
                      <w:szCs w:val="21"/>
                    </w:rPr>
                    <w:t>1栋</w:t>
                  </w:r>
                  <w:r>
                    <w:rPr>
                      <w:rFonts w:hint="eastAsia"/>
                      <w:color w:val="auto"/>
                      <w:sz w:val="21"/>
                      <w:szCs w:val="21"/>
                      <w:lang w:val="en-US" w:eastAsia="zh-CN"/>
                    </w:rPr>
                    <w:t>1层（H=3.75m），</w:t>
                  </w:r>
                  <w:r>
                    <w:rPr>
                      <w:color w:val="auto"/>
                      <w:sz w:val="21"/>
                      <w:szCs w:val="21"/>
                    </w:rPr>
                    <w:t>建筑面积为</w:t>
                  </w:r>
                  <w:r>
                    <w:rPr>
                      <w:rFonts w:hint="eastAsia"/>
                      <w:color w:val="auto"/>
                      <w:sz w:val="21"/>
                      <w:szCs w:val="21"/>
                      <w:lang w:val="en-US" w:eastAsia="zh-CN"/>
                    </w:rPr>
                    <w:t>19.84</w:t>
                  </w:r>
                  <w:r>
                    <w:rPr>
                      <w:color w:val="auto"/>
                      <w:sz w:val="21"/>
                      <w:szCs w:val="21"/>
                    </w:rPr>
                    <w:t>m</w:t>
                  </w:r>
                  <w:r>
                    <w:rPr>
                      <w:color w:val="auto"/>
                      <w:sz w:val="21"/>
                      <w:szCs w:val="21"/>
                      <w:vertAlign w:val="superscript"/>
                    </w:rPr>
                    <w:t>2</w:t>
                  </w:r>
                  <w:r>
                    <w:rPr>
                      <w:rFonts w:hint="eastAsia"/>
                      <w:color w:val="auto"/>
                      <w:sz w:val="21"/>
                      <w:szCs w:val="21"/>
                      <w:vertAlign w:val="baseline"/>
                      <w:lang w:eastAsia="zh-CN"/>
                    </w:rPr>
                    <w:t>；</w:t>
                  </w:r>
                  <w:r>
                    <w:rPr>
                      <w:rFonts w:hint="eastAsia"/>
                      <w:color w:val="auto"/>
                      <w:sz w:val="21"/>
                      <w:szCs w:val="21"/>
                      <w:lang w:val="en-US" w:eastAsia="zh-CN"/>
                    </w:rPr>
                    <w:t>负一层：污水处理设施；一层：值班室。</w:t>
                  </w:r>
                  <w:r>
                    <w:rPr>
                      <w:rFonts w:hint="eastAsia"/>
                      <w:color w:val="auto"/>
                      <w:sz w:val="21"/>
                      <w:szCs w:val="21"/>
                      <w:lang w:val="en-US" w:eastAsia="zh-CN"/>
                    </w:rPr>
                    <w:t>（项目拆除和施工期间原有污水处理站不拆除用于过渡，新建综合楼建设好之后再拆除建设新的污水处理站）</w:t>
                  </w:r>
                </w:p>
              </w:tc>
              <w:tc>
                <w:tcPr>
                  <w:tcW w:w="380" w:type="pct"/>
                  <w:tcBorders>
                    <w:top w:val="single" w:color="auto" w:sz="4" w:space="0"/>
                    <w:left w:val="single" w:color="auto" w:sz="4" w:space="0"/>
                    <w:bottom w:val="single" w:color="auto" w:sz="4" w:space="0"/>
                    <w:right w:val="single" w:color="auto" w:sz="4" w:space="0"/>
                  </w:tcBorders>
                  <w:vAlign w:val="center"/>
                </w:tcPr>
                <w:p w14:paraId="42490E96">
                  <w:pPr>
                    <w:snapToGrid w:val="0"/>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新建</w:t>
                  </w:r>
                </w:p>
              </w:tc>
            </w:tr>
            <w:tr w14:paraId="4DF70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76" w:type="pct"/>
                  <w:vMerge w:val="continue"/>
                  <w:tcBorders>
                    <w:left w:val="single" w:color="auto" w:sz="4" w:space="0"/>
                    <w:right w:val="single" w:color="auto" w:sz="4" w:space="0"/>
                  </w:tcBorders>
                  <w:vAlign w:val="center"/>
                </w:tcPr>
                <w:p w14:paraId="316B8136">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252E7BAD">
                  <w:pPr>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新建地下建筑</w:t>
                  </w:r>
                </w:p>
              </w:tc>
              <w:tc>
                <w:tcPr>
                  <w:tcW w:w="1767" w:type="pct"/>
                  <w:tcBorders>
                    <w:top w:val="single" w:color="auto" w:sz="4" w:space="0"/>
                    <w:left w:val="single" w:color="auto" w:sz="4" w:space="0"/>
                    <w:bottom w:val="single" w:color="auto" w:sz="4" w:space="0"/>
                    <w:right w:val="single" w:color="auto" w:sz="4" w:space="0"/>
                  </w:tcBorders>
                  <w:vAlign w:val="center"/>
                </w:tcPr>
                <w:p w14:paraId="54592398">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w:t>
                  </w:r>
                </w:p>
              </w:tc>
              <w:tc>
                <w:tcPr>
                  <w:tcW w:w="1951" w:type="pct"/>
                  <w:tcBorders>
                    <w:top w:val="single" w:color="auto" w:sz="4" w:space="0"/>
                    <w:left w:val="single" w:color="auto" w:sz="4" w:space="0"/>
                    <w:bottom w:val="single" w:color="auto" w:sz="4" w:space="0"/>
                    <w:right w:val="single" w:color="auto" w:sz="4" w:space="0"/>
                  </w:tcBorders>
                  <w:vAlign w:val="center"/>
                </w:tcPr>
                <w:p w14:paraId="2B9B3770">
                  <w:pPr>
                    <w:snapToGrid w:val="0"/>
                    <w:spacing w:line="240" w:lineRule="auto"/>
                    <w:ind w:firstLine="420" w:firstLineChars="200"/>
                    <w:jc w:val="left"/>
                    <w:rPr>
                      <w:rFonts w:hint="default"/>
                      <w:color w:val="auto"/>
                      <w:sz w:val="21"/>
                      <w:szCs w:val="21"/>
                      <w:lang w:val="en-US" w:eastAsia="zh-CN"/>
                    </w:rPr>
                  </w:pPr>
                  <w:r>
                    <w:rPr>
                      <w:rFonts w:hint="eastAsia"/>
                      <w:color w:val="auto"/>
                      <w:sz w:val="21"/>
                      <w:szCs w:val="21"/>
                      <w:lang w:val="en-US" w:eastAsia="zh-CN"/>
                    </w:rPr>
                    <w:t>新建地下建筑面积为439.68㎡，其中新建值班室、污水处理建筑面积为122㎡；新建设备房建筑面积为317.68㎡。</w:t>
                  </w:r>
                </w:p>
              </w:tc>
              <w:tc>
                <w:tcPr>
                  <w:tcW w:w="380" w:type="pct"/>
                  <w:tcBorders>
                    <w:top w:val="single" w:color="auto" w:sz="4" w:space="0"/>
                    <w:left w:val="single" w:color="auto" w:sz="4" w:space="0"/>
                    <w:bottom w:val="single" w:color="auto" w:sz="4" w:space="0"/>
                    <w:right w:val="single" w:color="auto" w:sz="4" w:space="0"/>
                  </w:tcBorders>
                  <w:vAlign w:val="center"/>
                </w:tcPr>
                <w:p w14:paraId="7A699630">
                  <w:pPr>
                    <w:snapToGrid w:val="0"/>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新建</w:t>
                  </w:r>
                </w:p>
              </w:tc>
            </w:tr>
            <w:tr w14:paraId="399B8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restart"/>
                  <w:tcBorders>
                    <w:top w:val="single" w:color="auto" w:sz="4" w:space="0"/>
                    <w:left w:val="single" w:color="auto" w:sz="4" w:space="0"/>
                    <w:bottom w:val="single" w:color="auto" w:sz="4" w:space="0"/>
                    <w:right w:val="single" w:color="auto" w:sz="4" w:space="0"/>
                  </w:tcBorders>
                  <w:vAlign w:val="center"/>
                </w:tcPr>
                <w:p w14:paraId="1103BFDF">
                  <w:pPr>
                    <w:snapToGrid w:val="0"/>
                    <w:spacing w:line="240" w:lineRule="auto"/>
                    <w:ind w:firstLine="0" w:firstLineChars="0"/>
                    <w:jc w:val="center"/>
                    <w:rPr>
                      <w:color w:val="auto"/>
                      <w:sz w:val="21"/>
                      <w:szCs w:val="21"/>
                    </w:rPr>
                  </w:pPr>
                  <w:r>
                    <w:rPr>
                      <w:color w:val="auto"/>
                      <w:sz w:val="21"/>
                      <w:szCs w:val="21"/>
                    </w:rPr>
                    <w:t>公用工程</w:t>
                  </w:r>
                </w:p>
              </w:tc>
              <w:tc>
                <w:tcPr>
                  <w:tcW w:w="624" w:type="pct"/>
                  <w:vMerge w:val="restart"/>
                  <w:tcBorders>
                    <w:top w:val="single" w:color="auto" w:sz="4" w:space="0"/>
                    <w:left w:val="single" w:color="auto" w:sz="4" w:space="0"/>
                    <w:right w:val="single" w:color="auto" w:sz="4" w:space="0"/>
                  </w:tcBorders>
                  <w:vAlign w:val="center"/>
                </w:tcPr>
                <w:p w14:paraId="466A1373">
                  <w:pPr>
                    <w:snapToGrid w:val="0"/>
                    <w:spacing w:line="240" w:lineRule="auto"/>
                    <w:ind w:firstLine="0" w:firstLineChars="0"/>
                    <w:jc w:val="center"/>
                    <w:rPr>
                      <w:color w:val="auto"/>
                      <w:sz w:val="21"/>
                      <w:szCs w:val="21"/>
                    </w:rPr>
                  </w:pPr>
                  <w:r>
                    <w:rPr>
                      <w:color w:val="auto"/>
                      <w:sz w:val="21"/>
                      <w:szCs w:val="21"/>
                    </w:rPr>
                    <w:t>给水</w:t>
                  </w:r>
                </w:p>
              </w:tc>
              <w:tc>
                <w:tcPr>
                  <w:tcW w:w="1767" w:type="pct"/>
                  <w:tcBorders>
                    <w:top w:val="single" w:color="auto" w:sz="4" w:space="0"/>
                    <w:left w:val="single" w:color="auto" w:sz="4" w:space="0"/>
                    <w:bottom w:val="single" w:color="auto" w:sz="4" w:space="0"/>
                    <w:right w:val="single" w:color="auto" w:sz="4" w:space="0"/>
                  </w:tcBorders>
                  <w:vAlign w:val="center"/>
                </w:tcPr>
                <w:p w14:paraId="10C32B75">
                  <w:pPr>
                    <w:snapToGrid w:val="0"/>
                    <w:spacing w:line="240" w:lineRule="auto"/>
                    <w:ind w:firstLine="420" w:firstLineChars="200"/>
                    <w:jc w:val="left"/>
                    <w:rPr>
                      <w:color w:val="auto"/>
                      <w:sz w:val="21"/>
                      <w:szCs w:val="21"/>
                    </w:rPr>
                  </w:pPr>
                  <w:r>
                    <w:rPr>
                      <w:color w:val="auto"/>
                      <w:sz w:val="21"/>
                      <w:szCs w:val="21"/>
                    </w:rPr>
                    <w:t>水源为城市自来水，由项目区东侧湖滨路市政给水干管上引入给水管供项目综合住院大楼和消防用水。</w:t>
                  </w:r>
                </w:p>
              </w:tc>
              <w:tc>
                <w:tcPr>
                  <w:tcW w:w="1951" w:type="pct"/>
                  <w:tcBorders>
                    <w:top w:val="single" w:color="auto" w:sz="4" w:space="0"/>
                    <w:left w:val="single" w:color="auto" w:sz="4" w:space="0"/>
                    <w:bottom w:val="single" w:color="auto" w:sz="4" w:space="0"/>
                    <w:right w:val="single" w:color="auto" w:sz="4" w:space="0"/>
                  </w:tcBorders>
                  <w:vAlign w:val="center"/>
                </w:tcPr>
                <w:p w14:paraId="40B7EAAE">
                  <w:pPr>
                    <w:snapToGrid w:val="0"/>
                    <w:spacing w:line="240" w:lineRule="auto"/>
                    <w:ind w:firstLine="420" w:firstLineChars="200"/>
                    <w:jc w:val="left"/>
                    <w:rPr>
                      <w:color w:val="auto"/>
                      <w:sz w:val="21"/>
                      <w:szCs w:val="21"/>
                    </w:rPr>
                  </w:pPr>
                  <w:r>
                    <w:rPr>
                      <w:color w:val="auto"/>
                      <w:sz w:val="21"/>
                      <w:szCs w:val="21"/>
                    </w:rPr>
                    <w:t>对新</w:t>
                  </w:r>
                  <w:r>
                    <w:rPr>
                      <w:rFonts w:hint="eastAsia"/>
                      <w:color w:val="auto"/>
                      <w:sz w:val="21"/>
                      <w:szCs w:val="21"/>
                      <w:lang w:val="en-US" w:eastAsia="zh-CN"/>
                    </w:rPr>
                    <w:t>建建筑</w:t>
                  </w:r>
                  <w:r>
                    <w:rPr>
                      <w:color w:val="auto"/>
                      <w:sz w:val="21"/>
                      <w:szCs w:val="21"/>
                    </w:rPr>
                    <w:t>管网新建接入布置，门诊等其余建筑沿用原有</w:t>
                  </w:r>
                </w:p>
              </w:tc>
              <w:tc>
                <w:tcPr>
                  <w:tcW w:w="380" w:type="pct"/>
                  <w:tcBorders>
                    <w:top w:val="single" w:color="auto" w:sz="4" w:space="0"/>
                    <w:left w:val="single" w:color="auto" w:sz="4" w:space="0"/>
                    <w:bottom w:val="single" w:color="auto" w:sz="4" w:space="0"/>
                    <w:right w:val="single" w:color="auto" w:sz="4" w:space="0"/>
                  </w:tcBorders>
                  <w:vAlign w:val="center"/>
                </w:tcPr>
                <w:p w14:paraId="3222E41A">
                  <w:pPr>
                    <w:snapToGrid w:val="0"/>
                    <w:spacing w:line="240" w:lineRule="auto"/>
                    <w:ind w:firstLine="0" w:firstLineChars="0"/>
                    <w:jc w:val="center"/>
                    <w:rPr>
                      <w:color w:val="auto"/>
                      <w:sz w:val="21"/>
                      <w:szCs w:val="21"/>
                    </w:rPr>
                  </w:pPr>
                  <w:r>
                    <w:rPr>
                      <w:color w:val="auto"/>
                      <w:sz w:val="21"/>
                      <w:szCs w:val="21"/>
                    </w:rPr>
                    <w:t>部分沿用</w:t>
                  </w:r>
                </w:p>
              </w:tc>
            </w:tr>
            <w:tr w14:paraId="3BC80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14:paraId="233FB073">
                  <w:pPr>
                    <w:snapToGrid w:val="0"/>
                    <w:spacing w:line="240" w:lineRule="auto"/>
                    <w:ind w:firstLine="0" w:firstLineChars="0"/>
                    <w:jc w:val="center"/>
                    <w:rPr>
                      <w:color w:val="auto"/>
                      <w:sz w:val="21"/>
                      <w:szCs w:val="21"/>
                    </w:rPr>
                  </w:pPr>
                </w:p>
              </w:tc>
              <w:tc>
                <w:tcPr>
                  <w:tcW w:w="624" w:type="pct"/>
                  <w:vMerge w:val="continue"/>
                  <w:tcBorders>
                    <w:left w:val="single" w:color="auto" w:sz="4" w:space="0"/>
                    <w:right w:val="single" w:color="auto" w:sz="4" w:space="0"/>
                  </w:tcBorders>
                  <w:vAlign w:val="center"/>
                </w:tcPr>
                <w:p w14:paraId="14508652">
                  <w:pPr>
                    <w:snapToGrid w:val="0"/>
                    <w:spacing w:line="240" w:lineRule="auto"/>
                    <w:ind w:firstLine="0" w:firstLineChars="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6393E077">
                  <w:pPr>
                    <w:snapToGrid w:val="0"/>
                    <w:spacing w:line="240" w:lineRule="auto"/>
                    <w:ind w:firstLine="420" w:firstLineChars="200"/>
                    <w:jc w:val="left"/>
                    <w:rPr>
                      <w:color w:val="auto"/>
                      <w:sz w:val="21"/>
                      <w:szCs w:val="21"/>
                    </w:rPr>
                  </w:pPr>
                  <w:r>
                    <w:rPr>
                      <w:color w:val="auto"/>
                      <w:sz w:val="21"/>
                      <w:szCs w:val="21"/>
                    </w:rPr>
                    <w:t>热水采用全日制集中供应方式，由太阳能热水系统辅助空气源热泵提供。</w:t>
                  </w:r>
                </w:p>
              </w:tc>
              <w:tc>
                <w:tcPr>
                  <w:tcW w:w="1951" w:type="pct"/>
                  <w:tcBorders>
                    <w:top w:val="single" w:color="auto" w:sz="4" w:space="0"/>
                    <w:left w:val="single" w:color="auto" w:sz="4" w:space="0"/>
                    <w:bottom w:val="single" w:color="auto" w:sz="4" w:space="0"/>
                    <w:right w:val="single" w:color="auto" w:sz="4" w:space="0"/>
                  </w:tcBorders>
                </w:tcPr>
                <w:p w14:paraId="245846CB">
                  <w:pPr>
                    <w:snapToGrid w:val="0"/>
                    <w:spacing w:line="240" w:lineRule="auto"/>
                    <w:ind w:firstLine="420" w:firstLineChars="200"/>
                    <w:jc w:val="left"/>
                    <w:rPr>
                      <w:color w:val="auto"/>
                      <w:sz w:val="21"/>
                      <w:szCs w:val="21"/>
                    </w:rPr>
                  </w:pPr>
                  <w:r>
                    <w:rPr>
                      <w:color w:val="auto"/>
                      <w:sz w:val="21"/>
                      <w:szCs w:val="21"/>
                    </w:rPr>
                    <w:t>对新</w:t>
                  </w:r>
                  <w:r>
                    <w:rPr>
                      <w:rFonts w:hint="eastAsia"/>
                      <w:color w:val="auto"/>
                      <w:sz w:val="21"/>
                      <w:szCs w:val="21"/>
                      <w:lang w:val="en-US" w:eastAsia="zh-CN"/>
                    </w:rPr>
                    <w:t>建建筑</w:t>
                  </w:r>
                  <w:r>
                    <w:rPr>
                      <w:color w:val="auto"/>
                      <w:sz w:val="21"/>
                      <w:szCs w:val="21"/>
                    </w:rPr>
                    <w:t>管网新建接入布置，门诊等其余建筑沿用原有</w:t>
                  </w:r>
                </w:p>
              </w:tc>
              <w:tc>
                <w:tcPr>
                  <w:tcW w:w="380" w:type="pct"/>
                  <w:tcBorders>
                    <w:top w:val="single" w:color="auto" w:sz="4" w:space="0"/>
                    <w:left w:val="single" w:color="auto" w:sz="4" w:space="0"/>
                    <w:bottom w:val="single" w:color="auto" w:sz="4" w:space="0"/>
                    <w:right w:val="single" w:color="auto" w:sz="4" w:space="0"/>
                  </w:tcBorders>
                </w:tcPr>
                <w:p w14:paraId="3B746DC0">
                  <w:pPr>
                    <w:snapToGrid w:val="0"/>
                    <w:spacing w:line="240" w:lineRule="auto"/>
                    <w:ind w:firstLine="0" w:firstLineChars="0"/>
                    <w:jc w:val="center"/>
                    <w:rPr>
                      <w:color w:val="auto"/>
                      <w:sz w:val="21"/>
                      <w:szCs w:val="21"/>
                    </w:rPr>
                  </w:pPr>
                  <w:r>
                    <w:rPr>
                      <w:color w:val="auto"/>
                      <w:sz w:val="21"/>
                      <w:szCs w:val="21"/>
                    </w:rPr>
                    <w:t>部分沿用</w:t>
                  </w:r>
                </w:p>
              </w:tc>
            </w:tr>
            <w:tr w14:paraId="75B45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14:paraId="02C3185A">
                  <w:pPr>
                    <w:snapToGrid w:val="0"/>
                    <w:spacing w:line="240" w:lineRule="auto"/>
                    <w:ind w:firstLine="0" w:firstLineChars="0"/>
                    <w:jc w:val="center"/>
                    <w:rPr>
                      <w:color w:val="auto"/>
                      <w:sz w:val="21"/>
                      <w:szCs w:val="21"/>
                    </w:rPr>
                  </w:pPr>
                </w:p>
              </w:tc>
              <w:tc>
                <w:tcPr>
                  <w:tcW w:w="624" w:type="pct"/>
                  <w:vMerge w:val="continue"/>
                  <w:tcBorders>
                    <w:left w:val="single" w:color="auto" w:sz="4" w:space="0"/>
                    <w:bottom w:val="single" w:color="auto" w:sz="4" w:space="0"/>
                    <w:right w:val="single" w:color="auto" w:sz="4" w:space="0"/>
                  </w:tcBorders>
                  <w:vAlign w:val="center"/>
                </w:tcPr>
                <w:p w14:paraId="3D1C3B85">
                  <w:pPr>
                    <w:snapToGrid w:val="0"/>
                    <w:spacing w:line="240" w:lineRule="auto"/>
                    <w:ind w:firstLine="0" w:firstLineChars="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6537DDDF">
                  <w:pPr>
                    <w:snapToGrid w:val="0"/>
                    <w:spacing w:line="240" w:lineRule="auto"/>
                    <w:ind w:firstLine="420" w:firstLineChars="200"/>
                    <w:jc w:val="left"/>
                    <w:rPr>
                      <w:color w:val="auto"/>
                      <w:sz w:val="21"/>
                      <w:szCs w:val="21"/>
                    </w:rPr>
                  </w:pPr>
                  <w:r>
                    <w:rPr>
                      <w:color w:val="auto"/>
                      <w:sz w:val="21"/>
                      <w:szCs w:val="21"/>
                    </w:rPr>
                    <w:t>各层均设置开水间，开水间内设置电热式开水炉供应开水。</w:t>
                  </w:r>
                </w:p>
              </w:tc>
              <w:tc>
                <w:tcPr>
                  <w:tcW w:w="1951" w:type="pct"/>
                  <w:tcBorders>
                    <w:top w:val="single" w:color="auto" w:sz="4" w:space="0"/>
                    <w:left w:val="single" w:color="auto" w:sz="4" w:space="0"/>
                    <w:bottom w:val="single" w:color="auto" w:sz="4" w:space="0"/>
                    <w:right w:val="single" w:color="auto" w:sz="4" w:space="0"/>
                  </w:tcBorders>
                </w:tcPr>
                <w:p w14:paraId="62030833">
                  <w:pPr>
                    <w:snapToGrid w:val="0"/>
                    <w:spacing w:line="240" w:lineRule="auto"/>
                    <w:ind w:firstLine="420" w:firstLineChars="200"/>
                    <w:jc w:val="left"/>
                    <w:rPr>
                      <w:color w:val="auto"/>
                      <w:sz w:val="21"/>
                      <w:szCs w:val="21"/>
                    </w:rPr>
                  </w:pPr>
                  <w:r>
                    <w:rPr>
                      <w:color w:val="auto"/>
                      <w:sz w:val="21"/>
                      <w:szCs w:val="21"/>
                    </w:rPr>
                    <w:t>对新</w:t>
                  </w:r>
                  <w:r>
                    <w:rPr>
                      <w:rFonts w:hint="eastAsia"/>
                      <w:color w:val="auto"/>
                      <w:sz w:val="21"/>
                      <w:szCs w:val="21"/>
                      <w:lang w:val="en-US" w:eastAsia="zh-CN"/>
                    </w:rPr>
                    <w:t>建建筑</w:t>
                  </w:r>
                  <w:r>
                    <w:rPr>
                      <w:color w:val="auto"/>
                      <w:sz w:val="21"/>
                      <w:szCs w:val="21"/>
                    </w:rPr>
                    <w:t>管网新建接入布置，门诊等其余建筑沿用原有</w:t>
                  </w:r>
                </w:p>
              </w:tc>
              <w:tc>
                <w:tcPr>
                  <w:tcW w:w="380" w:type="pct"/>
                  <w:tcBorders>
                    <w:top w:val="single" w:color="auto" w:sz="4" w:space="0"/>
                    <w:left w:val="single" w:color="auto" w:sz="4" w:space="0"/>
                    <w:bottom w:val="single" w:color="auto" w:sz="4" w:space="0"/>
                    <w:right w:val="single" w:color="auto" w:sz="4" w:space="0"/>
                  </w:tcBorders>
                </w:tcPr>
                <w:p w14:paraId="73583229">
                  <w:pPr>
                    <w:snapToGrid w:val="0"/>
                    <w:spacing w:line="240" w:lineRule="auto"/>
                    <w:ind w:firstLine="0" w:firstLineChars="0"/>
                    <w:jc w:val="center"/>
                    <w:rPr>
                      <w:color w:val="auto"/>
                      <w:sz w:val="21"/>
                      <w:szCs w:val="21"/>
                    </w:rPr>
                  </w:pPr>
                  <w:r>
                    <w:rPr>
                      <w:color w:val="auto"/>
                      <w:sz w:val="21"/>
                      <w:szCs w:val="21"/>
                    </w:rPr>
                    <w:t>部分沿用</w:t>
                  </w:r>
                </w:p>
              </w:tc>
            </w:tr>
            <w:tr w14:paraId="4C725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76" w:type="pct"/>
                  <w:vMerge w:val="continue"/>
                  <w:tcBorders>
                    <w:left w:val="single" w:color="auto" w:sz="4" w:space="0"/>
                    <w:right w:val="single" w:color="auto" w:sz="4" w:space="0"/>
                  </w:tcBorders>
                  <w:vAlign w:val="center"/>
                </w:tcPr>
                <w:p w14:paraId="4146619E">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6F3BF6F8">
                  <w:pPr>
                    <w:snapToGrid w:val="0"/>
                    <w:spacing w:line="240" w:lineRule="auto"/>
                    <w:ind w:firstLine="0" w:firstLineChars="0"/>
                    <w:jc w:val="center"/>
                    <w:rPr>
                      <w:color w:val="auto"/>
                      <w:sz w:val="21"/>
                      <w:szCs w:val="21"/>
                    </w:rPr>
                  </w:pPr>
                  <w:r>
                    <w:rPr>
                      <w:color w:val="auto"/>
                      <w:sz w:val="21"/>
                      <w:szCs w:val="21"/>
                    </w:rPr>
                    <w:t>供电</w:t>
                  </w:r>
                </w:p>
              </w:tc>
              <w:tc>
                <w:tcPr>
                  <w:tcW w:w="1767" w:type="pct"/>
                  <w:tcBorders>
                    <w:top w:val="single" w:color="auto" w:sz="4" w:space="0"/>
                    <w:left w:val="single" w:color="auto" w:sz="4" w:space="0"/>
                    <w:bottom w:val="single" w:color="auto" w:sz="4" w:space="0"/>
                    <w:right w:val="single" w:color="auto" w:sz="4" w:space="0"/>
                  </w:tcBorders>
                  <w:vAlign w:val="center"/>
                </w:tcPr>
                <w:p w14:paraId="01062AE0">
                  <w:pPr>
                    <w:snapToGrid w:val="0"/>
                    <w:spacing w:line="240" w:lineRule="auto"/>
                    <w:ind w:firstLine="420" w:firstLineChars="200"/>
                    <w:jc w:val="left"/>
                    <w:rPr>
                      <w:color w:val="auto"/>
                      <w:sz w:val="21"/>
                      <w:szCs w:val="21"/>
                    </w:rPr>
                  </w:pPr>
                  <w:r>
                    <w:rPr>
                      <w:color w:val="auto"/>
                      <w:sz w:val="21"/>
                      <w:szCs w:val="21"/>
                    </w:rPr>
                    <w:t>电源为市政供电电网提供；在污水处理站旁设置柴油发电机房，设置1台柴油发电机，作为各应急母线的备用电源，主要供电对象为应急照明、重要医疗设备、弱电、消防和安防负荷。</w:t>
                  </w:r>
                </w:p>
              </w:tc>
              <w:tc>
                <w:tcPr>
                  <w:tcW w:w="1951" w:type="pct"/>
                  <w:tcBorders>
                    <w:top w:val="single" w:color="auto" w:sz="4" w:space="0"/>
                    <w:left w:val="single" w:color="auto" w:sz="4" w:space="0"/>
                    <w:bottom w:val="single" w:color="auto" w:sz="4" w:space="0"/>
                    <w:right w:val="single" w:color="auto" w:sz="4" w:space="0"/>
                  </w:tcBorders>
                  <w:vAlign w:val="center"/>
                </w:tcPr>
                <w:p w14:paraId="507D8FC2">
                  <w:pPr>
                    <w:snapToGrid w:val="0"/>
                    <w:spacing w:line="240" w:lineRule="auto"/>
                    <w:ind w:firstLine="420" w:firstLineChars="200"/>
                    <w:jc w:val="left"/>
                    <w:rPr>
                      <w:color w:val="auto"/>
                      <w:sz w:val="21"/>
                      <w:szCs w:val="21"/>
                    </w:rPr>
                  </w:pPr>
                  <w:r>
                    <w:rPr>
                      <w:color w:val="auto"/>
                      <w:sz w:val="21"/>
                      <w:szCs w:val="21"/>
                    </w:rPr>
                    <w:t>依托原有</w:t>
                  </w:r>
                </w:p>
              </w:tc>
              <w:tc>
                <w:tcPr>
                  <w:tcW w:w="380" w:type="pct"/>
                  <w:tcBorders>
                    <w:top w:val="single" w:color="auto" w:sz="4" w:space="0"/>
                    <w:left w:val="single" w:color="auto" w:sz="4" w:space="0"/>
                    <w:bottom w:val="single" w:color="auto" w:sz="4" w:space="0"/>
                    <w:right w:val="single" w:color="auto" w:sz="4" w:space="0"/>
                  </w:tcBorders>
                  <w:vAlign w:val="center"/>
                </w:tcPr>
                <w:p w14:paraId="52E32826">
                  <w:pPr>
                    <w:snapToGrid w:val="0"/>
                    <w:spacing w:line="240" w:lineRule="auto"/>
                    <w:ind w:firstLine="0" w:firstLineChars="0"/>
                    <w:jc w:val="center"/>
                    <w:rPr>
                      <w:color w:val="auto"/>
                      <w:sz w:val="21"/>
                      <w:szCs w:val="21"/>
                    </w:rPr>
                  </w:pPr>
                  <w:r>
                    <w:rPr>
                      <w:color w:val="auto"/>
                      <w:sz w:val="21"/>
                      <w:szCs w:val="21"/>
                    </w:rPr>
                    <w:t>依托</w:t>
                  </w:r>
                </w:p>
              </w:tc>
            </w:tr>
            <w:tr w14:paraId="0CF0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76" w:type="pct"/>
                  <w:vMerge w:val="continue"/>
                  <w:tcBorders>
                    <w:left w:val="single" w:color="auto" w:sz="4" w:space="0"/>
                    <w:right w:val="single" w:color="auto" w:sz="4" w:space="0"/>
                  </w:tcBorders>
                  <w:vAlign w:val="center"/>
                </w:tcPr>
                <w:p w14:paraId="5D80DB27">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7CD73723">
                  <w:pPr>
                    <w:snapToGrid w:val="0"/>
                    <w:spacing w:line="240" w:lineRule="auto"/>
                    <w:ind w:firstLine="0" w:firstLineChars="0"/>
                    <w:jc w:val="center"/>
                    <w:rPr>
                      <w:color w:val="auto"/>
                      <w:sz w:val="21"/>
                      <w:szCs w:val="21"/>
                    </w:rPr>
                  </w:pPr>
                  <w:r>
                    <w:rPr>
                      <w:color w:val="auto"/>
                      <w:sz w:val="21"/>
                      <w:szCs w:val="21"/>
                    </w:rPr>
                    <w:t>弱电</w:t>
                  </w:r>
                </w:p>
              </w:tc>
              <w:tc>
                <w:tcPr>
                  <w:tcW w:w="1767" w:type="pct"/>
                  <w:tcBorders>
                    <w:top w:val="single" w:color="auto" w:sz="4" w:space="0"/>
                    <w:left w:val="single" w:color="auto" w:sz="4" w:space="0"/>
                    <w:bottom w:val="single" w:color="auto" w:sz="4" w:space="0"/>
                    <w:right w:val="single" w:color="auto" w:sz="4" w:space="0"/>
                  </w:tcBorders>
                  <w:vAlign w:val="center"/>
                </w:tcPr>
                <w:p w14:paraId="067ABC13">
                  <w:pPr>
                    <w:snapToGrid w:val="0"/>
                    <w:spacing w:line="240" w:lineRule="auto"/>
                    <w:ind w:firstLine="420" w:firstLineChars="200"/>
                    <w:jc w:val="left"/>
                    <w:rPr>
                      <w:color w:val="auto"/>
                      <w:sz w:val="21"/>
                      <w:szCs w:val="21"/>
                    </w:rPr>
                  </w:pPr>
                  <w:r>
                    <w:rPr>
                      <w:color w:val="auto"/>
                      <w:sz w:val="21"/>
                      <w:szCs w:val="21"/>
                    </w:rPr>
                    <w:t>弱电工程包括语音系统、门禁系统、信息引导系统、医院信息管理系统、有线电视系统、安防系统、公共广播系统、消防火灾报警及联动控制系统、呼应信号系统。</w:t>
                  </w:r>
                </w:p>
              </w:tc>
              <w:tc>
                <w:tcPr>
                  <w:tcW w:w="1951" w:type="pct"/>
                  <w:tcBorders>
                    <w:top w:val="single" w:color="auto" w:sz="4" w:space="0"/>
                    <w:left w:val="single" w:color="auto" w:sz="4" w:space="0"/>
                    <w:bottom w:val="single" w:color="auto" w:sz="4" w:space="0"/>
                    <w:right w:val="single" w:color="auto" w:sz="4" w:space="0"/>
                  </w:tcBorders>
                  <w:vAlign w:val="center"/>
                </w:tcPr>
                <w:p w14:paraId="12F491EB">
                  <w:pPr>
                    <w:snapToGrid w:val="0"/>
                    <w:spacing w:line="240" w:lineRule="auto"/>
                    <w:ind w:firstLine="420" w:firstLineChars="200"/>
                    <w:jc w:val="left"/>
                    <w:rPr>
                      <w:color w:val="auto"/>
                      <w:sz w:val="21"/>
                      <w:szCs w:val="21"/>
                    </w:rPr>
                  </w:pPr>
                  <w:r>
                    <w:rPr>
                      <w:color w:val="auto"/>
                      <w:sz w:val="21"/>
                      <w:szCs w:val="21"/>
                    </w:rPr>
                    <w:t>依托原有</w:t>
                  </w:r>
                </w:p>
              </w:tc>
              <w:tc>
                <w:tcPr>
                  <w:tcW w:w="380" w:type="pct"/>
                  <w:tcBorders>
                    <w:top w:val="single" w:color="auto" w:sz="4" w:space="0"/>
                    <w:left w:val="single" w:color="auto" w:sz="4" w:space="0"/>
                    <w:bottom w:val="single" w:color="auto" w:sz="4" w:space="0"/>
                    <w:right w:val="single" w:color="auto" w:sz="4" w:space="0"/>
                  </w:tcBorders>
                  <w:vAlign w:val="center"/>
                </w:tcPr>
                <w:p w14:paraId="450D23D6">
                  <w:pPr>
                    <w:snapToGrid w:val="0"/>
                    <w:spacing w:line="240" w:lineRule="auto"/>
                    <w:ind w:firstLine="0" w:firstLineChars="0"/>
                    <w:jc w:val="center"/>
                    <w:rPr>
                      <w:color w:val="auto"/>
                      <w:sz w:val="21"/>
                      <w:szCs w:val="21"/>
                    </w:rPr>
                  </w:pPr>
                  <w:r>
                    <w:rPr>
                      <w:color w:val="auto"/>
                      <w:sz w:val="21"/>
                      <w:szCs w:val="21"/>
                    </w:rPr>
                    <w:t>依托</w:t>
                  </w:r>
                </w:p>
              </w:tc>
            </w:tr>
            <w:tr w14:paraId="3BADC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14:paraId="4C1DCE35">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bottom w:val="single" w:color="auto" w:sz="4" w:space="0"/>
                    <w:right w:val="single" w:color="auto" w:sz="4" w:space="0"/>
                  </w:tcBorders>
                  <w:vAlign w:val="center"/>
                </w:tcPr>
                <w:p w14:paraId="6A7AAD75">
                  <w:pPr>
                    <w:snapToGrid w:val="0"/>
                    <w:spacing w:line="240" w:lineRule="auto"/>
                    <w:ind w:firstLine="0" w:firstLineChars="0"/>
                    <w:jc w:val="center"/>
                    <w:rPr>
                      <w:color w:val="auto"/>
                      <w:sz w:val="21"/>
                      <w:szCs w:val="21"/>
                    </w:rPr>
                  </w:pPr>
                  <w:r>
                    <w:rPr>
                      <w:color w:val="auto"/>
                      <w:sz w:val="21"/>
                      <w:szCs w:val="21"/>
                    </w:rPr>
                    <w:t>排水</w:t>
                  </w:r>
                </w:p>
              </w:tc>
              <w:tc>
                <w:tcPr>
                  <w:tcW w:w="1767" w:type="pct"/>
                  <w:tcBorders>
                    <w:top w:val="single" w:color="auto" w:sz="4" w:space="0"/>
                    <w:left w:val="single" w:color="auto" w:sz="4" w:space="0"/>
                    <w:bottom w:val="single" w:color="auto" w:sz="4" w:space="0"/>
                    <w:right w:val="single" w:color="auto" w:sz="4" w:space="0"/>
                  </w:tcBorders>
                  <w:vAlign w:val="center"/>
                </w:tcPr>
                <w:p w14:paraId="73ADB598">
                  <w:pPr>
                    <w:snapToGrid w:val="0"/>
                    <w:spacing w:line="240" w:lineRule="auto"/>
                    <w:ind w:firstLine="420" w:firstLineChars="200"/>
                    <w:jc w:val="left"/>
                    <w:rPr>
                      <w:color w:val="auto"/>
                      <w:sz w:val="21"/>
                      <w:szCs w:val="21"/>
                    </w:rPr>
                  </w:pPr>
                  <w:r>
                    <w:rPr>
                      <w:color w:val="auto"/>
                      <w:sz w:val="21"/>
                      <w:szCs w:val="21"/>
                    </w:rPr>
                    <w:t>综合住院大楼医疗废水排入化粪池，排入医院北侧处理工艺为“一级强化处理+消毒”的污水处理站处理达到《医疗机构水污染排放标准》（GBl8466-2005）表2中预处理标准，排入</w:t>
                  </w:r>
                  <w:r>
                    <w:rPr>
                      <w:rFonts w:hint="eastAsia"/>
                      <w:color w:val="auto"/>
                      <w:sz w:val="21"/>
                      <w:szCs w:val="21"/>
                      <w:lang w:val="en-US" w:eastAsia="zh-CN"/>
                    </w:rPr>
                    <w:t>市政</w:t>
                  </w:r>
                  <w:r>
                    <w:rPr>
                      <w:color w:val="auto"/>
                      <w:sz w:val="21"/>
                      <w:szCs w:val="21"/>
                    </w:rPr>
                    <w:t>污水管网，向西北侧排入污水处理厂处理。</w:t>
                  </w:r>
                  <w:r>
                    <w:rPr>
                      <w:rFonts w:hint="eastAsia"/>
                      <w:color w:val="auto"/>
                      <w:sz w:val="21"/>
                      <w:szCs w:val="21"/>
                    </w:rPr>
                    <w:t>检验科废水、感染科废水分别经预处理后进入化粪池预处理，然后进入医院污水处理站。</w:t>
                  </w:r>
                </w:p>
              </w:tc>
              <w:tc>
                <w:tcPr>
                  <w:tcW w:w="1951" w:type="pct"/>
                  <w:tcBorders>
                    <w:top w:val="single" w:color="auto" w:sz="4" w:space="0"/>
                    <w:left w:val="single" w:color="auto" w:sz="4" w:space="0"/>
                    <w:bottom w:val="single" w:color="auto" w:sz="4" w:space="0"/>
                    <w:right w:val="single" w:color="auto" w:sz="4" w:space="0"/>
                  </w:tcBorders>
                  <w:vAlign w:val="center"/>
                </w:tcPr>
                <w:p w14:paraId="3F73E018">
                  <w:pPr>
                    <w:snapToGrid w:val="0"/>
                    <w:spacing w:line="240" w:lineRule="auto"/>
                    <w:ind w:firstLine="420" w:firstLineChars="200"/>
                    <w:jc w:val="left"/>
                    <w:rPr>
                      <w:color w:val="auto"/>
                      <w:sz w:val="21"/>
                      <w:szCs w:val="21"/>
                    </w:rPr>
                  </w:pPr>
                  <w:r>
                    <w:rPr>
                      <w:color w:val="auto"/>
                      <w:sz w:val="21"/>
                      <w:szCs w:val="21"/>
                    </w:rPr>
                    <w:t>依托原有</w:t>
                  </w:r>
                </w:p>
              </w:tc>
              <w:tc>
                <w:tcPr>
                  <w:tcW w:w="380" w:type="pct"/>
                  <w:tcBorders>
                    <w:top w:val="single" w:color="auto" w:sz="4" w:space="0"/>
                    <w:left w:val="single" w:color="auto" w:sz="4" w:space="0"/>
                    <w:bottom w:val="single" w:color="auto" w:sz="4" w:space="0"/>
                    <w:right w:val="single" w:color="auto" w:sz="4" w:space="0"/>
                  </w:tcBorders>
                  <w:vAlign w:val="center"/>
                </w:tcPr>
                <w:p w14:paraId="110F3CAB">
                  <w:pPr>
                    <w:snapToGrid w:val="0"/>
                    <w:spacing w:line="240" w:lineRule="auto"/>
                    <w:ind w:firstLine="0" w:firstLineChars="0"/>
                    <w:jc w:val="center"/>
                    <w:rPr>
                      <w:color w:val="auto"/>
                      <w:sz w:val="21"/>
                      <w:szCs w:val="21"/>
                    </w:rPr>
                  </w:pPr>
                  <w:r>
                    <w:rPr>
                      <w:color w:val="auto"/>
                      <w:sz w:val="21"/>
                      <w:szCs w:val="21"/>
                    </w:rPr>
                    <w:t>依托</w:t>
                  </w:r>
                </w:p>
              </w:tc>
            </w:tr>
            <w:tr w14:paraId="7717A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276" w:type="pct"/>
                  <w:vMerge w:val="restart"/>
                  <w:tcBorders>
                    <w:left w:val="single" w:color="auto" w:sz="4" w:space="0"/>
                    <w:right w:val="single" w:color="auto" w:sz="4" w:space="0"/>
                  </w:tcBorders>
                  <w:vAlign w:val="center"/>
                </w:tcPr>
                <w:p w14:paraId="6C249887">
                  <w:pPr>
                    <w:snapToGrid w:val="0"/>
                    <w:spacing w:line="240" w:lineRule="auto"/>
                    <w:ind w:firstLine="0" w:firstLineChars="0"/>
                    <w:jc w:val="center"/>
                    <w:rPr>
                      <w:color w:val="auto"/>
                      <w:sz w:val="21"/>
                      <w:szCs w:val="21"/>
                    </w:rPr>
                  </w:pPr>
                  <w:r>
                    <w:rPr>
                      <w:color w:val="auto"/>
                      <w:sz w:val="21"/>
                      <w:szCs w:val="21"/>
                    </w:rPr>
                    <w:t>环保工程</w:t>
                  </w:r>
                </w:p>
              </w:tc>
              <w:tc>
                <w:tcPr>
                  <w:tcW w:w="624" w:type="pct"/>
                  <w:vMerge w:val="restart"/>
                  <w:tcBorders>
                    <w:top w:val="single" w:color="auto" w:sz="4" w:space="0"/>
                    <w:left w:val="single" w:color="auto" w:sz="4" w:space="0"/>
                    <w:right w:val="single" w:color="auto" w:sz="4" w:space="0"/>
                  </w:tcBorders>
                  <w:vAlign w:val="center"/>
                </w:tcPr>
                <w:p w14:paraId="6E60524E">
                  <w:pPr>
                    <w:snapToGrid w:val="0"/>
                    <w:spacing w:line="240" w:lineRule="auto"/>
                    <w:ind w:firstLine="0" w:firstLineChars="0"/>
                    <w:jc w:val="center"/>
                    <w:rPr>
                      <w:color w:val="auto"/>
                      <w:sz w:val="21"/>
                      <w:szCs w:val="21"/>
                    </w:rPr>
                  </w:pPr>
                  <w:r>
                    <w:rPr>
                      <w:color w:val="auto"/>
                      <w:sz w:val="21"/>
                      <w:szCs w:val="21"/>
                    </w:rPr>
                    <w:t>废水治理</w:t>
                  </w:r>
                </w:p>
              </w:tc>
              <w:tc>
                <w:tcPr>
                  <w:tcW w:w="1767" w:type="pct"/>
                  <w:tcBorders>
                    <w:top w:val="single" w:color="auto" w:sz="4" w:space="0"/>
                    <w:left w:val="single" w:color="auto" w:sz="4" w:space="0"/>
                    <w:bottom w:val="single" w:color="auto" w:sz="4" w:space="0"/>
                    <w:right w:val="single" w:color="auto" w:sz="4" w:space="0"/>
                  </w:tcBorders>
                  <w:vAlign w:val="center"/>
                </w:tcPr>
                <w:p w14:paraId="61A61D80">
                  <w:pPr>
                    <w:snapToGrid w:val="0"/>
                    <w:spacing w:line="240" w:lineRule="auto"/>
                    <w:ind w:firstLine="420" w:firstLineChars="200"/>
                    <w:jc w:val="left"/>
                    <w:rPr>
                      <w:rFonts w:hint="eastAsia" w:eastAsia="宋体"/>
                      <w:color w:val="auto"/>
                      <w:sz w:val="21"/>
                      <w:szCs w:val="21"/>
                      <w:lang w:val="en-US" w:eastAsia="zh-CN"/>
                    </w:rPr>
                  </w:pPr>
                  <w:r>
                    <w:rPr>
                      <w:rFonts w:hint="eastAsia"/>
                      <w:color w:val="auto"/>
                      <w:sz w:val="21"/>
                      <w:szCs w:val="21"/>
                      <w:highlight w:val="none"/>
                      <w:lang w:val="en-US" w:eastAsia="zh-CN"/>
                    </w:rPr>
                    <w:t>设置</w:t>
                  </w:r>
                  <w:r>
                    <w:rPr>
                      <w:color w:val="auto"/>
                      <w:sz w:val="21"/>
                      <w:szCs w:val="21"/>
                      <w:highlight w:val="none"/>
                    </w:rPr>
                    <w:t>1个化粪池，容积为</w:t>
                  </w:r>
                  <w:r>
                    <w:rPr>
                      <w:rFonts w:hint="eastAsia"/>
                      <w:color w:val="auto"/>
                      <w:sz w:val="21"/>
                      <w:szCs w:val="21"/>
                      <w:highlight w:val="none"/>
                      <w:lang w:val="en-US" w:eastAsia="zh-CN"/>
                    </w:rPr>
                    <w:t>27.6</w:t>
                  </w:r>
                  <w:r>
                    <w:rPr>
                      <w:color w:val="auto"/>
                      <w:sz w:val="21"/>
                      <w:szCs w:val="21"/>
                      <w:highlight w:val="none"/>
                    </w:rPr>
                    <w:t>m</w:t>
                  </w:r>
                  <w:r>
                    <w:rPr>
                      <w:color w:val="auto"/>
                      <w:sz w:val="21"/>
                      <w:szCs w:val="21"/>
                      <w:highlight w:val="none"/>
                      <w:vertAlign w:val="superscript"/>
                    </w:rPr>
                    <w:t>3</w:t>
                  </w:r>
                  <w:r>
                    <w:rPr>
                      <w:color w:val="auto"/>
                      <w:sz w:val="21"/>
                      <w:szCs w:val="21"/>
                      <w:highlight w:val="none"/>
                    </w:rPr>
                    <w:t>。</w:t>
                  </w:r>
                </w:p>
              </w:tc>
              <w:tc>
                <w:tcPr>
                  <w:tcW w:w="1951" w:type="pct"/>
                  <w:tcBorders>
                    <w:top w:val="single" w:color="auto" w:sz="4" w:space="0"/>
                    <w:left w:val="single" w:color="auto" w:sz="4" w:space="0"/>
                    <w:bottom w:val="single" w:color="auto" w:sz="4" w:space="0"/>
                    <w:right w:val="single" w:color="auto" w:sz="4" w:space="0"/>
                  </w:tcBorders>
                  <w:vAlign w:val="center"/>
                </w:tcPr>
                <w:p w14:paraId="0AD58AF3">
                  <w:pPr>
                    <w:snapToGrid w:val="0"/>
                    <w:spacing w:line="240" w:lineRule="auto"/>
                    <w:ind w:firstLine="420" w:firstLineChars="200"/>
                    <w:jc w:val="left"/>
                    <w:rPr>
                      <w:color w:val="auto"/>
                      <w:sz w:val="21"/>
                      <w:szCs w:val="21"/>
                    </w:rPr>
                  </w:pPr>
                  <w:r>
                    <w:rPr>
                      <w:color w:val="auto"/>
                      <w:sz w:val="21"/>
                      <w:szCs w:val="21"/>
                    </w:rPr>
                    <w:t>依托原有</w:t>
                  </w:r>
                </w:p>
              </w:tc>
              <w:tc>
                <w:tcPr>
                  <w:tcW w:w="380" w:type="pct"/>
                  <w:tcBorders>
                    <w:top w:val="single" w:color="auto" w:sz="4" w:space="0"/>
                    <w:left w:val="single" w:color="auto" w:sz="4" w:space="0"/>
                    <w:bottom w:val="single" w:color="auto" w:sz="4" w:space="0"/>
                    <w:right w:val="single" w:color="auto" w:sz="4" w:space="0"/>
                  </w:tcBorders>
                  <w:vAlign w:val="center"/>
                </w:tcPr>
                <w:p w14:paraId="0D4D1949">
                  <w:pPr>
                    <w:snapToGrid w:val="0"/>
                    <w:spacing w:line="240" w:lineRule="auto"/>
                    <w:ind w:firstLine="0" w:firstLineChars="0"/>
                    <w:jc w:val="center"/>
                    <w:rPr>
                      <w:color w:val="auto"/>
                      <w:sz w:val="21"/>
                      <w:szCs w:val="21"/>
                    </w:rPr>
                  </w:pPr>
                  <w:r>
                    <w:rPr>
                      <w:color w:val="auto"/>
                      <w:sz w:val="21"/>
                      <w:szCs w:val="21"/>
                    </w:rPr>
                    <w:t>依托</w:t>
                  </w:r>
                </w:p>
              </w:tc>
            </w:tr>
            <w:tr w14:paraId="4CB08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276" w:type="pct"/>
                  <w:vMerge w:val="continue"/>
                  <w:tcBorders>
                    <w:left w:val="single" w:color="auto" w:sz="4" w:space="0"/>
                    <w:right w:val="single" w:color="auto" w:sz="4" w:space="0"/>
                  </w:tcBorders>
                  <w:vAlign w:val="center"/>
                </w:tcPr>
                <w:p w14:paraId="16D2BD15">
                  <w:pPr>
                    <w:snapToGrid w:val="0"/>
                    <w:spacing w:line="240" w:lineRule="auto"/>
                    <w:ind w:firstLine="0" w:firstLineChars="0"/>
                    <w:jc w:val="center"/>
                    <w:rPr>
                      <w:color w:val="auto"/>
                      <w:sz w:val="21"/>
                      <w:szCs w:val="21"/>
                    </w:rPr>
                  </w:pPr>
                </w:p>
              </w:tc>
              <w:tc>
                <w:tcPr>
                  <w:tcW w:w="624" w:type="pct"/>
                  <w:vMerge w:val="continue"/>
                  <w:tcBorders>
                    <w:left w:val="single" w:color="auto" w:sz="4" w:space="0"/>
                    <w:bottom w:val="single" w:color="auto" w:sz="4" w:space="0"/>
                    <w:right w:val="single" w:color="auto" w:sz="4" w:space="0"/>
                  </w:tcBorders>
                  <w:vAlign w:val="center"/>
                </w:tcPr>
                <w:p w14:paraId="06F21203">
                  <w:pPr>
                    <w:snapToGrid w:val="0"/>
                    <w:spacing w:line="240" w:lineRule="auto"/>
                    <w:ind w:firstLine="0" w:firstLineChars="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5FBDF4B8">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原有的拆除</w:t>
                  </w:r>
                </w:p>
              </w:tc>
              <w:tc>
                <w:tcPr>
                  <w:tcW w:w="1951" w:type="pct"/>
                  <w:tcBorders>
                    <w:top w:val="single" w:color="auto" w:sz="4" w:space="0"/>
                    <w:left w:val="single" w:color="auto" w:sz="4" w:space="0"/>
                    <w:bottom w:val="single" w:color="auto" w:sz="4" w:space="0"/>
                    <w:right w:val="single" w:color="auto" w:sz="4" w:space="0"/>
                  </w:tcBorders>
                  <w:vAlign w:val="center"/>
                </w:tcPr>
                <w:p w14:paraId="0770C9F5">
                  <w:pPr>
                    <w:snapToGrid w:val="0"/>
                    <w:spacing w:line="240" w:lineRule="auto"/>
                    <w:ind w:firstLine="420" w:firstLineChars="200"/>
                    <w:jc w:val="left"/>
                    <w:rPr>
                      <w:color w:val="auto"/>
                      <w:sz w:val="21"/>
                      <w:szCs w:val="21"/>
                    </w:rPr>
                  </w:pPr>
                  <w:r>
                    <w:rPr>
                      <w:color w:val="auto"/>
                      <w:sz w:val="21"/>
                      <w:szCs w:val="21"/>
                    </w:rPr>
                    <w:t>污水处理站：位于</w:t>
                  </w:r>
                  <w:r>
                    <w:rPr>
                      <w:rFonts w:hint="eastAsia"/>
                      <w:color w:val="auto"/>
                      <w:sz w:val="21"/>
                      <w:szCs w:val="21"/>
                      <w:lang w:val="en-US" w:eastAsia="zh-CN"/>
                    </w:rPr>
                    <w:t>卫生院东</w:t>
                  </w:r>
                  <w:r>
                    <w:rPr>
                      <w:color w:val="auto"/>
                      <w:sz w:val="21"/>
                      <w:szCs w:val="21"/>
                    </w:rPr>
                    <w:t>北侧，处理工艺为“一级强</w:t>
                  </w:r>
                  <w:r>
                    <w:rPr>
                      <w:color w:val="auto"/>
                      <w:sz w:val="21"/>
                      <w:szCs w:val="21"/>
                      <w:highlight w:val="none"/>
                    </w:rPr>
                    <w:t>化处理+消毒”</w:t>
                  </w:r>
                  <w:r>
                    <w:rPr>
                      <w:rFonts w:hint="eastAsia"/>
                      <w:color w:val="auto"/>
                      <w:sz w:val="21"/>
                      <w:szCs w:val="21"/>
                      <w:highlight w:val="none"/>
                      <w:lang w:eastAsia="zh-CN"/>
                    </w:rPr>
                    <w:t>（</w:t>
                  </w:r>
                  <w:r>
                    <w:rPr>
                      <w:rFonts w:hint="eastAsia"/>
                      <w:color w:val="auto"/>
                      <w:sz w:val="21"/>
                      <w:szCs w:val="21"/>
                      <w:highlight w:val="none"/>
                      <w:lang w:val="en-US" w:eastAsia="zh-CN"/>
                    </w:rPr>
                    <w:t>50m³/d</w:t>
                  </w:r>
                  <w:r>
                    <w:rPr>
                      <w:rFonts w:hint="eastAsia"/>
                      <w:color w:val="auto"/>
                      <w:sz w:val="21"/>
                      <w:szCs w:val="21"/>
                      <w:highlight w:val="none"/>
                      <w:lang w:eastAsia="zh-CN"/>
                    </w:rPr>
                    <w:t>）</w:t>
                  </w:r>
                  <w:r>
                    <w:rPr>
                      <w:color w:val="auto"/>
                      <w:sz w:val="21"/>
                      <w:szCs w:val="21"/>
                      <w:highlight w:val="none"/>
                    </w:rPr>
                    <w:t>。</w:t>
                  </w:r>
                  <w:r>
                    <w:rPr>
                      <w:rFonts w:hint="eastAsia"/>
                      <w:color w:val="auto"/>
                      <w:sz w:val="21"/>
                      <w:szCs w:val="21"/>
                      <w:lang w:val="en-US" w:eastAsia="zh-CN"/>
                    </w:rPr>
                    <w:t>（项目拆除和施工期间原有污水处理站不拆除用于过渡，新建综合楼建设好之后再拆除建设新的污水处理站</w:t>
                  </w:r>
                  <w:r>
                    <w:rPr>
                      <w:rFonts w:hint="eastAsia"/>
                      <w:color w:val="auto"/>
                      <w:lang w:eastAsia="zh-CN"/>
                    </w:rPr>
                    <w:t>（</w:t>
                  </w:r>
                  <w:r>
                    <w:rPr>
                      <w:rFonts w:hint="eastAsia"/>
                      <w:color w:val="auto"/>
                      <w:sz w:val="21"/>
                      <w:szCs w:val="21"/>
                      <w:lang w:val="en-US" w:eastAsia="zh-CN"/>
                    </w:rPr>
                    <w:t>不小于50m³/d</w:t>
                  </w:r>
                  <w:r>
                    <w:rPr>
                      <w:rFonts w:hint="eastAsia"/>
                      <w:color w:val="auto"/>
                      <w:lang w:val="en-US" w:eastAsia="zh-CN"/>
                    </w:rPr>
                    <w:t>）</w:t>
                  </w: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2032D41A">
                  <w:pPr>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新建</w:t>
                  </w:r>
                </w:p>
              </w:tc>
            </w:tr>
            <w:tr w14:paraId="4D8FA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76" w:type="pct"/>
                  <w:vMerge w:val="continue"/>
                  <w:tcBorders>
                    <w:left w:val="single" w:color="auto" w:sz="4" w:space="0"/>
                    <w:right w:val="single" w:color="auto" w:sz="4" w:space="0"/>
                  </w:tcBorders>
                  <w:vAlign w:val="center"/>
                </w:tcPr>
                <w:p w14:paraId="43E06365">
                  <w:pPr>
                    <w:snapToGrid w:val="0"/>
                    <w:spacing w:line="240" w:lineRule="auto"/>
                    <w:ind w:firstLine="0" w:firstLineChars="0"/>
                    <w:jc w:val="center"/>
                    <w:rPr>
                      <w:color w:val="auto"/>
                      <w:sz w:val="21"/>
                      <w:szCs w:val="21"/>
                    </w:rPr>
                  </w:pPr>
                </w:p>
              </w:tc>
              <w:tc>
                <w:tcPr>
                  <w:tcW w:w="624" w:type="pct"/>
                  <w:vMerge w:val="restart"/>
                  <w:tcBorders>
                    <w:top w:val="single" w:color="auto" w:sz="4" w:space="0"/>
                    <w:left w:val="single" w:color="auto" w:sz="4" w:space="0"/>
                    <w:right w:val="single" w:color="auto" w:sz="4" w:space="0"/>
                  </w:tcBorders>
                  <w:vAlign w:val="center"/>
                </w:tcPr>
                <w:p w14:paraId="25DB3CDA">
                  <w:pPr>
                    <w:snapToGrid w:val="0"/>
                    <w:spacing w:line="240" w:lineRule="auto"/>
                    <w:ind w:firstLine="0" w:firstLineChars="0"/>
                    <w:jc w:val="center"/>
                    <w:rPr>
                      <w:color w:val="auto"/>
                      <w:sz w:val="21"/>
                      <w:szCs w:val="21"/>
                    </w:rPr>
                  </w:pPr>
                  <w:r>
                    <w:rPr>
                      <w:color w:val="auto"/>
                      <w:sz w:val="21"/>
                      <w:szCs w:val="21"/>
                    </w:rPr>
                    <w:t>废气治理</w:t>
                  </w:r>
                </w:p>
              </w:tc>
              <w:tc>
                <w:tcPr>
                  <w:tcW w:w="1767" w:type="pct"/>
                  <w:tcBorders>
                    <w:top w:val="single" w:color="auto" w:sz="4" w:space="0"/>
                    <w:left w:val="single" w:color="auto" w:sz="4" w:space="0"/>
                    <w:bottom w:val="single" w:color="auto" w:sz="4" w:space="0"/>
                    <w:right w:val="single" w:color="auto" w:sz="4" w:space="0"/>
                  </w:tcBorders>
                  <w:vAlign w:val="center"/>
                </w:tcPr>
                <w:p w14:paraId="392E3010">
                  <w:pPr>
                    <w:snapToGrid w:val="0"/>
                    <w:spacing w:line="240" w:lineRule="auto"/>
                    <w:ind w:firstLine="420" w:firstLineChars="200"/>
                    <w:jc w:val="left"/>
                    <w:rPr>
                      <w:color w:val="auto"/>
                      <w:sz w:val="21"/>
                      <w:szCs w:val="21"/>
                    </w:rPr>
                  </w:pPr>
                  <w:r>
                    <w:rPr>
                      <w:color w:val="auto"/>
                      <w:sz w:val="21"/>
                      <w:szCs w:val="21"/>
                    </w:rPr>
                    <w:t>备用发电机房配备废气经排烟管送至排风机房通过通风机排放。</w:t>
                  </w:r>
                </w:p>
              </w:tc>
              <w:tc>
                <w:tcPr>
                  <w:tcW w:w="1951" w:type="pct"/>
                  <w:tcBorders>
                    <w:top w:val="single" w:color="auto" w:sz="4" w:space="0"/>
                    <w:left w:val="single" w:color="auto" w:sz="4" w:space="0"/>
                    <w:bottom w:val="single" w:color="auto" w:sz="4" w:space="0"/>
                    <w:right w:val="single" w:color="auto" w:sz="4" w:space="0"/>
                  </w:tcBorders>
                  <w:vAlign w:val="center"/>
                </w:tcPr>
                <w:p w14:paraId="517EABB2">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7D8A0F8C">
                  <w:pPr>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依托</w:t>
                  </w:r>
                </w:p>
              </w:tc>
            </w:tr>
            <w:tr w14:paraId="6F7FF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76" w:type="pct"/>
                  <w:vMerge w:val="continue"/>
                  <w:tcBorders>
                    <w:left w:val="single" w:color="auto" w:sz="4" w:space="0"/>
                    <w:right w:val="single" w:color="auto" w:sz="4" w:space="0"/>
                  </w:tcBorders>
                  <w:vAlign w:val="center"/>
                </w:tcPr>
                <w:p w14:paraId="6056CE22">
                  <w:pPr>
                    <w:snapToGrid w:val="0"/>
                    <w:spacing w:line="240" w:lineRule="auto"/>
                    <w:ind w:firstLine="0" w:firstLineChars="0"/>
                    <w:jc w:val="center"/>
                    <w:rPr>
                      <w:color w:val="auto"/>
                      <w:sz w:val="21"/>
                      <w:szCs w:val="21"/>
                    </w:rPr>
                  </w:pPr>
                </w:p>
              </w:tc>
              <w:tc>
                <w:tcPr>
                  <w:tcW w:w="624" w:type="pct"/>
                  <w:vMerge w:val="continue"/>
                  <w:tcBorders>
                    <w:left w:val="single" w:color="auto" w:sz="4" w:space="0"/>
                    <w:right w:val="single" w:color="auto" w:sz="4" w:space="0"/>
                  </w:tcBorders>
                  <w:vAlign w:val="center"/>
                </w:tcPr>
                <w:p w14:paraId="4CCDD2AA">
                  <w:pPr>
                    <w:snapToGrid w:val="0"/>
                    <w:spacing w:line="240" w:lineRule="auto"/>
                    <w:ind w:firstLine="0" w:firstLineChars="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3341FB17">
                  <w:pPr>
                    <w:snapToGrid w:val="0"/>
                    <w:spacing w:line="240" w:lineRule="auto"/>
                    <w:ind w:firstLine="420" w:firstLineChars="200"/>
                    <w:jc w:val="left"/>
                    <w:rPr>
                      <w:color w:val="auto"/>
                      <w:sz w:val="21"/>
                      <w:szCs w:val="21"/>
                    </w:rPr>
                  </w:pPr>
                  <w:r>
                    <w:rPr>
                      <w:color w:val="auto"/>
                      <w:sz w:val="21"/>
                      <w:szCs w:val="21"/>
                    </w:rPr>
                    <w:t>厨房油烟经抽油烟机处理后排放</w:t>
                  </w:r>
                </w:p>
              </w:tc>
              <w:tc>
                <w:tcPr>
                  <w:tcW w:w="1951" w:type="pct"/>
                  <w:tcBorders>
                    <w:top w:val="single" w:color="auto" w:sz="4" w:space="0"/>
                    <w:left w:val="single" w:color="auto" w:sz="4" w:space="0"/>
                    <w:bottom w:val="single" w:color="auto" w:sz="4" w:space="0"/>
                    <w:right w:val="single" w:color="auto" w:sz="4" w:space="0"/>
                  </w:tcBorders>
                  <w:vAlign w:val="center"/>
                </w:tcPr>
                <w:p w14:paraId="468C27AC">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6C32F408">
                  <w:pPr>
                    <w:snapToGrid w:val="0"/>
                    <w:spacing w:line="240" w:lineRule="auto"/>
                    <w:ind w:firstLine="0" w:firstLineChars="0"/>
                    <w:jc w:val="center"/>
                    <w:rPr>
                      <w:color w:val="auto"/>
                      <w:sz w:val="21"/>
                      <w:szCs w:val="21"/>
                    </w:rPr>
                  </w:pPr>
                  <w:r>
                    <w:rPr>
                      <w:rFonts w:hint="eastAsia"/>
                      <w:color w:val="auto"/>
                      <w:sz w:val="21"/>
                      <w:szCs w:val="21"/>
                      <w:lang w:val="en-US" w:eastAsia="zh-CN"/>
                    </w:rPr>
                    <w:t>依托</w:t>
                  </w:r>
                </w:p>
              </w:tc>
            </w:tr>
            <w:tr w14:paraId="3E3C2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276" w:type="pct"/>
                  <w:vMerge w:val="continue"/>
                  <w:tcBorders>
                    <w:left w:val="single" w:color="auto" w:sz="4" w:space="0"/>
                    <w:right w:val="single" w:color="auto" w:sz="4" w:space="0"/>
                  </w:tcBorders>
                  <w:vAlign w:val="center"/>
                </w:tcPr>
                <w:p w14:paraId="65F8E833">
                  <w:pPr>
                    <w:snapToGrid w:val="0"/>
                    <w:spacing w:line="240" w:lineRule="auto"/>
                    <w:ind w:firstLine="0" w:firstLineChars="0"/>
                    <w:jc w:val="center"/>
                    <w:rPr>
                      <w:color w:val="auto"/>
                      <w:sz w:val="21"/>
                      <w:szCs w:val="21"/>
                    </w:rPr>
                  </w:pPr>
                </w:p>
              </w:tc>
              <w:tc>
                <w:tcPr>
                  <w:tcW w:w="624" w:type="pct"/>
                  <w:tcBorders>
                    <w:top w:val="single" w:color="auto" w:sz="4" w:space="0"/>
                    <w:left w:val="single" w:color="auto" w:sz="4" w:space="0"/>
                    <w:right w:val="single" w:color="auto" w:sz="4" w:space="0"/>
                  </w:tcBorders>
                  <w:vAlign w:val="center"/>
                </w:tcPr>
                <w:p w14:paraId="3FBE6F5B">
                  <w:pPr>
                    <w:snapToGrid w:val="0"/>
                    <w:spacing w:line="240" w:lineRule="auto"/>
                    <w:ind w:firstLine="0" w:firstLineChars="0"/>
                    <w:jc w:val="center"/>
                    <w:rPr>
                      <w:color w:val="auto"/>
                      <w:sz w:val="21"/>
                      <w:szCs w:val="21"/>
                    </w:rPr>
                  </w:pPr>
                  <w:r>
                    <w:rPr>
                      <w:color w:val="auto"/>
                      <w:sz w:val="21"/>
                      <w:szCs w:val="21"/>
                    </w:rPr>
                    <w:t>噪声治理</w:t>
                  </w:r>
                </w:p>
              </w:tc>
              <w:tc>
                <w:tcPr>
                  <w:tcW w:w="1767" w:type="pct"/>
                  <w:tcBorders>
                    <w:top w:val="single" w:color="auto" w:sz="4" w:space="0"/>
                    <w:left w:val="single" w:color="auto" w:sz="4" w:space="0"/>
                    <w:bottom w:val="single" w:color="auto" w:sz="4" w:space="0"/>
                    <w:right w:val="single" w:color="auto" w:sz="4" w:space="0"/>
                  </w:tcBorders>
                  <w:vAlign w:val="center"/>
                </w:tcPr>
                <w:p w14:paraId="4D2AF344">
                  <w:pPr>
                    <w:snapToGrid w:val="0"/>
                    <w:spacing w:line="240" w:lineRule="auto"/>
                    <w:ind w:firstLine="420" w:firstLineChars="200"/>
                    <w:jc w:val="left"/>
                    <w:rPr>
                      <w:color w:val="auto"/>
                      <w:sz w:val="21"/>
                      <w:szCs w:val="21"/>
                    </w:rPr>
                  </w:pPr>
                  <w:r>
                    <w:rPr>
                      <w:color w:val="auto"/>
                      <w:sz w:val="21"/>
                      <w:szCs w:val="21"/>
                    </w:rPr>
                    <w:t>柴油发电机、水泵、电梯间等均设置在独立设备间。</w:t>
                  </w:r>
                </w:p>
              </w:tc>
              <w:tc>
                <w:tcPr>
                  <w:tcW w:w="1951" w:type="pct"/>
                  <w:tcBorders>
                    <w:top w:val="single" w:color="auto" w:sz="4" w:space="0"/>
                    <w:left w:val="single" w:color="auto" w:sz="4" w:space="0"/>
                    <w:bottom w:val="single" w:color="auto" w:sz="4" w:space="0"/>
                    <w:right w:val="single" w:color="auto" w:sz="4" w:space="0"/>
                  </w:tcBorders>
                  <w:vAlign w:val="center"/>
                </w:tcPr>
                <w:p w14:paraId="464655BC">
                  <w:pPr>
                    <w:snapToGrid w:val="0"/>
                    <w:spacing w:line="240" w:lineRule="auto"/>
                    <w:ind w:firstLine="420" w:firstLineChars="200"/>
                    <w:jc w:val="left"/>
                    <w:rPr>
                      <w:rFonts w:hint="eastAsia" w:eastAsia="宋体"/>
                      <w:color w:val="auto"/>
                      <w:sz w:val="21"/>
                      <w:szCs w:val="21"/>
                      <w:lang w:eastAsia="zh-CN"/>
                    </w:rPr>
                  </w:pPr>
                  <w:r>
                    <w:rPr>
                      <w:rFonts w:hint="eastAsia"/>
                      <w:color w:val="auto"/>
                      <w:sz w:val="21"/>
                      <w:szCs w:val="21"/>
                      <w:lang w:val="en-US" w:eastAsia="zh-CN"/>
                    </w:rPr>
                    <w:t>/</w:t>
                  </w:r>
                </w:p>
              </w:tc>
              <w:tc>
                <w:tcPr>
                  <w:tcW w:w="380" w:type="pct"/>
                  <w:tcBorders>
                    <w:top w:val="single" w:color="auto" w:sz="4" w:space="0"/>
                    <w:left w:val="single" w:color="auto" w:sz="4" w:space="0"/>
                    <w:bottom w:val="single" w:color="auto" w:sz="4" w:space="0"/>
                    <w:right w:val="single" w:color="auto" w:sz="4" w:space="0"/>
                  </w:tcBorders>
                  <w:vAlign w:val="center"/>
                </w:tcPr>
                <w:p w14:paraId="4F4F6410">
                  <w:pPr>
                    <w:snapToGrid w:val="0"/>
                    <w:spacing w:line="240" w:lineRule="auto"/>
                    <w:ind w:firstLine="0" w:firstLineChars="0"/>
                    <w:jc w:val="center"/>
                    <w:rPr>
                      <w:color w:val="auto"/>
                      <w:sz w:val="21"/>
                      <w:szCs w:val="21"/>
                    </w:rPr>
                  </w:pPr>
                  <w:r>
                    <w:rPr>
                      <w:color w:val="auto"/>
                      <w:sz w:val="21"/>
                      <w:szCs w:val="21"/>
                    </w:rPr>
                    <w:t>部分依托</w:t>
                  </w:r>
                </w:p>
              </w:tc>
            </w:tr>
            <w:tr w14:paraId="19319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continue"/>
                  <w:tcBorders>
                    <w:left w:val="single" w:color="auto" w:sz="4" w:space="0"/>
                    <w:right w:val="single" w:color="auto" w:sz="4" w:space="0"/>
                  </w:tcBorders>
                  <w:vAlign w:val="center"/>
                </w:tcPr>
                <w:p w14:paraId="542DFB5B">
                  <w:pPr>
                    <w:snapToGrid w:val="0"/>
                    <w:spacing w:line="240" w:lineRule="auto"/>
                    <w:ind w:firstLine="0" w:firstLineChars="0"/>
                    <w:jc w:val="center"/>
                    <w:rPr>
                      <w:color w:val="auto"/>
                      <w:sz w:val="21"/>
                      <w:szCs w:val="21"/>
                    </w:rPr>
                  </w:pPr>
                </w:p>
              </w:tc>
              <w:tc>
                <w:tcPr>
                  <w:tcW w:w="624" w:type="pct"/>
                  <w:vMerge w:val="restart"/>
                  <w:tcBorders>
                    <w:top w:val="single" w:color="auto" w:sz="4" w:space="0"/>
                    <w:left w:val="single" w:color="auto" w:sz="4" w:space="0"/>
                    <w:right w:val="single" w:color="auto" w:sz="4" w:space="0"/>
                  </w:tcBorders>
                  <w:vAlign w:val="center"/>
                </w:tcPr>
                <w:p w14:paraId="267A30B0">
                  <w:pPr>
                    <w:snapToGrid w:val="0"/>
                    <w:spacing w:line="240" w:lineRule="auto"/>
                    <w:ind w:firstLine="0" w:firstLineChars="0"/>
                    <w:jc w:val="center"/>
                    <w:rPr>
                      <w:color w:val="auto"/>
                      <w:sz w:val="21"/>
                      <w:szCs w:val="21"/>
                    </w:rPr>
                  </w:pPr>
                  <w:r>
                    <w:rPr>
                      <w:color w:val="auto"/>
                      <w:sz w:val="21"/>
                      <w:szCs w:val="21"/>
                    </w:rPr>
                    <w:t>固废治理</w:t>
                  </w:r>
                </w:p>
              </w:tc>
              <w:tc>
                <w:tcPr>
                  <w:tcW w:w="1767" w:type="pct"/>
                  <w:tcBorders>
                    <w:top w:val="single" w:color="auto" w:sz="4" w:space="0"/>
                    <w:left w:val="single" w:color="auto" w:sz="4" w:space="0"/>
                    <w:bottom w:val="single" w:color="auto" w:sz="4" w:space="0"/>
                    <w:right w:val="single" w:color="auto" w:sz="4" w:space="0"/>
                  </w:tcBorders>
                  <w:vAlign w:val="center"/>
                </w:tcPr>
                <w:p w14:paraId="402E722B">
                  <w:pPr>
                    <w:snapToGrid w:val="0"/>
                    <w:spacing w:line="240" w:lineRule="auto"/>
                    <w:ind w:firstLine="420" w:firstLineChars="200"/>
                    <w:jc w:val="left"/>
                    <w:rPr>
                      <w:color w:val="auto"/>
                      <w:sz w:val="21"/>
                      <w:szCs w:val="21"/>
                    </w:rPr>
                  </w:pPr>
                  <w:r>
                    <w:rPr>
                      <w:color w:val="auto"/>
                      <w:sz w:val="21"/>
                      <w:szCs w:val="21"/>
                    </w:rPr>
                    <w:t>各层均设置医废</w:t>
                  </w:r>
                  <w:r>
                    <w:rPr>
                      <w:rFonts w:hint="eastAsia"/>
                      <w:color w:val="auto"/>
                      <w:sz w:val="21"/>
                      <w:szCs w:val="21"/>
                    </w:rPr>
                    <w:t>收集处</w:t>
                  </w:r>
                  <w:r>
                    <w:rPr>
                      <w:color w:val="auto"/>
                      <w:sz w:val="21"/>
                      <w:szCs w:val="21"/>
                    </w:rPr>
                    <w:t>，对医疗固废集中分类收集</w:t>
                  </w:r>
                  <w:r>
                    <w:rPr>
                      <w:rFonts w:hint="eastAsia"/>
                      <w:color w:val="auto"/>
                      <w:sz w:val="21"/>
                      <w:szCs w:val="21"/>
                    </w:rPr>
                    <w:t>后运至医废暂存间。</w:t>
                  </w:r>
                </w:p>
              </w:tc>
              <w:tc>
                <w:tcPr>
                  <w:tcW w:w="1951" w:type="pct"/>
                  <w:tcBorders>
                    <w:top w:val="single" w:color="auto" w:sz="4" w:space="0"/>
                    <w:left w:val="single" w:color="auto" w:sz="4" w:space="0"/>
                    <w:bottom w:val="single" w:color="auto" w:sz="4" w:space="0"/>
                    <w:right w:val="single" w:color="auto" w:sz="4" w:space="0"/>
                  </w:tcBorders>
                  <w:vAlign w:val="center"/>
                </w:tcPr>
                <w:p w14:paraId="540B48C1">
                  <w:pPr>
                    <w:snapToGrid w:val="0"/>
                    <w:spacing w:line="240" w:lineRule="auto"/>
                    <w:ind w:firstLine="420" w:firstLineChars="200"/>
                    <w:jc w:val="left"/>
                    <w:rPr>
                      <w:rFonts w:hint="default" w:eastAsia="宋体"/>
                      <w:color w:val="auto"/>
                      <w:sz w:val="21"/>
                      <w:szCs w:val="21"/>
                      <w:lang w:val="en-US" w:eastAsia="zh-CN"/>
                    </w:rPr>
                  </w:pPr>
                  <w:r>
                    <w:rPr>
                      <w:rFonts w:hint="eastAsia"/>
                      <w:color w:val="auto"/>
                      <w:sz w:val="21"/>
                      <w:szCs w:val="21"/>
                      <w:lang w:val="en-US" w:eastAsia="zh-CN"/>
                    </w:rPr>
                    <w:t>新建医疗废物暂存间位于新建门卫室和污水处理站旁边</w:t>
                  </w:r>
                </w:p>
              </w:tc>
              <w:tc>
                <w:tcPr>
                  <w:tcW w:w="380" w:type="pct"/>
                  <w:tcBorders>
                    <w:top w:val="single" w:color="auto" w:sz="4" w:space="0"/>
                    <w:left w:val="single" w:color="auto" w:sz="4" w:space="0"/>
                    <w:bottom w:val="single" w:color="auto" w:sz="4" w:space="0"/>
                    <w:right w:val="single" w:color="auto" w:sz="4" w:space="0"/>
                  </w:tcBorders>
                  <w:vAlign w:val="center"/>
                </w:tcPr>
                <w:p w14:paraId="11F25EDA">
                  <w:pPr>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新建</w:t>
                  </w:r>
                </w:p>
              </w:tc>
            </w:tr>
            <w:tr w14:paraId="6844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continue"/>
                  <w:tcBorders>
                    <w:left w:val="single" w:color="auto" w:sz="4" w:space="0"/>
                    <w:right w:val="single" w:color="auto" w:sz="4" w:space="0"/>
                  </w:tcBorders>
                  <w:vAlign w:val="center"/>
                </w:tcPr>
                <w:p w14:paraId="2211DA2F">
                  <w:pPr>
                    <w:snapToGrid w:val="0"/>
                    <w:spacing w:line="240" w:lineRule="auto"/>
                    <w:ind w:firstLine="0" w:firstLineChars="0"/>
                    <w:jc w:val="center"/>
                    <w:rPr>
                      <w:color w:val="auto"/>
                      <w:sz w:val="21"/>
                      <w:szCs w:val="21"/>
                    </w:rPr>
                  </w:pPr>
                </w:p>
              </w:tc>
              <w:tc>
                <w:tcPr>
                  <w:tcW w:w="624" w:type="pct"/>
                  <w:vMerge w:val="continue"/>
                  <w:tcBorders>
                    <w:left w:val="single" w:color="auto" w:sz="4" w:space="0"/>
                    <w:right w:val="single" w:color="auto" w:sz="4" w:space="0"/>
                  </w:tcBorders>
                  <w:vAlign w:val="center"/>
                </w:tcPr>
                <w:p w14:paraId="1B00E86D">
                  <w:pPr>
                    <w:snapToGrid w:val="0"/>
                    <w:spacing w:line="240" w:lineRule="auto"/>
                    <w:ind w:firstLine="42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33C2D129">
                  <w:pPr>
                    <w:snapToGrid w:val="0"/>
                    <w:spacing w:line="240" w:lineRule="auto"/>
                    <w:ind w:firstLine="420" w:firstLineChars="200"/>
                    <w:jc w:val="left"/>
                    <w:rPr>
                      <w:color w:val="auto"/>
                      <w:sz w:val="21"/>
                      <w:szCs w:val="21"/>
                    </w:rPr>
                  </w:pPr>
                  <w:r>
                    <w:rPr>
                      <w:color w:val="auto"/>
                      <w:sz w:val="21"/>
                      <w:szCs w:val="21"/>
                    </w:rPr>
                    <w:t>各层及建筑物前设置生活垃圾收集桶。</w:t>
                  </w:r>
                </w:p>
              </w:tc>
              <w:tc>
                <w:tcPr>
                  <w:tcW w:w="1951" w:type="pct"/>
                  <w:tcBorders>
                    <w:top w:val="single" w:color="auto" w:sz="4" w:space="0"/>
                    <w:left w:val="single" w:color="auto" w:sz="4" w:space="0"/>
                    <w:bottom w:val="single" w:color="auto" w:sz="4" w:space="0"/>
                    <w:right w:val="single" w:color="auto" w:sz="4" w:space="0"/>
                  </w:tcBorders>
                  <w:vAlign w:val="center"/>
                </w:tcPr>
                <w:p w14:paraId="7F3B4BDA">
                  <w:pPr>
                    <w:snapToGrid w:val="0"/>
                    <w:spacing w:line="240" w:lineRule="auto"/>
                    <w:ind w:firstLine="420" w:firstLineChars="200"/>
                    <w:jc w:val="left"/>
                    <w:rPr>
                      <w:color w:val="auto"/>
                      <w:sz w:val="21"/>
                      <w:szCs w:val="21"/>
                    </w:rPr>
                  </w:pPr>
                  <w:r>
                    <w:rPr>
                      <w:color w:val="auto"/>
                      <w:sz w:val="21"/>
                      <w:szCs w:val="21"/>
                    </w:rPr>
                    <w:t>新建</w:t>
                  </w:r>
                  <w:r>
                    <w:rPr>
                      <w:rFonts w:hint="eastAsia"/>
                      <w:color w:val="auto"/>
                      <w:sz w:val="21"/>
                      <w:szCs w:val="21"/>
                      <w:lang w:val="en-US" w:eastAsia="zh-CN"/>
                    </w:rPr>
                    <w:t>综合楼</w:t>
                  </w:r>
                  <w:r>
                    <w:rPr>
                      <w:color w:val="auto"/>
                      <w:sz w:val="21"/>
                      <w:szCs w:val="21"/>
                    </w:rPr>
                    <w:t>，其余依托原有</w:t>
                  </w:r>
                </w:p>
              </w:tc>
              <w:tc>
                <w:tcPr>
                  <w:tcW w:w="380" w:type="pct"/>
                  <w:tcBorders>
                    <w:top w:val="single" w:color="auto" w:sz="4" w:space="0"/>
                    <w:left w:val="single" w:color="auto" w:sz="4" w:space="0"/>
                    <w:bottom w:val="single" w:color="auto" w:sz="4" w:space="0"/>
                    <w:right w:val="single" w:color="auto" w:sz="4" w:space="0"/>
                  </w:tcBorders>
                  <w:vAlign w:val="center"/>
                </w:tcPr>
                <w:p w14:paraId="521EF0D5">
                  <w:pPr>
                    <w:snapToGrid w:val="0"/>
                    <w:spacing w:line="240" w:lineRule="auto"/>
                    <w:ind w:firstLine="0" w:firstLineChars="0"/>
                    <w:jc w:val="center"/>
                    <w:rPr>
                      <w:color w:val="auto"/>
                      <w:sz w:val="21"/>
                      <w:szCs w:val="21"/>
                    </w:rPr>
                  </w:pPr>
                  <w:r>
                    <w:rPr>
                      <w:color w:val="auto"/>
                      <w:sz w:val="21"/>
                      <w:szCs w:val="21"/>
                    </w:rPr>
                    <w:t>部分依托</w:t>
                  </w:r>
                </w:p>
              </w:tc>
            </w:tr>
            <w:tr w14:paraId="7DC5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276" w:type="pct"/>
                  <w:vMerge w:val="continue"/>
                  <w:tcBorders>
                    <w:left w:val="single" w:color="auto" w:sz="4" w:space="0"/>
                    <w:right w:val="single" w:color="auto" w:sz="4" w:space="0"/>
                  </w:tcBorders>
                  <w:vAlign w:val="center"/>
                </w:tcPr>
                <w:p w14:paraId="408950C2">
                  <w:pPr>
                    <w:snapToGrid w:val="0"/>
                    <w:spacing w:line="240" w:lineRule="auto"/>
                    <w:ind w:firstLine="0" w:firstLineChars="0"/>
                    <w:jc w:val="center"/>
                    <w:rPr>
                      <w:color w:val="auto"/>
                      <w:sz w:val="21"/>
                      <w:szCs w:val="21"/>
                    </w:rPr>
                  </w:pPr>
                </w:p>
              </w:tc>
              <w:tc>
                <w:tcPr>
                  <w:tcW w:w="624" w:type="pct"/>
                  <w:vMerge w:val="continue"/>
                  <w:tcBorders>
                    <w:left w:val="single" w:color="auto" w:sz="4" w:space="0"/>
                    <w:right w:val="single" w:color="auto" w:sz="4" w:space="0"/>
                  </w:tcBorders>
                  <w:vAlign w:val="center"/>
                </w:tcPr>
                <w:p w14:paraId="6E9058A4">
                  <w:pPr>
                    <w:snapToGrid w:val="0"/>
                    <w:spacing w:line="240" w:lineRule="auto"/>
                    <w:ind w:firstLine="420"/>
                    <w:jc w:val="center"/>
                    <w:rPr>
                      <w:color w:val="auto"/>
                      <w:sz w:val="21"/>
                      <w:szCs w:val="21"/>
                    </w:rPr>
                  </w:pPr>
                </w:p>
              </w:tc>
              <w:tc>
                <w:tcPr>
                  <w:tcW w:w="1767" w:type="pct"/>
                  <w:tcBorders>
                    <w:top w:val="single" w:color="auto" w:sz="4" w:space="0"/>
                    <w:left w:val="single" w:color="auto" w:sz="4" w:space="0"/>
                    <w:bottom w:val="single" w:color="auto" w:sz="4" w:space="0"/>
                    <w:right w:val="single" w:color="auto" w:sz="4" w:space="0"/>
                  </w:tcBorders>
                  <w:vAlign w:val="center"/>
                </w:tcPr>
                <w:p w14:paraId="2EE0ED5E">
                  <w:pPr>
                    <w:snapToGrid w:val="0"/>
                    <w:spacing w:line="240" w:lineRule="auto"/>
                    <w:ind w:firstLine="420" w:firstLineChars="200"/>
                    <w:jc w:val="left"/>
                    <w:rPr>
                      <w:color w:val="auto"/>
                      <w:sz w:val="21"/>
                      <w:szCs w:val="21"/>
                    </w:rPr>
                  </w:pPr>
                  <w:r>
                    <w:rPr>
                      <w:color w:val="auto"/>
                      <w:sz w:val="21"/>
                      <w:szCs w:val="21"/>
                    </w:rPr>
                    <w:t>化粪池污泥经消毒杀菌，</w:t>
                  </w:r>
                  <w:r>
                    <w:rPr>
                      <w:bCs/>
                      <w:color w:val="auto"/>
                      <w:sz w:val="21"/>
                      <w:szCs w:val="21"/>
                    </w:rPr>
                    <w:t>达到《医疗机构水污染排放标准》（GBl8466-2005）表4医疗机构污泥控制标准后，委托有资质的单位清运处置。</w:t>
                  </w:r>
                </w:p>
              </w:tc>
              <w:tc>
                <w:tcPr>
                  <w:tcW w:w="1951" w:type="pct"/>
                  <w:tcBorders>
                    <w:top w:val="single" w:color="auto" w:sz="4" w:space="0"/>
                    <w:left w:val="single" w:color="auto" w:sz="4" w:space="0"/>
                    <w:bottom w:val="single" w:color="auto" w:sz="4" w:space="0"/>
                    <w:right w:val="single" w:color="auto" w:sz="4" w:space="0"/>
                  </w:tcBorders>
                  <w:vAlign w:val="center"/>
                </w:tcPr>
                <w:p w14:paraId="2FB196B7">
                  <w:pPr>
                    <w:snapToGrid w:val="0"/>
                    <w:spacing w:line="240" w:lineRule="auto"/>
                    <w:ind w:firstLine="420" w:firstLineChars="200"/>
                    <w:jc w:val="left"/>
                    <w:rPr>
                      <w:color w:val="auto"/>
                      <w:sz w:val="21"/>
                      <w:szCs w:val="21"/>
                    </w:rPr>
                  </w:pPr>
                  <w:r>
                    <w:rPr>
                      <w:color w:val="auto"/>
                      <w:sz w:val="21"/>
                      <w:szCs w:val="21"/>
                    </w:rPr>
                    <w:t>新建</w:t>
                  </w:r>
                  <w:r>
                    <w:rPr>
                      <w:rFonts w:hint="eastAsia"/>
                      <w:color w:val="auto"/>
                      <w:sz w:val="21"/>
                      <w:szCs w:val="21"/>
                      <w:lang w:val="en-US" w:eastAsia="zh-CN"/>
                    </w:rPr>
                    <w:t>综合楼</w:t>
                  </w:r>
                  <w:r>
                    <w:rPr>
                      <w:color w:val="auto"/>
                      <w:sz w:val="21"/>
                      <w:szCs w:val="21"/>
                    </w:rPr>
                    <w:t>，其余依托原有</w:t>
                  </w:r>
                </w:p>
              </w:tc>
              <w:tc>
                <w:tcPr>
                  <w:tcW w:w="380" w:type="pct"/>
                  <w:tcBorders>
                    <w:top w:val="single" w:color="auto" w:sz="4" w:space="0"/>
                    <w:left w:val="single" w:color="auto" w:sz="4" w:space="0"/>
                    <w:bottom w:val="single" w:color="auto" w:sz="4" w:space="0"/>
                    <w:right w:val="single" w:color="auto" w:sz="4" w:space="0"/>
                  </w:tcBorders>
                  <w:shd w:val="clear" w:color="auto" w:fill="auto"/>
                  <w:vAlign w:val="center"/>
                </w:tcPr>
                <w:p w14:paraId="2F9C9033">
                  <w:pPr>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部分</w:t>
                  </w:r>
                  <w:r>
                    <w:rPr>
                      <w:color w:val="auto"/>
                      <w:sz w:val="21"/>
                      <w:szCs w:val="21"/>
                    </w:rPr>
                    <w:t>依托</w:t>
                  </w:r>
                </w:p>
              </w:tc>
            </w:tr>
          </w:tbl>
          <w:p w14:paraId="5F91DC87">
            <w:pPr>
              <w:pStyle w:val="2"/>
              <w:ind w:firstLine="422" w:firstLineChars="200"/>
              <w:jc w:val="left"/>
              <w:rPr>
                <w:b/>
                <w:bCs/>
                <w:color w:val="auto"/>
                <w:highlight w:val="none"/>
              </w:rPr>
            </w:pPr>
            <w:r>
              <w:rPr>
                <w:rFonts w:hint="eastAsia"/>
                <w:b/>
                <w:color w:val="auto"/>
                <w:kern w:val="2"/>
                <w:sz w:val="21"/>
                <w:szCs w:val="21"/>
                <w:highlight w:val="none"/>
                <w:lang w:val="en-US" w:eastAsia="zh-CN"/>
              </w:rPr>
              <w:t>项目地块总用地面积8455.90平方米，折合约12.68亩，总建筑面积为8098.4㎡。本次扩建江城卫生院拆除现状建筑住院楼1栋、辅助用房1栋、连廊共计拆除面积4254.83㎡；改造门诊楼1302㎡；现有建筑外立面提升改造，院区绿化提升改造，相关附属设施提升改造。项目规划新建总建筑面积：5304.50平方米（其中：地上4864.82平方米，地下439.68平方米）。</w:t>
            </w:r>
          </w:p>
          <w:p w14:paraId="0B29F0A3">
            <w:pPr>
              <w:pStyle w:val="7"/>
              <w:ind w:left="480" w:firstLine="361"/>
              <w:jc w:val="center"/>
              <w:rPr>
                <w:b/>
                <w:bCs/>
                <w:color w:val="auto"/>
              </w:rPr>
            </w:pPr>
            <w:r>
              <w:rPr>
                <w:b/>
                <w:bCs/>
                <w:color w:val="auto"/>
              </w:rPr>
              <w:t>表2-</w:t>
            </w:r>
            <w:r>
              <w:rPr>
                <w:rFonts w:hint="eastAsia"/>
                <w:b/>
                <w:bCs/>
                <w:color w:val="auto"/>
                <w:lang w:val="en-US" w:eastAsia="zh-CN"/>
              </w:rPr>
              <w:t>3</w:t>
            </w:r>
            <w:r>
              <w:rPr>
                <w:rFonts w:hint="eastAsia"/>
                <w:b/>
                <w:color w:val="auto"/>
                <w:kern w:val="2"/>
                <w:sz w:val="21"/>
                <w:szCs w:val="21"/>
                <w:lang w:val="en-US" w:eastAsia="zh-CN"/>
              </w:rPr>
              <w:t>江川区医共体总医院</w:t>
            </w:r>
            <w:r>
              <w:rPr>
                <w:b/>
                <w:bCs/>
                <w:color w:val="auto"/>
              </w:rPr>
              <w:t>主要技术经济指标表</w:t>
            </w:r>
          </w:p>
          <w:tbl>
            <w:tblPr>
              <w:tblStyle w:val="1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56" w:type="dxa"/>
                <w:left w:w="96" w:type="dxa"/>
                <w:bottom w:w="56" w:type="dxa"/>
                <w:right w:w="96" w:type="dxa"/>
              </w:tblCellMar>
            </w:tblPr>
            <w:tblGrid>
              <w:gridCol w:w="1063"/>
              <w:gridCol w:w="1058"/>
              <w:gridCol w:w="1751"/>
              <w:gridCol w:w="1577"/>
              <w:gridCol w:w="1063"/>
              <w:gridCol w:w="1069"/>
            </w:tblGrid>
            <w:tr w14:paraId="4F364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tblHeader/>
                <w:jc w:val="center"/>
              </w:trPr>
              <w:tc>
                <w:tcPr>
                  <w:tcW w:w="5000" w:type="pct"/>
                  <w:gridSpan w:val="6"/>
                  <w:tcBorders>
                    <w:top w:val="single" w:color="000000" w:sz="4" w:space="0"/>
                    <w:left w:val="single" w:color="000000" w:sz="4" w:space="0"/>
                    <w:bottom w:val="single" w:color="000000" w:sz="4" w:space="0"/>
                    <w:right w:val="single" w:color="000000" w:sz="4" w:space="0"/>
                  </w:tcBorders>
                  <w:noWrap/>
                  <w:vAlign w:val="center"/>
                </w:tcPr>
                <w:p w14:paraId="1711F49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资源共享中心和中心药房技术经济指标表</w:t>
                  </w:r>
                </w:p>
              </w:tc>
            </w:tr>
            <w:tr w14:paraId="51AC2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tblHeader/>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01AC027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序号</w:t>
                  </w:r>
                </w:p>
              </w:tc>
              <w:tc>
                <w:tcPr>
                  <w:tcW w:w="1853" w:type="pct"/>
                  <w:gridSpan w:val="2"/>
                  <w:tcBorders>
                    <w:top w:val="single" w:color="000000" w:sz="4" w:space="0"/>
                    <w:left w:val="single" w:color="000000" w:sz="4" w:space="0"/>
                    <w:bottom w:val="single" w:color="000000" w:sz="4" w:space="0"/>
                    <w:right w:val="single" w:color="000000" w:sz="4" w:space="0"/>
                  </w:tcBorders>
                  <w:noWrap/>
                  <w:vAlign w:val="center"/>
                </w:tcPr>
                <w:p w14:paraId="5979676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名称</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333BFD3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数量</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264DBEE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单位</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4B97525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cs="宋体"/>
                      <w:b/>
                      <w:bCs/>
                      <w:i w:val="0"/>
                      <w:iCs w:val="0"/>
                      <w:color w:val="auto"/>
                      <w:kern w:val="0"/>
                      <w:sz w:val="18"/>
                      <w:szCs w:val="18"/>
                      <w:u w:val="none"/>
                      <w:lang w:val="en-US" w:eastAsia="zh-CN" w:bidi="ar"/>
                    </w:rPr>
                    <w:t>备注</w:t>
                  </w:r>
                </w:p>
              </w:tc>
            </w:tr>
            <w:tr w14:paraId="37438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1DBEEFE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1</w:t>
                  </w:r>
                </w:p>
              </w:tc>
              <w:tc>
                <w:tcPr>
                  <w:tcW w:w="1853" w:type="pct"/>
                  <w:gridSpan w:val="2"/>
                  <w:tcBorders>
                    <w:top w:val="single" w:color="000000" w:sz="4" w:space="0"/>
                    <w:left w:val="single" w:color="000000" w:sz="4" w:space="0"/>
                    <w:bottom w:val="single" w:color="000000" w:sz="4" w:space="0"/>
                    <w:right w:val="single" w:color="000000" w:sz="4" w:space="0"/>
                  </w:tcBorders>
                  <w:noWrap/>
                  <w:vAlign w:val="center"/>
                </w:tcPr>
                <w:p w14:paraId="4D89B6B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总建筑面积</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7475DD5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sz w:val="18"/>
                      <w:szCs w:val="18"/>
                      <w:u w:val="none"/>
                      <w:lang w:val="en-US" w:eastAsia="zh-CN"/>
                    </w:rPr>
                    <w:t>2935.5</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0BED032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52A8332F">
                  <w:pPr>
                    <w:keepNext w:val="0"/>
                    <w:keepLines w:val="0"/>
                    <w:pageBreakBefore w:val="0"/>
                    <w:kinsoku/>
                    <w:wordWrap/>
                    <w:overflowPunct/>
                    <w:topLinePunct w:val="0"/>
                    <w:autoSpaceDE/>
                    <w:autoSpaceDN/>
                    <w:bidi w:val="0"/>
                    <w:adjustRightInd/>
                    <w:snapToGrid w:val="0"/>
                    <w:spacing w:line="400" w:lineRule="exact"/>
                    <w:ind w:firstLine="0" w:firstLineChars="0"/>
                    <w:jc w:val="center"/>
                    <w:rPr>
                      <w:rFonts w:hint="eastAsia" w:ascii="宋体" w:hAnsi="宋体" w:eastAsia="宋体" w:cs="宋体"/>
                      <w:i w:val="0"/>
                      <w:iCs w:val="0"/>
                      <w:color w:val="auto"/>
                      <w:sz w:val="18"/>
                      <w:szCs w:val="18"/>
                      <w:u w:val="none"/>
                    </w:rPr>
                  </w:pPr>
                </w:p>
              </w:tc>
            </w:tr>
            <w:tr w14:paraId="7AB71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0B234CF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2</w:t>
                  </w:r>
                </w:p>
              </w:tc>
              <w:tc>
                <w:tcPr>
                  <w:tcW w:w="698" w:type="pct"/>
                  <w:vMerge w:val="restart"/>
                  <w:tcBorders>
                    <w:top w:val="single" w:color="000000" w:sz="4" w:space="0"/>
                    <w:left w:val="single" w:color="000000" w:sz="4" w:space="0"/>
                    <w:bottom w:val="single" w:color="000000" w:sz="4" w:space="0"/>
                    <w:right w:val="single" w:color="000000" w:sz="4" w:space="0"/>
                  </w:tcBorders>
                  <w:noWrap/>
                  <w:vAlign w:val="center"/>
                </w:tcPr>
                <w:p w14:paraId="57858DB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其中</w:t>
                  </w:r>
                </w:p>
              </w:tc>
              <w:tc>
                <w:tcPr>
                  <w:tcW w:w="1155" w:type="pct"/>
                  <w:tcBorders>
                    <w:top w:val="single" w:color="000000" w:sz="4" w:space="0"/>
                    <w:left w:val="single" w:color="000000" w:sz="4" w:space="0"/>
                    <w:bottom w:val="single" w:color="000000" w:sz="4" w:space="0"/>
                    <w:right w:val="single" w:color="000000" w:sz="4" w:space="0"/>
                  </w:tcBorders>
                  <w:noWrap/>
                  <w:vAlign w:val="center"/>
                </w:tcPr>
                <w:p w14:paraId="11A7275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医学影像</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132D99F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572.00</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684AD44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4F7FE40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改造</w:t>
                  </w:r>
                </w:p>
              </w:tc>
            </w:tr>
            <w:tr w14:paraId="548763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331CC76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3</w:t>
                  </w:r>
                </w:p>
              </w:tc>
              <w:tc>
                <w:tcPr>
                  <w:tcW w:w="698" w:type="pct"/>
                  <w:vMerge w:val="continue"/>
                  <w:tcBorders>
                    <w:top w:val="single" w:color="000000" w:sz="4" w:space="0"/>
                    <w:left w:val="single" w:color="000000" w:sz="4" w:space="0"/>
                    <w:bottom w:val="single" w:color="000000" w:sz="4" w:space="0"/>
                    <w:right w:val="single" w:color="000000" w:sz="4" w:space="0"/>
                  </w:tcBorders>
                  <w:noWrap/>
                  <w:vAlign w:val="center"/>
                </w:tcPr>
                <w:p w14:paraId="1CD86FBB">
                  <w:pPr>
                    <w:keepNext w:val="0"/>
                    <w:keepLines w:val="0"/>
                    <w:pageBreakBefore w:val="0"/>
                    <w:kinsoku/>
                    <w:wordWrap/>
                    <w:overflowPunct/>
                    <w:topLinePunct w:val="0"/>
                    <w:autoSpaceDE/>
                    <w:autoSpaceDN/>
                    <w:bidi w:val="0"/>
                    <w:adjustRightInd/>
                    <w:snapToGrid w:val="0"/>
                    <w:spacing w:line="400" w:lineRule="exact"/>
                    <w:ind w:firstLine="0" w:firstLineChars="0"/>
                    <w:jc w:val="center"/>
                    <w:rPr>
                      <w:rFonts w:hint="eastAsia" w:ascii="宋体" w:hAnsi="宋体" w:eastAsia="宋体" w:cs="宋体"/>
                      <w:i w:val="0"/>
                      <w:iCs w:val="0"/>
                      <w:color w:val="auto"/>
                      <w:sz w:val="18"/>
                      <w:szCs w:val="18"/>
                      <w:u w:val="none"/>
                    </w:rPr>
                  </w:pPr>
                </w:p>
              </w:tc>
              <w:tc>
                <w:tcPr>
                  <w:tcW w:w="1155" w:type="pct"/>
                  <w:tcBorders>
                    <w:top w:val="single" w:color="000000" w:sz="4" w:space="0"/>
                    <w:left w:val="single" w:color="000000" w:sz="4" w:space="0"/>
                    <w:bottom w:val="single" w:color="000000" w:sz="4" w:space="0"/>
                    <w:right w:val="single" w:color="000000" w:sz="4" w:space="0"/>
                  </w:tcBorders>
                  <w:noWrap/>
                  <w:vAlign w:val="center"/>
                </w:tcPr>
                <w:p w14:paraId="4C72069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心电诊断</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16F9C81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467.00</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7497E28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2F008A9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改造</w:t>
                  </w:r>
                </w:p>
              </w:tc>
            </w:tr>
            <w:tr w14:paraId="7668F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27057FD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4</w:t>
                  </w:r>
                </w:p>
              </w:tc>
              <w:tc>
                <w:tcPr>
                  <w:tcW w:w="698" w:type="pct"/>
                  <w:vMerge w:val="continue"/>
                  <w:tcBorders>
                    <w:top w:val="single" w:color="000000" w:sz="4" w:space="0"/>
                    <w:left w:val="single" w:color="000000" w:sz="4" w:space="0"/>
                    <w:bottom w:val="single" w:color="000000" w:sz="4" w:space="0"/>
                    <w:right w:val="single" w:color="000000" w:sz="4" w:space="0"/>
                  </w:tcBorders>
                  <w:noWrap/>
                  <w:vAlign w:val="center"/>
                </w:tcPr>
                <w:p w14:paraId="5E6B9B0F">
                  <w:pPr>
                    <w:keepNext w:val="0"/>
                    <w:keepLines w:val="0"/>
                    <w:pageBreakBefore w:val="0"/>
                    <w:kinsoku/>
                    <w:wordWrap/>
                    <w:overflowPunct/>
                    <w:topLinePunct w:val="0"/>
                    <w:autoSpaceDE/>
                    <w:autoSpaceDN/>
                    <w:bidi w:val="0"/>
                    <w:adjustRightInd/>
                    <w:snapToGrid w:val="0"/>
                    <w:spacing w:line="400" w:lineRule="exact"/>
                    <w:ind w:firstLine="0" w:firstLineChars="0"/>
                    <w:jc w:val="center"/>
                    <w:rPr>
                      <w:rFonts w:hint="eastAsia" w:ascii="宋体" w:hAnsi="宋体" w:eastAsia="宋体" w:cs="宋体"/>
                      <w:i w:val="0"/>
                      <w:iCs w:val="0"/>
                      <w:color w:val="auto"/>
                      <w:sz w:val="18"/>
                      <w:szCs w:val="18"/>
                      <w:u w:val="none"/>
                    </w:rPr>
                  </w:pPr>
                </w:p>
              </w:tc>
              <w:tc>
                <w:tcPr>
                  <w:tcW w:w="1155" w:type="pct"/>
                  <w:tcBorders>
                    <w:top w:val="single" w:color="000000" w:sz="4" w:space="0"/>
                    <w:left w:val="single" w:color="000000" w:sz="4" w:space="0"/>
                    <w:bottom w:val="single" w:color="000000" w:sz="4" w:space="0"/>
                    <w:right w:val="single" w:color="000000" w:sz="4" w:space="0"/>
                  </w:tcBorders>
                  <w:noWrap/>
                  <w:vAlign w:val="center"/>
                </w:tcPr>
                <w:p w14:paraId="272AA92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医学检验</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208CE18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1040.00</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5E2E382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76AA7A3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改造</w:t>
                  </w:r>
                </w:p>
              </w:tc>
            </w:tr>
            <w:tr w14:paraId="5E96F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2369CF0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5</w:t>
                  </w:r>
                </w:p>
              </w:tc>
              <w:tc>
                <w:tcPr>
                  <w:tcW w:w="698" w:type="pct"/>
                  <w:vMerge w:val="continue"/>
                  <w:tcBorders>
                    <w:top w:val="single" w:color="000000" w:sz="4" w:space="0"/>
                    <w:left w:val="single" w:color="000000" w:sz="4" w:space="0"/>
                    <w:bottom w:val="single" w:color="000000" w:sz="4" w:space="0"/>
                    <w:right w:val="single" w:color="000000" w:sz="4" w:space="0"/>
                  </w:tcBorders>
                  <w:noWrap/>
                  <w:vAlign w:val="center"/>
                </w:tcPr>
                <w:p w14:paraId="6A884353">
                  <w:pPr>
                    <w:keepNext w:val="0"/>
                    <w:keepLines w:val="0"/>
                    <w:pageBreakBefore w:val="0"/>
                    <w:kinsoku/>
                    <w:wordWrap/>
                    <w:overflowPunct/>
                    <w:topLinePunct w:val="0"/>
                    <w:autoSpaceDE/>
                    <w:autoSpaceDN/>
                    <w:bidi w:val="0"/>
                    <w:adjustRightInd/>
                    <w:snapToGrid w:val="0"/>
                    <w:spacing w:line="400" w:lineRule="exact"/>
                    <w:ind w:firstLine="0" w:firstLineChars="0"/>
                    <w:jc w:val="center"/>
                    <w:rPr>
                      <w:rFonts w:hint="eastAsia" w:ascii="宋体" w:hAnsi="宋体" w:eastAsia="宋体" w:cs="宋体"/>
                      <w:i w:val="0"/>
                      <w:iCs w:val="0"/>
                      <w:color w:val="auto"/>
                      <w:sz w:val="18"/>
                      <w:szCs w:val="18"/>
                      <w:u w:val="none"/>
                    </w:rPr>
                  </w:pPr>
                </w:p>
              </w:tc>
              <w:tc>
                <w:tcPr>
                  <w:tcW w:w="1155" w:type="pct"/>
                  <w:tcBorders>
                    <w:top w:val="single" w:color="000000" w:sz="4" w:space="0"/>
                    <w:left w:val="single" w:color="000000" w:sz="4" w:space="0"/>
                    <w:bottom w:val="single" w:color="000000" w:sz="4" w:space="0"/>
                    <w:right w:val="single" w:color="000000" w:sz="4" w:space="0"/>
                  </w:tcBorders>
                  <w:noWrap/>
                  <w:vAlign w:val="center"/>
                </w:tcPr>
                <w:p w14:paraId="308DD69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消毒供应</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4D010E3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sz w:val="18"/>
                      <w:szCs w:val="18"/>
                      <w:u w:val="none"/>
                      <w:lang w:val="en-US" w:eastAsia="zh-CN"/>
                    </w:rPr>
                    <w:t>576.00</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13B9A0D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51AB646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新建</w:t>
                  </w:r>
                </w:p>
              </w:tc>
            </w:tr>
            <w:tr w14:paraId="4305E1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6" w:type="dxa"/>
                  <w:left w:w="96" w:type="dxa"/>
                  <w:bottom w:w="56" w:type="dxa"/>
                  <w:right w:w="96" w:type="dxa"/>
                </w:tblCellMar>
              </w:tblPrEx>
              <w:trPr>
                <w:trHeight w:val="0" w:hRule="atLeast"/>
                <w:jc w:val="center"/>
              </w:trPr>
              <w:tc>
                <w:tcPr>
                  <w:tcW w:w="701" w:type="pct"/>
                  <w:tcBorders>
                    <w:top w:val="single" w:color="000000" w:sz="4" w:space="0"/>
                    <w:left w:val="single" w:color="000000" w:sz="4" w:space="0"/>
                    <w:bottom w:val="single" w:color="000000" w:sz="4" w:space="0"/>
                    <w:right w:val="single" w:color="000000" w:sz="4" w:space="0"/>
                  </w:tcBorders>
                  <w:noWrap/>
                  <w:vAlign w:val="center"/>
                </w:tcPr>
                <w:p w14:paraId="47FD3AB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6</w:t>
                  </w:r>
                </w:p>
              </w:tc>
              <w:tc>
                <w:tcPr>
                  <w:tcW w:w="698" w:type="pct"/>
                  <w:vMerge w:val="continue"/>
                  <w:tcBorders>
                    <w:top w:val="single" w:color="000000" w:sz="4" w:space="0"/>
                    <w:left w:val="single" w:color="000000" w:sz="4" w:space="0"/>
                    <w:bottom w:val="single" w:color="000000" w:sz="4" w:space="0"/>
                    <w:right w:val="single" w:color="000000" w:sz="4" w:space="0"/>
                  </w:tcBorders>
                  <w:noWrap/>
                  <w:vAlign w:val="center"/>
                </w:tcPr>
                <w:p w14:paraId="3EDD4578">
                  <w:pPr>
                    <w:keepNext w:val="0"/>
                    <w:keepLines w:val="0"/>
                    <w:pageBreakBefore w:val="0"/>
                    <w:kinsoku/>
                    <w:wordWrap/>
                    <w:overflowPunct/>
                    <w:topLinePunct w:val="0"/>
                    <w:autoSpaceDE/>
                    <w:autoSpaceDN/>
                    <w:bidi w:val="0"/>
                    <w:adjustRightInd/>
                    <w:snapToGrid w:val="0"/>
                    <w:spacing w:line="400" w:lineRule="exact"/>
                    <w:ind w:firstLine="0" w:firstLineChars="0"/>
                    <w:jc w:val="center"/>
                    <w:rPr>
                      <w:rFonts w:hint="eastAsia" w:ascii="宋体" w:hAnsi="宋体" w:eastAsia="宋体" w:cs="宋体"/>
                      <w:i w:val="0"/>
                      <w:iCs w:val="0"/>
                      <w:color w:val="auto"/>
                      <w:sz w:val="18"/>
                      <w:szCs w:val="18"/>
                      <w:u w:val="none"/>
                    </w:rPr>
                  </w:pPr>
                </w:p>
              </w:tc>
              <w:tc>
                <w:tcPr>
                  <w:tcW w:w="1155" w:type="pct"/>
                  <w:tcBorders>
                    <w:top w:val="single" w:color="000000" w:sz="4" w:space="0"/>
                    <w:left w:val="single" w:color="000000" w:sz="4" w:space="0"/>
                    <w:bottom w:val="single" w:color="000000" w:sz="4" w:space="0"/>
                    <w:right w:val="single" w:color="000000" w:sz="4" w:space="0"/>
                  </w:tcBorders>
                  <w:noWrap/>
                  <w:vAlign w:val="center"/>
                </w:tcPr>
                <w:p w14:paraId="59F2835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中心药房</w:t>
                  </w:r>
                </w:p>
              </w:tc>
              <w:tc>
                <w:tcPr>
                  <w:tcW w:w="1040" w:type="pct"/>
                  <w:tcBorders>
                    <w:top w:val="single" w:color="000000" w:sz="4" w:space="0"/>
                    <w:left w:val="single" w:color="000000" w:sz="4" w:space="0"/>
                    <w:bottom w:val="single" w:color="000000" w:sz="4" w:space="0"/>
                    <w:right w:val="single" w:color="000000" w:sz="4" w:space="0"/>
                  </w:tcBorders>
                  <w:noWrap/>
                  <w:vAlign w:val="center"/>
                </w:tcPr>
                <w:p w14:paraId="076CE17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280.50</w:t>
                  </w:r>
                </w:p>
              </w:tc>
              <w:tc>
                <w:tcPr>
                  <w:tcW w:w="701" w:type="pct"/>
                  <w:tcBorders>
                    <w:top w:val="single" w:color="000000" w:sz="4" w:space="0"/>
                    <w:left w:val="single" w:color="000000" w:sz="4" w:space="0"/>
                    <w:bottom w:val="single" w:color="000000" w:sz="4" w:space="0"/>
                    <w:right w:val="single" w:color="000000" w:sz="4" w:space="0"/>
                  </w:tcBorders>
                  <w:noWrap/>
                  <w:vAlign w:val="center"/>
                </w:tcPr>
                <w:p w14:paraId="68EF352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w:t>
                  </w:r>
                </w:p>
              </w:tc>
              <w:tc>
                <w:tcPr>
                  <w:tcW w:w="703" w:type="pct"/>
                  <w:tcBorders>
                    <w:top w:val="single" w:color="000000" w:sz="4" w:space="0"/>
                    <w:left w:val="single" w:color="000000" w:sz="4" w:space="0"/>
                    <w:bottom w:val="single" w:color="000000" w:sz="4" w:space="0"/>
                    <w:right w:val="single" w:color="000000" w:sz="4" w:space="0"/>
                  </w:tcBorders>
                  <w:noWrap/>
                  <w:vAlign w:val="center"/>
                </w:tcPr>
                <w:p w14:paraId="595C14C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改造</w:t>
                  </w:r>
                </w:p>
              </w:tc>
            </w:tr>
          </w:tbl>
          <w:p w14:paraId="44E0442B">
            <w:pPr>
              <w:pStyle w:val="7"/>
              <w:ind w:left="480" w:firstLine="361"/>
              <w:jc w:val="center"/>
              <w:rPr>
                <w:b/>
                <w:bCs/>
                <w:color w:val="auto"/>
              </w:rPr>
            </w:pPr>
            <w:r>
              <w:rPr>
                <w:b/>
                <w:bCs/>
                <w:color w:val="auto"/>
              </w:rPr>
              <w:t>表2-</w:t>
            </w:r>
            <w:r>
              <w:rPr>
                <w:rFonts w:hint="eastAsia"/>
                <w:b/>
                <w:bCs/>
                <w:color w:val="auto"/>
                <w:lang w:val="en-US" w:eastAsia="zh-CN"/>
              </w:rPr>
              <w:t>4</w:t>
            </w:r>
            <w:r>
              <w:rPr>
                <w:rFonts w:hint="eastAsia"/>
                <w:b/>
                <w:color w:val="auto"/>
                <w:kern w:val="2"/>
                <w:sz w:val="21"/>
                <w:szCs w:val="21"/>
                <w:lang w:val="en-US" w:eastAsia="zh-CN"/>
              </w:rPr>
              <w:t>江城镇卫生院</w:t>
            </w:r>
            <w:r>
              <w:rPr>
                <w:b/>
                <w:bCs/>
                <w:color w:val="auto"/>
              </w:rPr>
              <w:t>主要技术经济指标表</w:t>
            </w:r>
          </w:p>
          <w:tbl>
            <w:tblPr>
              <w:tblStyle w:val="1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70"/>
              <w:gridCol w:w="370"/>
              <w:gridCol w:w="503"/>
              <w:gridCol w:w="420"/>
              <w:gridCol w:w="1695"/>
              <w:gridCol w:w="1075"/>
              <w:gridCol w:w="646"/>
              <w:gridCol w:w="2302"/>
            </w:tblGrid>
            <w:tr w14:paraId="7354B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EE7856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技术经济指标表</w:t>
                  </w:r>
                </w:p>
              </w:tc>
            </w:tr>
            <w:tr w14:paraId="22884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D75EA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序号</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8068FA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名称</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75A71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数量</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171AC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单位</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79CE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bCs/>
                      <w:i w:val="0"/>
                      <w:iCs w:val="0"/>
                      <w:color w:val="auto"/>
                      <w:kern w:val="0"/>
                      <w:sz w:val="18"/>
                      <w:szCs w:val="18"/>
                      <w:u w:val="none"/>
                      <w:lang w:val="en-US" w:eastAsia="zh-CN" w:bidi="ar"/>
                    </w:rPr>
                  </w:pPr>
                  <w:r>
                    <w:rPr>
                      <w:rFonts w:hint="eastAsia" w:ascii="宋体" w:hAnsi="宋体" w:cs="宋体"/>
                      <w:b/>
                      <w:bCs/>
                      <w:i w:val="0"/>
                      <w:iCs w:val="0"/>
                      <w:color w:val="auto"/>
                      <w:kern w:val="0"/>
                      <w:sz w:val="18"/>
                      <w:szCs w:val="18"/>
                      <w:u w:val="none"/>
                      <w:lang w:val="en-US" w:eastAsia="zh-CN" w:bidi="ar"/>
                    </w:rPr>
                    <w:t>备注</w:t>
                  </w:r>
                </w:p>
              </w:tc>
            </w:tr>
            <w:tr w14:paraId="744F2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C3AA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108C5F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总用地面积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4CFA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8400.68</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3822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F237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12.60亩</w:t>
                  </w:r>
                </w:p>
              </w:tc>
            </w:tr>
            <w:tr w14:paraId="4CD51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9A63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CB3A1D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总建筑面积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52EA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8098.40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29FC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93ACB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74BB3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5A700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w:t>
                  </w:r>
                </w:p>
              </w:tc>
              <w:tc>
                <w:tcPr>
                  <w:tcW w:w="2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51758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B796D1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现有建筑面积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58CD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2793.90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2A6F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7858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均为地上建筑面积</w:t>
                  </w:r>
                </w:p>
              </w:tc>
            </w:tr>
            <w:tr w14:paraId="49362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B17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8DF9F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7A3DE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3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09280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现有业务用房面积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8AFE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2460.96</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9FDF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9B80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387F3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EC57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5</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4C7B4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2458D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88584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DE164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现有门诊楼</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C280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1302.00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7E74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B43A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本次改造</w:t>
                  </w:r>
                </w:p>
              </w:tc>
            </w:tr>
            <w:tr w14:paraId="1A0C7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E52B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6</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A0190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903A5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31F49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B988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现有业务综合楼</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5220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1158.96</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8F88B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75A17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EFF7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8346F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7</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C6C11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0F9BE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3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E9850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现有辅助用房面积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1B31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332.94</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AE08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F17F6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23907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E0D0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8</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2FD37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7CBAB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06A5C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A82CF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现有食堂</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B624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198.00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19F3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75B2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F5BBC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758D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9</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1632F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C702C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2B848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5A89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现有辅助用房1</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92D0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38.63</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2954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DA7B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D238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8C8C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10</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E1496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88350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459AA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41EF1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现有辅助用房2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A413A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52.13</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D1DD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2682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AB74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B5DC1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11</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AE5FF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56BE0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A4F9B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5E07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现有辅助用房3</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4587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44.18</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D418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AB6B4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20A60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4884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12</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61A42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DFBE9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highlight w:val="none"/>
                      <w:u w:val="none"/>
                      <w:lang w:val="en-US" w:eastAsia="zh-CN" w:bidi="ar"/>
                    </w:rPr>
                  </w:pPr>
                  <w:r>
                    <w:rPr>
                      <w:rFonts w:hint="eastAsia" w:ascii="宋体" w:hAnsi="宋体" w:cs="宋体"/>
                      <w:b w:val="0"/>
                      <w:bCs w:val="0"/>
                      <w:i w:val="0"/>
                      <w:iCs w:val="0"/>
                      <w:color w:val="auto"/>
                      <w:kern w:val="0"/>
                      <w:sz w:val="18"/>
                      <w:szCs w:val="18"/>
                      <w:highlight w:val="none"/>
                      <w:u w:val="none"/>
                      <w:lang w:val="en-US" w:eastAsia="zh-CN" w:bidi="ar"/>
                    </w:rPr>
                    <w:t>新建建筑面积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FB92B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highlight w:val="none"/>
                      <w:u w:val="none"/>
                      <w:lang w:val="en-US" w:eastAsia="zh-CN" w:bidi="ar"/>
                    </w:rPr>
                  </w:pPr>
                  <w:r>
                    <w:rPr>
                      <w:rFonts w:hint="eastAsia" w:ascii="宋体" w:hAnsi="宋体" w:cs="宋体"/>
                      <w:b w:val="0"/>
                      <w:bCs w:val="0"/>
                      <w:i w:val="0"/>
                      <w:iCs w:val="0"/>
                      <w:color w:val="auto"/>
                      <w:kern w:val="0"/>
                      <w:sz w:val="18"/>
                      <w:szCs w:val="18"/>
                      <w:highlight w:val="none"/>
                      <w:u w:val="none"/>
                      <w:lang w:val="en-US" w:eastAsia="zh-CN" w:bidi="ar"/>
                    </w:rPr>
                    <w:t>5304.50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A789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D3A98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084DB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FEDCF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13</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81C6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0092E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3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05502D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新建地上建筑面积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2F15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4864.82</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DD53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88E8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本次新建</w:t>
                  </w:r>
                </w:p>
              </w:tc>
            </w:tr>
            <w:tr w14:paraId="4AE5D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B38D0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14</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53226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CCD57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35763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5943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新建医技楼</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3BB0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4659.54</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FE81A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1D90F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4A0A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FBFF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15</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A049C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E4079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5445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1621E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新建值班室、污水处理</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9F2B7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19.84</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3E46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1D3A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7650E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A9BDB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16</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1B4C2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C03F1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C5875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41873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新建设备房</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0CEA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185.44</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D032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7CA6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61381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5A83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17</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4031F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BCFE9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3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9784A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新建地下建筑面积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696D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439.68</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B9BE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1550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本次新建</w:t>
                  </w:r>
                </w:p>
              </w:tc>
            </w:tr>
            <w:tr w14:paraId="77282A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B88F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18</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3BCE0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C387F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1DAC1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9C89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新建值班室、污水处理</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BFC8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122.00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B387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96B2B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796A9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528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19</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95775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3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0CE96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2F45A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AD19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新建设备房</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2524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317.68</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6111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9C5C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414264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CEAB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20</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FBF15D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拆除建筑</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24AE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4254.83</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DF0B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143B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4154B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52AA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21</w:t>
                  </w:r>
                </w:p>
              </w:tc>
              <w:tc>
                <w:tcPr>
                  <w:tcW w:w="85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B25FD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F637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连廊</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98A7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31.02</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CD9F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E9AC9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本次拆除</w:t>
                  </w:r>
                </w:p>
              </w:tc>
            </w:tr>
            <w:tr w14:paraId="3F033F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14FB7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22</w:t>
                  </w:r>
                </w:p>
              </w:tc>
              <w:tc>
                <w:tcPr>
                  <w:tcW w:w="85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9268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41978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现有住院楼</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32EC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3478.50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9E1F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B2D24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6D452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49AC5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23</w:t>
                  </w:r>
                </w:p>
              </w:tc>
              <w:tc>
                <w:tcPr>
                  <w:tcW w:w="85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62299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34C09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辅助用房</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5DFB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745.31</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4101E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A2C16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6AD6C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7057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24</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9038D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建筑占地面积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28BE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1982.91</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6872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7FD8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2FF28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805C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25</w:t>
                  </w:r>
                </w:p>
              </w:tc>
              <w:tc>
                <w:tcPr>
                  <w:tcW w:w="2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DEC9A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663A6A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原有建筑占地面积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7EF08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894.03</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1B3F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BB6B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9512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863B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26</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FE5F3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04F6C0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新建建筑占地面积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53C5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1088.88</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5DC40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FB51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2209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0231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27</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D64E58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建筑密度</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EE48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23.60%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F9F2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079F2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0D2467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99B08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28</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8521D1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容积率</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0906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0.91</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6C0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EAFB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66CB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9DA5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29</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F39B29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绿地面积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607F6">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2522.72</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265F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EE771C">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C7D4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0B62E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30</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AC73AD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绿地率</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0EE5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30.03%</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A2AB8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DF2F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5B6013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13563">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31</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276989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总停车位</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8D511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49</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034B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个</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DDE4F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12F76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C3855">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32</w:t>
                  </w:r>
                </w:p>
              </w:tc>
              <w:tc>
                <w:tcPr>
                  <w:tcW w:w="2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B6AA4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其中</w:t>
                  </w: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C577AB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地上停车位</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8554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49</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551FE">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个</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9006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6C0A9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F34D8">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33</w:t>
                  </w:r>
                </w:p>
              </w:tc>
              <w:tc>
                <w:tcPr>
                  <w:tcW w:w="2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BB1E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c>
                <w:tcPr>
                  <w:tcW w:w="17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4A17C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地下停车位</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1098A">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0</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C830C9">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个</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9BFB2">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6048EA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97DBF">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34</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57ADCC1">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非机动车停车位</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C97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51</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8DBA7">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个</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AE62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r w14:paraId="0416A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497F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35</w:t>
                  </w:r>
                </w:p>
              </w:tc>
              <w:tc>
                <w:tcPr>
                  <w:tcW w:w="197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C522A0B">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道路及广场面积</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B8E20">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3895.05</w:t>
                  </w:r>
                </w:p>
              </w:tc>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A4224">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r>
                    <w:rPr>
                      <w:rFonts w:hint="eastAsia" w:ascii="宋体" w:hAnsi="宋体" w:cs="宋体"/>
                      <w:b w:val="0"/>
                      <w:bCs w:val="0"/>
                      <w:i w:val="0"/>
                      <w:iCs w:val="0"/>
                      <w:color w:val="auto"/>
                      <w:kern w:val="0"/>
                      <w:sz w:val="18"/>
                      <w:szCs w:val="18"/>
                      <w:u w:val="none"/>
                      <w:lang w:val="en-US" w:eastAsia="zh-CN" w:bidi="ar"/>
                    </w:rPr>
                    <w:t>㎡</w:t>
                  </w:r>
                </w:p>
              </w:tc>
              <w:tc>
                <w:tcPr>
                  <w:tcW w:w="15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FBD7D">
                  <w:pPr>
                    <w:keepNext w:val="0"/>
                    <w:keepLines w:val="0"/>
                    <w:pageBreakBefore w:val="0"/>
                    <w:widowControl/>
                    <w:suppressLineNumbers w:val="0"/>
                    <w:kinsoku/>
                    <w:wordWrap/>
                    <w:overflowPunct/>
                    <w:topLinePunct w:val="0"/>
                    <w:autoSpaceDE/>
                    <w:autoSpaceDN/>
                    <w:bidi w:val="0"/>
                    <w:adjustRightInd/>
                    <w:snapToGrid w:val="0"/>
                    <w:spacing w:line="400" w:lineRule="exact"/>
                    <w:ind w:firstLine="0" w:firstLineChars="0"/>
                    <w:jc w:val="center"/>
                    <w:textAlignment w:val="center"/>
                    <w:rPr>
                      <w:rFonts w:hint="eastAsia" w:ascii="宋体" w:hAnsi="宋体" w:cs="宋体"/>
                      <w:b w:val="0"/>
                      <w:bCs w:val="0"/>
                      <w:i w:val="0"/>
                      <w:iCs w:val="0"/>
                      <w:color w:val="auto"/>
                      <w:kern w:val="0"/>
                      <w:sz w:val="18"/>
                      <w:szCs w:val="18"/>
                      <w:u w:val="none"/>
                      <w:lang w:val="en-US" w:eastAsia="zh-CN" w:bidi="ar"/>
                    </w:rPr>
                  </w:pPr>
                </w:p>
              </w:tc>
            </w:tr>
          </w:tbl>
          <w:p w14:paraId="7F9017AF">
            <w:pPr>
              <w:widowControl/>
              <w:ind w:firstLine="482"/>
              <w:jc w:val="left"/>
              <w:rPr>
                <w:b/>
                <w:bCs/>
                <w:color w:val="auto"/>
                <w:kern w:val="0"/>
                <w:szCs w:val="24"/>
                <w:lang w:bidi="ar"/>
              </w:rPr>
            </w:pPr>
          </w:p>
          <w:p w14:paraId="2DAE6543">
            <w:pPr>
              <w:widowControl/>
              <w:ind w:firstLine="482"/>
              <w:jc w:val="left"/>
              <w:rPr>
                <w:b/>
                <w:bCs/>
                <w:color w:val="auto"/>
                <w:kern w:val="0"/>
                <w:szCs w:val="24"/>
                <w:lang w:bidi="ar"/>
              </w:rPr>
            </w:pPr>
            <w:r>
              <w:rPr>
                <w:b/>
                <w:bCs/>
                <w:color w:val="auto"/>
                <w:kern w:val="0"/>
                <w:szCs w:val="24"/>
                <w:lang w:bidi="ar"/>
              </w:rPr>
              <w:t>（3）主要医疗设备</w:t>
            </w:r>
          </w:p>
          <w:p w14:paraId="634C7F96">
            <w:pPr>
              <w:widowControl/>
              <w:ind w:firstLine="480"/>
              <w:jc w:val="left"/>
              <w:rPr>
                <w:color w:val="auto"/>
              </w:rPr>
            </w:pPr>
            <w:r>
              <w:rPr>
                <w:color w:val="auto"/>
                <w:kern w:val="0"/>
                <w:szCs w:val="24"/>
                <w:lang w:bidi="ar"/>
              </w:rPr>
              <w:t>项目主要医疗设备详见下表。</w:t>
            </w:r>
          </w:p>
          <w:p w14:paraId="030CBCAD">
            <w:pPr>
              <w:pStyle w:val="38"/>
              <w:rPr>
                <w:rFonts w:ascii="Times New Roman" w:hAnsi="Times New Roman" w:eastAsia="宋体"/>
                <w:b/>
                <w:bCs/>
                <w:color w:val="auto"/>
              </w:rPr>
            </w:pPr>
            <w:r>
              <w:rPr>
                <w:rFonts w:ascii="Times New Roman" w:hAnsi="Times New Roman" w:eastAsia="宋体"/>
                <w:b/>
                <w:bCs/>
                <w:color w:val="auto"/>
              </w:rPr>
              <w:t>表2-</w:t>
            </w:r>
            <w:r>
              <w:rPr>
                <w:rFonts w:hint="eastAsia" w:ascii="Times New Roman" w:hAnsi="Times New Roman" w:eastAsia="宋体"/>
                <w:b/>
                <w:bCs/>
                <w:color w:val="auto"/>
                <w:lang w:val="en-US" w:eastAsia="zh-CN"/>
              </w:rPr>
              <w:t>5</w:t>
            </w:r>
            <w:r>
              <w:rPr>
                <w:rFonts w:hint="eastAsia" w:ascii="Times New Roman" w:hAnsi="Times New Roman" w:eastAsia="宋体" w:cs="Times New Roman"/>
                <w:b/>
                <w:bCs/>
                <w:color w:val="auto"/>
                <w:lang w:val="en-US" w:eastAsia="zh-CN"/>
              </w:rPr>
              <w:t>江川区医共体总医院</w:t>
            </w:r>
            <w:r>
              <w:rPr>
                <w:rFonts w:ascii="Times New Roman" w:hAnsi="Times New Roman" w:eastAsia="宋体"/>
                <w:b/>
                <w:bCs/>
                <w:color w:val="auto"/>
              </w:rPr>
              <w:t>项目现有设备一览表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5"/>
              <w:gridCol w:w="1048"/>
              <w:gridCol w:w="996"/>
              <w:gridCol w:w="559"/>
              <w:gridCol w:w="477"/>
              <w:gridCol w:w="450"/>
              <w:gridCol w:w="1132"/>
              <w:gridCol w:w="1434"/>
              <w:gridCol w:w="611"/>
              <w:gridCol w:w="509"/>
            </w:tblGrid>
            <w:tr w14:paraId="1B5CA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18B51B3">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序号</w:t>
                  </w:r>
                </w:p>
              </w:tc>
              <w:tc>
                <w:tcPr>
                  <w:tcW w:w="692" w:type="pct"/>
                  <w:tcMar>
                    <w:top w:w="0" w:type="dxa"/>
                    <w:left w:w="108" w:type="dxa"/>
                    <w:bottom w:w="0" w:type="dxa"/>
                    <w:right w:w="108" w:type="dxa"/>
                  </w:tcMar>
                  <w:vAlign w:val="center"/>
                </w:tcPr>
                <w:p w14:paraId="6681BE73">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设备名称</w:t>
                  </w:r>
                </w:p>
              </w:tc>
              <w:tc>
                <w:tcPr>
                  <w:tcW w:w="657" w:type="pct"/>
                  <w:tcMar>
                    <w:top w:w="0" w:type="dxa"/>
                    <w:left w:w="108" w:type="dxa"/>
                    <w:bottom w:w="0" w:type="dxa"/>
                    <w:right w:w="108" w:type="dxa"/>
                  </w:tcMar>
                  <w:vAlign w:val="center"/>
                </w:tcPr>
                <w:p w14:paraId="5D3CE55D">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规格型号</w:t>
                  </w:r>
                </w:p>
              </w:tc>
              <w:tc>
                <w:tcPr>
                  <w:tcW w:w="369" w:type="pct"/>
                  <w:tcMar>
                    <w:top w:w="0" w:type="dxa"/>
                    <w:left w:w="108" w:type="dxa"/>
                    <w:bottom w:w="0" w:type="dxa"/>
                    <w:right w:w="108" w:type="dxa"/>
                  </w:tcMar>
                  <w:vAlign w:val="center"/>
                </w:tcPr>
                <w:p w14:paraId="7B000987">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单位</w:t>
                  </w:r>
                </w:p>
              </w:tc>
              <w:tc>
                <w:tcPr>
                  <w:tcW w:w="315" w:type="pct"/>
                  <w:tcMar>
                    <w:top w:w="0" w:type="dxa"/>
                    <w:left w:w="108" w:type="dxa"/>
                    <w:bottom w:w="0" w:type="dxa"/>
                    <w:right w:w="108" w:type="dxa"/>
                  </w:tcMar>
                  <w:vAlign w:val="center"/>
                </w:tcPr>
                <w:p w14:paraId="62779A7B">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数量</w:t>
                  </w:r>
                </w:p>
              </w:tc>
              <w:tc>
                <w:tcPr>
                  <w:tcW w:w="297" w:type="pct"/>
                  <w:shd w:val="clear" w:color="auto" w:fill="D7D7D7" w:themeFill="background1" w:themeFillShade="D8"/>
                  <w:vAlign w:val="center"/>
                </w:tcPr>
                <w:p w14:paraId="74EBEB4F">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序号</w:t>
                  </w:r>
                </w:p>
              </w:tc>
              <w:tc>
                <w:tcPr>
                  <w:tcW w:w="747" w:type="pct"/>
                  <w:vAlign w:val="center"/>
                </w:tcPr>
                <w:p w14:paraId="3552E080">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设备名称</w:t>
                  </w:r>
                </w:p>
              </w:tc>
              <w:tc>
                <w:tcPr>
                  <w:tcW w:w="947" w:type="pct"/>
                  <w:vAlign w:val="center"/>
                </w:tcPr>
                <w:p w14:paraId="64E12D51">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规格型号</w:t>
                  </w:r>
                </w:p>
              </w:tc>
              <w:tc>
                <w:tcPr>
                  <w:tcW w:w="403" w:type="pct"/>
                  <w:vAlign w:val="center"/>
                </w:tcPr>
                <w:p w14:paraId="5B97B1A5">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单</w:t>
                  </w:r>
                </w:p>
                <w:p w14:paraId="5CA5EAD5">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位</w:t>
                  </w:r>
                </w:p>
              </w:tc>
              <w:tc>
                <w:tcPr>
                  <w:tcW w:w="336" w:type="pct"/>
                  <w:vAlign w:val="center"/>
                </w:tcPr>
                <w:p w14:paraId="46D0599F">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数</w:t>
                  </w:r>
                </w:p>
                <w:p w14:paraId="14F7734F">
                  <w:pPr>
                    <w:widowControl/>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量</w:t>
                  </w:r>
                </w:p>
              </w:tc>
            </w:tr>
            <w:tr w14:paraId="01307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0AC8D2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w:t>
                  </w:r>
                </w:p>
              </w:tc>
              <w:tc>
                <w:tcPr>
                  <w:tcW w:w="692" w:type="pct"/>
                  <w:shd w:val="clear" w:color="auto" w:fill="auto"/>
                  <w:tcMar>
                    <w:top w:w="0" w:type="dxa"/>
                    <w:left w:w="108" w:type="dxa"/>
                    <w:bottom w:w="0" w:type="dxa"/>
                    <w:right w:w="108" w:type="dxa"/>
                  </w:tcMar>
                  <w:vAlign w:val="center"/>
                </w:tcPr>
                <w:p w14:paraId="3595A0FC">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CBCT机</w:t>
                  </w:r>
                </w:p>
              </w:tc>
              <w:tc>
                <w:tcPr>
                  <w:tcW w:w="657" w:type="pct"/>
                  <w:shd w:val="clear" w:color="auto" w:fill="auto"/>
                  <w:tcMar>
                    <w:top w:w="0" w:type="dxa"/>
                    <w:left w:w="108" w:type="dxa"/>
                    <w:bottom w:w="0" w:type="dxa"/>
                    <w:right w:w="108" w:type="dxa"/>
                  </w:tcMar>
                  <w:vAlign w:val="center"/>
                </w:tcPr>
                <w:p w14:paraId="27548CB4">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AERO-X</w:t>
                  </w:r>
                </w:p>
              </w:tc>
              <w:tc>
                <w:tcPr>
                  <w:tcW w:w="369" w:type="pct"/>
                  <w:shd w:val="clear" w:color="auto" w:fill="auto"/>
                  <w:tcMar>
                    <w:top w:w="0" w:type="dxa"/>
                    <w:left w:w="108" w:type="dxa"/>
                    <w:bottom w:w="0" w:type="dxa"/>
                    <w:right w:w="108" w:type="dxa"/>
                  </w:tcMar>
                  <w:vAlign w:val="center"/>
                </w:tcPr>
                <w:p w14:paraId="5D690896">
                  <w:pPr>
                    <w:widowControl/>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13BBAF9E">
                  <w:pPr>
                    <w:widowControl/>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378397B">
                  <w:pPr>
                    <w:widowControl/>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46</w:t>
                  </w:r>
                </w:p>
              </w:tc>
              <w:tc>
                <w:tcPr>
                  <w:tcW w:w="747" w:type="pct"/>
                  <w:vAlign w:val="center"/>
                </w:tcPr>
                <w:p w14:paraId="653A0F23">
                  <w:pPr>
                    <w:widowControl/>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心电图机</w:t>
                  </w:r>
                </w:p>
              </w:tc>
              <w:tc>
                <w:tcPr>
                  <w:tcW w:w="947" w:type="pct"/>
                  <w:vAlign w:val="center"/>
                </w:tcPr>
                <w:p w14:paraId="34C5D9CA">
                  <w:pPr>
                    <w:widowControl/>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ECG-2350</w:t>
                  </w:r>
                </w:p>
              </w:tc>
              <w:tc>
                <w:tcPr>
                  <w:tcW w:w="403" w:type="pct"/>
                  <w:vAlign w:val="center"/>
                </w:tcPr>
                <w:p w14:paraId="2F835003">
                  <w:pPr>
                    <w:widowControl/>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12</w:t>
                  </w:r>
                </w:p>
              </w:tc>
              <w:tc>
                <w:tcPr>
                  <w:tcW w:w="336" w:type="pct"/>
                  <w:vAlign w:val="center"/>
                </w:tcPr>
                <w:p w14:paraId="1B65BAC0">
                  <w:pPr>
                    <w:widowControl/>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36334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6F08589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w:t>
                  </w:r>
                </w:p>
              </w:tc>
              <w:tc>
                <w:tcPr>
                  <w:tcW w:w="692" w:type="pct"/>
                  <w:shd w:val="clear" w:color="auto" w:fill="auto"/>
                  <w:tcMar>
                    <w:top w:w="0" w:type="dxa"/>
                    <w:left w:w="108" w:type="dxa"/>
                    <w:bottom w:w="0" w:type="dxa"/>
                    <w:right w:w="108" w:type="dxa"/>
                  </w:tcMar>
                  <w:vAlign w:val="center"/>
                </w:tcPr>
                <w:p w14:paraId="684435E2">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CRRT</w:t>
                  </w:r>
                </w:p>
              </w:tc>
              <w:tc>
                <w:tcPr>
                  <w:tcW w:w="657" w:type="pct"/>
                  <w:shd w:val="clear" w:color="auto" w:fill="auto"/>
                  <w:tcMar>
                    <w:top w:w="0" w:type="dxa"/>
                    <w:left w:w="108" w:type="dxa"/>
                    <w:bottom w:w="0" w:type="dxa"/>
                    <w:right w:w="108" w:type="dxa"/>
                  </w:tcMar>
                  <w:vAlign w:val="center"/>
                </w:tcPr>
                <w:p w14:paraId="2D116C4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SWS-5000</w:t>
                  </w:r>
                </w:p>
              </w:tc>
              <w:tc>
                <w:tcPr>
                  <w:tcW w:w="369" w:type="pct"/>
                  <w:shd w:val="clear" w:color="auto" w:fill="auto"/>
                  <w:tcMar>
                    <w:top w:w="0" w:type="dxa"/>
                    <w:left w:w="108" w:type="dxa"/>
                    <w:bottom w:w="0" w:type="dxa"/>
                    <w:right w:w="108" w:type="dxa"/>
                  </w:tcMar>
                  <w:vAlign w:val="center"/>
                </w:tcPr>
                <w:p w14:paraId="27DBC642">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235A76E4">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1AB877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47</w:t>
                  </w:r>
                </w:p>
              </w:tc>
              <w:tc>
                <w:tcPr>
                  <w:tcW w:w="747" w:type="pct"/>
                  <w:vAlign w:val="center"/>
                </w:tcPr>
                <w:p w14:paraId="58BFFA3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心理测量系统</w:t>
                  </w:r>
                </w:p>
              </w:tc>
              <w:tc>
                <w:tcPr>
                  <w:tcW w:w="947" w:type="pct"/>
                  <w:vAlign w:val="center"/>
                </w:tcPr>
                <w:p w14:paraId="43C823D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ZSXC-I</w:t>
                  </w:r>
                </w:p>
              </w:tc>
              <w:tc>
                <w:tcPr>
                  <w:tcW w:w="403" w:type="pct"/>
                  <w:vAlign w:val="center"/>
                </w:tcPr>
                <w:p w14:paraId="7756AC7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41E439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套</w:t>
                  </w:r>
                </w:p>
              </w:tc>
            </w:tr>
            <w:tr w14:paraId="14345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49628DD0">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w:t>
                  </w:r>
                </w:p>
              </w:tc>
              <w:tc>
                <w:tcPr>
                  <w:tcW w:w="692" w:type="pct"/>
                  <w:shd w:val="clear" w:color="auto" w:fill="auto"/>
                  <w:tcMar>
                    <w:top w:w="0" w:type="dxa"/>
                    <w:left w:w="108" w:type="dxa"/>
                    <w:bottom w:w="0" w:type="dxa"/>
                    <w:right w:w="108" w:type="dxa"/>
                  </w:tcMar>
                  <w:vAlign w:val="center"/>
                </w:tcPr>
                <w:p w14:paraId="676898B7">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X射线计算机体层摄影设备（32排CT）</w:t>
                  </w:r>
                </w:p>
              </w:tc>
              <w:tc>
                <w:tcPr>
                  <w:tcW w:w="657" w:type="pct"/>
                  <w:shd w:val="clear" w:color="auto" w:fill="auto"/>
                  <w:tcMar>
                    <w:top w:w="0" w:type="dxa"/>
                    <w:left w:w="108" w:type="dxa"/>
                    <w:bottom w:w="0" w:type="dxa"/>
                    <w:right w:w="108" w:type="dxa"/>
                  </w:tcMar>
                  <w:vAlign w:val="center"/>
                </w:tcPr>
                <w:p w14:paraId="3061CB00">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SOMATOMgo.Up</w:t>
                  </w:r>
                </w:p>
              </w:tc>
              <w:tc>
                <w:tcPr>
                  <w:tcW w:w="369" w:type="pct"/>
                  <w:shd w:val="clear" w:color="auto" w:fill="auto"/>
                  <w:tcMar>
                    <w:top w:w="0" w:type="dxa"/>
                    <w:left w:w="108" w:type="dxa"/>
                    <w:bottom w:w="0" w:type="dxa"/>
                    <w:right w:w="108" w:type="dxa"/>
                  </w:tcMar>
                  <w:vAlign w:val="center"/>
                </w:tcPr>
                <w:p w14:paraId="554F752C">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384BC72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5134714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48</w:t>
                  </w:r>
                </w:p>
              </w:tc>
              <w:tc>
                <w:tcPr>
                  <w:tcW w:w="747" w:type="pct"/>
                  <w:vAlign w:val="center"/>
                </w:tcPr>
                <w:p w14:paraId="5F83ACD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心脏临时起搏器</w:t>
                  </w:r>
                </w:p>
              </w:tc>
              <w:tc>
                <w:tcPr>
                  <w:tcW w:w="947" w:type="pct"/>
                  <w:vAlign w:val="center"/>
                </w:tcPr>
                <w:p w14:paraId="405FFE9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PaceT10</w:t>
                  </w:r>
                </w:p>
              </w:tc>
              <w:tc>
                <w:tcPr>
                  <w:tcW w:w="403" w:type="pct"/>
                  <w:vAlign w:val="center"/>
                </w:tcPr>
                <w:p w14:paraId="5FA2ADB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3565BD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6DBB8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9" w:hRule="atLeast"/>
              </w:trPr>
              <w:tc>
                <w:tcPr>
                  <w:tcW w:w="234" w:type="pct"/>
                  <w:shd w:val="clear" w:color="auto" w:fill="D7D7D7" w:themeFill="background1" w:themeFillShade="D8"/>
                  <w:tcMar>
                    <w:top w:w="0" w:type="dxa"/>
                    <w:left w:w="108" w:type="dxa"/>
                    <w:bottom w:w="0" w:type="dxa"/>
                    <w:right w:w="108" w:type="dxa"/>
                  </w:tcMar>
                  <w:vAlign w:val="center"/>
                </w:tcPr>
                <w:p w14:paraId="35D919A5">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w:t>
                  </w:r>
                </w:p>
              </w:tc>
              <w:tc>
                <w:tcPr>
                  <w:tcW w:w="692" w:type="pct"/>
                  <w:shd w:val="clear" w:color="auto" w:fill="auto"/>
                  <w:tcMar>
                    <w:top w:w="0" w:type="dxa"/>
                    <w:left w:w="108" w:type="dxa"/>
                    <w:bottom w:w="0" w:type="dxa"/>
                    <w:right w:w="108" w:type="dxa"/>
                  </w:tcMar>
                  <w:vAlign w:val="center"/>
                </w:tcPr>
                <w:p w14:paraId="77DFFD7F">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便携式彩超</w:t>
                  </w:r>
                </w:p>
              </w:tc>
              <w:tc>
                <w:tcPr>
                  <w:tcW w:w="657" w:type="pct"/>
                  <w:shd w:val="clear" w:color="auto" w:fill="auto"/>
                  <w:tcMar>
                    <w:top w:w="0" w:type="dxa"/>
                    <w:left w:w="108" w:type="dxa"/>
                    <w:bottom w:w="0" w:type="dxa"/>
                    <w:right w:w="108" w:type="dxa"/>
                  </w:tcMar>
                  <w:vAlign w:val="center"/>
                </w:tcPr>
                <w:p w14:paraId="55214D8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CriusTEX20</w:t>
                  </w:r>
                </w:p>
              </w:tc>
              <w:tc>
                <w:tcPr>
                  <w:tcW w:w="369" w:type="pct"/>
                  <w:shd w:val="clear" w:color="auto" w:fill="auto"/>
                  <w:tcMar>
                    <w:top w:w="0" w:type="dxa"/>
                    <w:left w:w="108" w:type="dxa"/>
                    <w:bottom w:w="0" w:type="dxa"/>
                    <w:right w:w="108" w:type="dxa"/>
                  </w:tcMar>
                  <w:vAlign w:val="center"/>
                </w:tcPr>
                <w:p w14:paraId="17C5E07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2AC5E3E9">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26F5A4E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49</w:t>
                  </w:r>
                </w:p>
              </w:tc>
              <w:tc>
                <w:tcPr>
                  <w:tcW w:w="747" w:type="pct"/>
                  <w:vAlign w:val="center"/>
                </w:tcPr>
                <w:p w14:paraId="52398A6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新生儿听力筛查仪</w:t>
                  </w:r>
                </w:p>
              </w:tc>
              <w:tc>
                <w:tcPr>
                  <w:tcW w:w="947" w:type="pct"/>
                  <w:vAlign w:val="center"/>
                </w:tcPr>
                <w:p w14:paraId="1DDD7B2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ERO·SCAN</w:t>
                  </w:r>
                </w:p>
              </w:tc>
              <w:tc>
                <w:tcPr>
                  <w:tcW w:w="403" w:type="pct"/>
                  <w:vAlign w:val="center"/>
                </w:tcPr>
                <w:p w14:paraId="499B420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16E7A55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套</w:t>
                  </w:r>
                </w:p>
              </w:tc>
            </w:tr>
            <w:tr w14:paraId="66AE3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9" w:hRule="atLeast"/>
              </w:trPr>
              <w:tc>
                <w:tcPr>
                  <w:tcW w:w="234" w:type="pct"/>
                  <w:shd w:val="clear" w:color="auto" w:fill="D7D7D7" w:themeFill="background1" w:themeFillShade="D8"/>
                  <w:tcMar>
                    <w:top w:w="0" w:type="dxa"/>
                    <w:left w:w="108" w:type="dxa"/>
                    <w:bottom w:w="0" w:type="dxa"/>
                    <w:right w:w="108" w:type="dxa"/>
                  </w:tcMar>
                  <w:vAlign w:val="center"/>
                </w:tcPr>
                <w:p w14:paraId="3358857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5</w:t>
                  </w:r>
                </w:p>
              </w:tc>
              <w:tc>
                <w:tcPr>
                  <w:tcW w:w="692" w:type="pct"/>
                  <w:shd w:val="clear" w:color="auto" w:fill="auto"/>
                  <w:tcMar>
                    <w:top w:w="0" w:type="dxa"/>
                    <w:left w:w="108" w:type="dxa"/>
                    <w:bottom w:w="0" w:type="dxa"/>
                    <w:right w:w="108" w:type="dxa"/>
                  </w:tcMar>
                  <w:vAlign w:val="center"/>
                </w:tcPr>
                <w:p w14:paraId="347A0856">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便携式彩超</w:t>
                  </w:r>
                </w:p>
              </w:tc>
              <w:tc>
                <w:tcPr>
                  <w:tcW w:w="657" w:type="pct"/>
                  <w:shd w:val="clear" w:color="auto" w:fill="auto"/>
                  <w:tcMar>
                    <w:top w:w="0" w:type="dxa"/>
                    <w:left w:w="108" w:type="dxa"/>
                    <w:bottom w:w="0" w:type="dxa"/>
                    <w:right w:w="108" w:type="dxa"/>
                  </w:tcMar>
                  <w:vAlign w:val="center"/>
                </w:tcPr>
                <w:p w14:paraId="6D24711B">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SONIMAGEHS1</w:t>
                  </w:r>
                </w:p>
              </w:tc>
              <w:tc>
                <w:tcPr>
                  <w:tcW w:w="369" w:type="pct"/>
                  <w:shd w:val="clear" w:color="auto" w:fill="auto"/>
                  <w:tcMar>
                    <w:top w:w="0" w:type="dxa"/>
                    <w:left w:w="108" w:type="dxa"/>
                    <w:bottom w:w="0" w:type="dxa"/>
                    <w:right w:w="108" w:type="dxa"/>
                  </w:tcMar>
                  <w:vAlign w:val="center"/>
                </w:tcPr>
                <w:p w14:paraId="57A2B14F">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6090EE6D">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23AFEFA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50</w:t>
                  </w:r>
                </w:p>
              </w:tc>
              <w:tc>
                <w:tcPr>
                  <w:tcW w:w="747" w:type="pct"/>
                  <w:vAlign w:val="center"/>
                </w:tcPr>
                <w:p w14:paraId="00DA613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血液灌流机</w:t>
                  </w:r>
                </w:p>
              </w:tc>
              <w:tc>
                <w:tcPr>
                  <w:tcW w:w="947" w:type="pct"/>
                  <w:vAlign w:val="center"/>
                </w:tcPr>
                <w:p w14:paraId="4986762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JF-800</w:t>
                  </w:r>
                </w:p>
              </w:tc>
              <w:tc>
                <w:tcPr>
                  <w:tcW w:w="403" w:type="pct"/>
                  <w:vAlign w:val="center"/>
                </w:tcPr>
                <w:p w14:paraId="30A6480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043E4B2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0BCE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A7EA9F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6</w:t>
                  </w:r>
                </w:p>
              </w:tc>
              <w:tc>
                <w:tcPr>
                  <w:tcW w:w="692" w:type="pct"/>
                  <w:shd w:val="clear" w:color="auto" w:fill="auto"/>
                  <w:tcMar>
                    <w:top w:w="0" w:type="dxa"/>
                    <w:left w:w="108" w:type="dxa"/>
                    <w:bottom w:w="0" w:type="dxa"/>
                    <w:right w:w="108" w:type="dxa"/>
                  </w:tcMar>
                  <w:vAlign w:val="center"/>
                </w:tcPr>
                <w:p w14:paraId="3577193B">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便携式睡眠呼吸监测仪</w:t>
                  </w:r>
                </w:p>
              </w:tc>
              <w:tc>
                <w:tcPr>
                  <w:tcW w:w="657" w:type="pct"/>
                  <w:shd w:val="clear" w:color="auto" w:fill="auto"/>
                  <w:tcMar>
                    <w:top w:w="0" w:type="dxa"/>
                    <w:left w:w="108" w:type="dxa"/>
                    <w:bottom w:w="0" w:type="dxa"/>
                    <w:right w:w="108" w:type="dxa"/>
                  </w:tcMar>
                  <w:vAlign w:val="center"/>
                </w:tcPr>
                <w:p w14:paraId="1952AAD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iRem-B</w:t>
                  </w:r>
                </w:p>
              </w:tc>
              <w:tc>
                <w:tcPr>
                  <w:tcW w:w="369" w:type="pct"/>
                  <w:shd w:val="clear" w:color="auto" w:fill="auto"/>
                  <w:tcMar>
                    <w:top w:w="0" w:type="dxa"/>
                    <w:left w:w="108" w:type="dxa"/>
                    <w:bottom w:w="0" w:type="dxa"/>
                    <w:right w:w="108" w:type="dxa"/>
                  </w:tcMar>
                  <w:vAlign w:val="center"/>
                </w:tcPr>
                <w:p w14:paraId="56D4575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3</w:t>
                  </w:r>
                </w:p>
              </w:tc>
              <w:tc>
                <w:tcPr>
                  <w:tcW w:w="315" w:type="pct"/>
                  <w:shd w:val="clear" w:color="auto" w:fill="auto"/>
                  <w:tcMar>
                    <w:top w:w="0" w:type="dxa"/>
                    <w:left w:w="108" w:type="dxa"/>
                    <w:bottom w:w="0" w:type="dxa"/>
                    <w:right w:w="108" w:type="dxa"/>
                  </w:tcMar>
                  <w:vAlign w:val="center"/>
                </w:tcPr>
                <w:p w14:paraId="59B85FB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685478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51</w:t>
                  </w:r>
                </w:p>
              </w:tc>
              <w:tc>
                <w:tcPr>
                  <w:tcW w:w="747" w:type="pct"/>
                  <w:vAlign w:val="center"/>
                </w:tcPr>
                <w:p w14:paraId="050D5DE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血液透析机（单泵）</w:t>
                  </w:r>
                </w:p>
              </w:tc>
              <w:tc>
                <w:tcPr>
                  <w:tcW w:w="947" w:type="pct"/>
                  <w:vAlign w:val="center"/>
                </w:tcPr>
                <w:p w14:paraId="449EF5F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4008S</w:t>
                  </w:r>
                </w:p>
              </w:tc>
              <w:tc>
                <w:tcPr>
                  <w:tcW w:w="403" w:type="pct"/>
                  <w:vAlign w:val="center"/>
                </w:tcPr>
                <w:p w14:paraId="0A1BBF5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w:t>
                  </w:r>
                </w:p>
              </w:tc>
              <w:tc>
                <w:tcPr>
                  <w:tcW w:w="336" w:type="pct"/>
                  <w:vAlign w:val="center"/>
                </w:tcPr>
                <w:p w14:paraId="5264846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4F06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AF6BAF9">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7</w:t>
                  </w:r>
                </w:p>
              </w:tc>
              <w:tc>
                <w:tcPr>
                  <w:tcW w:w="692" w:type="pct"/>
                  <w:shd w:val="clear" w:color="auto" w:fill="auto"/>
                  <w:tcMar>
                    <w:top w:w="0" w:type="dxa"/>
                    <w:left w:w="108" w:type="dxa"/>
                    <w:bottom w:w="0" w:type="dxa"/>
                    <w:right w:w="108" w:type="dxa"/>
                  </w:tcMar>
                  <w:vAlign w:val="center"/>
                </w:tcPr>
                <w:p w14:paraId="6AE17E9E">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病人监护仪</w:t>
                  </w:r>
                </w:p>
              </w:tc>
              <w:tc>
                <w:tcPr>
                  <w:tcW w:w="657" w:type="pct"/>
                  <w:shd w:val="clear" w:color="auto" w:fill="auto"/>
                  <w:tcMar>
                    <w:top w:w="0" w:type="dxa"/>
                    <w:left w:w="108" w:type="dxa"/>
                    <w:bottom w:w="0" w:type="dxa"/>
                    <w:right w:w="108" w:type="dxa"/>
                  </w:tcMar>
                  <w:vAlign w:val="center"/>
                </w:tcPr>
                <w:p w14:paraId="7AF5FDFC">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CM10</w:t>
                  </w:r>
                </w:p>
              </w:tc>
              <w:tc>
                <w:tcPr>
                  <w:tcW w:w="369" w:type="pct"/>
                  <w:shd w:val="clear" w:color="auto" w:fill="auto"/>
                  <w:tcMar>
                    <w:top w:w="0" w:type="dxa"/>
                    <w:left w:w="108" w:type="dxa"/>
                    <w:bottom w:w="0" w:type="dxa"/>
                    <w:right w:w="108" w:type="dxa"/>
                  </w:tcMar>
                  <w:vAlign w:val="center"/>
                </w:tcPr>
                <w:p w14:paraId="25137F3D">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39</w:t>
                  </w:r>
                </w:p>
              </w:tc>
              <w:tc>
                <w:tcPr>
                  <w:tcW w:w="315" w:type="pct"/>
                  <w:shd w:val="clear" w:color="auto" w:fill="auto"/>
                  <w:tcMar>
                    <w:top w:w="0" w:type="dxa"/>
                    <w:left w:w="108" w:type="dxa"/>
                    <w:bottom w:w="0" w:type="dxa"/>
                    <w:right w:w="108" w:type="dxa"/>
                  </w:tcMar>
                  <w:vAlign w:val="center"/>
                </w:tcPr>
                <w:p w14:paraId="152B6D19">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7DB04C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52</w:t>
                  </w:r>
                </w:p>
              </w:tc>
              <w:tc>
                <w:tcPr>
                  <w:tcW w:w="747" w:type="pct"/>
                  <w:vAlign w:val="center"/>
                </w:tcPr>
                <w:p w14:paraId="5C2E978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血液透析机（双泵）</w:t>
                  </w:r>
                </w:p>
              </w:tc>
              <w:tc>
                <w:tcPr>
                  <w:tcW w:w="947" w:type="pct"/>
                  <w:vAlign w:val="center"/>
                </w:tcPr>
                <w:p w14:paraId="387FFAC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4008SOnlineplus</w:t>
                  </w:r>
                </w:p>
              </w:tc>
              <w:tc>
                <w:tcPr>
                  <w:tcW w:w="403" w:type="pct"/>
                  <w:vAlign w:val="center"/>
                </w:tcPr>
                <w:p w14:paraId="0DBB946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1527D04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2DAF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5D7622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8</w:t>
                  </w:r>
                </w:p>
              </w:tc>
              <w:tc>
                <w:tcPr>
                  <w:tcW w:w="692" w:type="pct"/>
                  <w:shd w:val="clear" w:color="auto" w:fill="auto"/>
                  <w:tcMar>
                    <w:top w:w="0" w:type="dxa"/>
                    <w:left w:w="108" w:type="dxa"/>
                    <w:bottom w:w="0" w:type="dxa"/>
                    <w:right w:w="108" w:type="dxa"/>
                  </w:tcMar>
                  <w:vAlign w:val="center"/>
                </w:tcPr>
                <w:p w14:paraId="4047FD99">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病人监护仪</w:t>
                  </w:r>
                </w:p>
              </w:tc>
              <w:tc>
                <w:tcPr>
                  <w:tcW w:w="657" w:type="pct"/>
                  <w:shd w:val="clear" w:color="auto" w:fill="auto"/>
                  <w:tcMar>
                    <w:top w:w="0" w:type="dxa"/>
                    <w:left w:w="108" w:type="dxa"/>
                    <w:bottom w:w="0" w:type="dxa"/>
                    <w:right w:w="108" w:type="dxa"/>
                  </w:tcMar>
                  <w:vAlign w:val="center"/>
                </w:tcPr>
                <w:p w14:paraId="4C077A35">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ePM10</w:t>
                  </w:r>
                </w:p>
              </w:tc>
              <w:tc>
                <w:tcPr>
                  <w:tcW w:w="369" w:type="pct"/>
                  <w:shd w:val="clear" w:color="auto" w:fill="auto"/>
                  <w:tcMar>
                    <w:top w:w="0" w:type="dxa"/>
                    <w:left w:w="108" w:type="dxa"/>
                    <w:bottom w:w="0" w:type="dxa"/>
                    <w:right w:w="108" w:type="dxa"/>
                  </w:tcMar>
                  <w:vAlign w:val="center"/>
                </w:tcPr>
                <w:p w14:paraId="2722CF76">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48</w:t>
                  </w:r>
                </w:p>
              </w:tc>
              <w:tc>
                <w:tcPr>
                  <w:tcW w:w="315" w:type="pct"/>
                  <w:shd w:val="clear" w:color="auto" w:fill="auto"/>
                  <w:tcMar>
                    <w:top w:w="0" w:type="dxa"/>
                    <w:left w:w="108" w:type="dxa"/>
                    <w:bottom w:w="0" w:type="dxa"/>
                    <w:right w:w="108" w:type="dxa"/>
                  </w:tcMar>
                  <w:vAlign w:val="center"/>
                </w:tcPr>
                <w:p w14:paraId="61090942">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03817B7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53</w:t>
                  </w:r>
                </w:p>
              </w:tc>
              <w:tc>
                <w:tcPr>
                  <w:tcW w:w="747" w:type="pct"/>
                  <w:vAlign w:val="center"/>
                </w:tcPr>
                <w:p w14:paraId="601BB3F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眼科手术显微镜</w:t>
                  </w:r>
                </w:p>
              </w:tc>
              <w:tc>
                <w:tcPr>
                  <w:tcW w:w="947" w:type="pct"/>
                  <w:vAlign w:val="center"/>
                </w:tcPr>
                <w:p w14:paraId="5C54B7D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OPMILumerai</w:t>
                  </w:r>
                </w:p>
              </w:tc>
              <w:tc>
                <w:tcPr>
                  <w:tcW w:w="403" w:type="pct"/>
                  <w:vAlign w:val="center"/>
                </w:tcPr>
                <w:p w14:paraId="61CCB6D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22FCE12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60345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B78FCD6">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9</w:t>
                  </w:r>
                </w:p>
              </w:tc>
              <w:tc>
                <w:tcPr>
                  <w:tcW w:w="692" w:type="pct"/>
                  <w:shd w:val="clear" w:color="auto" w:fill="auto"/>
                  <w:tcMar>
                    <w:top w:w="0" w:type="dxa"/>
                    <w:left w:w="108" w:type="dxa"/>
                    <w:bottom w:w="0" w:type="dxa"/>
                    <w:right w:w="108" w:type="dxa"/>
                  </w:tcMar>
                  <w:vAlign w:val="center"/>
                </w:tcPr>
                <w:p w14:paraId="474D418A">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病人监护仪</w:t>
                  </w:r>
                </w:p>
              </w:tc>
              <w:tc>
                <w:tcPr>
                  <w:tcW w:w="657" w:type="pct"/>
                  <w:shd w:val="clear" w:color="auto" w:fill="auto"/>
                  <w:tcMar>
                    <w:top w:w="0" w:type="dxa"/>
                    <w:left w:w="108" w:type="dxa"/>
                    <w:bottom w:w="0" w:type="dxa"/>
                    <w:right w:w="108" w:type="dxa"/>
                  </w:tcMar>
                  <w:vAlign w:val="center"/>
                </w:tcPr>
                <w:p w14:paraId="3CFE83B8">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G30E</w:t>
                  </w:r>
                </w:p>
              </w:tc>
              <w:tc>
                <w:tcPr>
                  <w:tcW w:w="369" w:type="pct"/>
                  <w:shd w:val="clear" w:color="auto" w:fill="auto"/>
                  <w:tcMar>
                    <w:top w:w="0" w:type="dxa"/>
                    <w:left w:w="108" w:type="dxa"/>
                    <w:bottom w:w="0" w:type="dxa"/>
                    <w:right w:w="108" w:type="dxa"/>
                  </w:tcMar>
                  <w:vAlign w:val="center"/>
                </w:tcPr>
                <w:p w14:paraId="0AE7BC40">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60</w:t>
                  </w:r>
                </w:p>
              </w:tc>
              <w:tc>
                <w:tcPr>
                  <w:tcW w:w="315" w:type="pct"/>
                  <w:shd w:val="clear" w:color="auto" w:fill="auto"/>
                  <w:tcMar>
                    <w:top w:w="0" w:type="dxa"/>
                    <w:left w:w="108" w:type="dxa"/>
                    <w:bottom w:w="0" w:type="dxa"/>
                    <w:right w:w="108" w:type="dxa"/>
                  </w:tcMar>
                  <w:vAlign w:val="center"/>
                </w:tcPr>
                <w:p w14:paraId="2A36BD5C">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6C42D2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54</w:t>
                  </w:r>
                </w:p>
              </w:tc>
              <w:tc>
                <w:tcPr>
                  <w:tcW w:w="747" w:type="pct"/>
                  <w:vAlign w:val="center"/>
                </w:tcPr>
                <w:p w14:paraId="16607C3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一氧化氮检测系统</w:t>
                  </w:r>
                </w:p>
              </w:tc>
              <w:tc>
                <w:tcPr>
                  <w:tcW w:w="947" w:type="pct"/>
                  <w:vAlign w:val="center"/>
                </w:tcPr>
                <w:p w14:paraId="24595D6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N1</w:t>
                  </w:r>
                </w:p>
              </w:tc>
              <w:tc>
                <w:tcPr>
                  <w:tcW w:w="403" w:type="pct"/>
                  <w:vAlign w:val="center"/>
                </w:tcPr>
                <w:p w14:paraId="0A034DA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4C358D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2FBA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24C748AA">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10</w:t>
                  </w:r>
                </w:p>
              </w:tc>
              <w:tc>
                <w:tcPr>
                  <w:tcW w:w="692" w:type="pct"/>
                  <w:shd w:val="clear" w:color="auto" w:fill="auto"/>
                  <w:tcMar>
                    <w:top w:w="0" w:type="dxa"/>
                    <w:left w:w="108" w:type="dxa"/>
                    <w:bottom w:w="0" w:type="dxa"/>
                    <w:right w:w="108" w:type="dxa"/>
                  </w:tcMar>
                  <w:vAlign w:val="center"/>
                </w:tcPr>
                <w:p w14:paraId="0DE6D6CA">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产床</w:t>
                  </w:r>
                </w:p>
              </w:tc>
              <w:tc>
                <w:tcPr>
                  <w:tcW w:w="657" w:type="pct"/>
                  <w:shd w:val="clear" w:color="auto" w:fill="auto"/>
                  <w:tcMar>
                    <w:top w:w="0" w:type="dxa"/>
                    <w:left w:w="108" w:type="dxa"/>
                    <w:bottom w:w="0" w:type="dxa"/>
                    <w:right w:w="108" w:type="dxa"/>
                  </w:tcMar>
                  <w:vAlign w:val="center"/>
                </w:tcPr>
                <w:p w14:paraId="1E204FE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CH-T600</w:t>
                  </w:r>
                </w:p>
              </w:tc>
              <w:tc>
                <w:tcPr>
                  <w:tcW w:w="369" w:type="pct"/>
                  <w:shd w:val="clear" w:color="auto" w:fill="auto"/>
                  <w:tcMar>
                    <w:top w:w="0" w:type="dxa"/>
                    <w:left w:w="108" w:type="dxa"/>
                    <w:bottom w:w="0" w:type="dxa"/>
                    <w:right w:w="108" w:type="dxa"/>
                  </w:tcMar>
                  <w:vAlign w:val="center"/>
                </w:tcPr>
                <w:p w14:paraId="0E6A88B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2</w:t>
                  </w:r>
                </w:p>
              </w:tc>
              <w:tc>
                <w:tcPr>
                  <w:tcW w:w="315" w:type="pct"/>
                  <w:shd w:val="clear" w:color="auto" w:fill="auto"/>
                  <w:tcMar>
                    <w:top w:w="0" w:type="dxa"/>
                    <w:left w:w="108" w:type="dxa"/>
                    <w:bottom w:w="0" w:type="dxa"/>
                    <w:right w:w="108" w:type="dxa"/>
                  </w:tcMar>
                  <w:vAlign w:val="center"/>
                </w:tcPr>
                <w:p w14:paraId="5269B398">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张</w:t>
                  </w:r>
                </w:p>
              </w:tc>
              <w:tc>
                <w:tcPr>
                  <w:tcW w:w="297" w:type="pct"/>
                  <w:shd w:val="clear" w:color="auto" w:fill="D7D7D7" w:themeFill="background1" w:themeFillShade="D8"/>
                  <w:vAlign w:val="center"/>
                </w:tcPr>
                <w:p w14:paraId="0705BA8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55</w:t>
                  </w:r>
                </w:p>
              </w:tc>
              <w:tc>
                <w:tcPr>
                  <w:tcW w:w="747" w:type="pct"/>
                  <w:vAlign w:val="center"/>
                </w:tcPr>
                <w:p w14:paraId="72F3AAF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医用等离子体空气消毒器</w:t>
                  </w:r>
                </w:p>
              </w:tc>
              <w:tc>
                <w:tcPr>
                  <w:tcW w:w="947" w:type="pct"/>
                  <w:vAlign w:val="center"/>
                </w:tcPr>
                <w:p w14:paraId="3016D4B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YKX.P-Y-1000</w:t>
                  </w:r>
                </w:p>
              </w:tc>
              <w:tc>
                <w:tcPr>
                  <w:tcW w:w="403" w:type="pct"/>
                  <w:vAlign w:val="center"/>
                </w:tcPr>
                <w:p w14:paraId="0AE5515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63</w:t>
                  </w:r>
                </w:p>
              </w:tc>
              <w:tc>
                <w:tcPr>
                  <w:tcW w:w="336" w:type="pct"/>
                  <w:vAlign w:val="center"/>
                </w:tcPr>
                <w:p w14:paraId="05CA60E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FC5C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2B84EF7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11</w:t>
                  </w:r>
                </w:p>
              </w:tc>
              <w:tc>
                <w:tcPr>
                  <w:tcW w:w="692" w:type="pct"/>
                  <w:shd w:val="clear" w:color="auto" w:fill="auto"/>
                  <w:tcMar>
                    <w:top w:w="0" w:type="dxa"/>
                    <w:left w:w="108" w:type="dxa"/>
                    <w:bottom w:w="0" w:type="dxa"/>
                    <w:right w:w="108" w:type="dxa"/>
                  </w:tcMar>
                  <w:vAlign w:val="center"/>
                </w:tcPr>
                <w:p w14:paraId="2C2D5ECE">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超声波治疗仪</w:t>
                  </w:r>
                </w:p>
              </w:tc>
              <w:tc>
                <w:tcPr>
                  <w:tcW w:w="657" w:type="pct"/>
                  <w:shd w:val="clear" w:color="auto" w:fill="auto"/>
                  <w:tcMar>
                    <w:top w:w="0" w:type="dxa"/>
                    <w:left w:w="108" w:type="dxa"/>
                    <w:bottom w:w="0" w:type="dxa"/>
                    <w:right w:w="108" w:type="dxa"/>
                  </w:tcMar>
                  <w:vAlign w:val="center"/>
                </w:tcPr>
                <w:p w14:paraId="01B0CF2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US-750</w:t>
                  </w:r>
                </w:p>
              </w:tc>
              <w:tc>
                <w:tcPr>
                  <w:tcW w:w="369" w:type="pct"/>
                  <w:shd w:val="clear" w:color="auto" w:fill="auto"/>
                  <w:tcMar>
                    <w:top w:w="0" w:type="dxa"/>
                    <w:left w:w="108" w:type="dxa"/>
                    <w:bottom w:w="0" w:type="dxa"/>
                    <w:right w:w="108" w:type="dxa"/>
                  </w:tcMar>
                  <w:vAlign w:val="center"/>
                </w:tcPr>
                <w:p w14:paraId="752A59A0">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719640DB">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C58FB5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56</w:t>
                  </w:r>
                </w:p>
              </w:tc>
              <w:tc>
                <w:tcPr>
                  <w:tcW w:w="747" w:type="pct"/>
                  <w:vAlign w:val="center"/>
                </w:tcPr>
                <w:p w14:paraId="249E5BC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移动式C形臂X射线机</w:t>
                  </w:r>
                </w:p>
              </w:tc>
              <w:tc>
                <w:tcPr>
                  <w:tcW w:w="947" w:type="pct"/>
                  <w:vAlign w:val="center"/>
                </w:tcPr>
                <w:p w14:paraId="1EBBF3A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FluorostarCompactD</w:t>
                  </w:r>
                </w:p>
              </w:tc>
              <w:tc>
                <w:tcPr>
                  <w:tcW w:w="403" w:type="pct"/>
                  <w:vAlign w:val="center"/>
                </w:tcPr>
                <w:p w14:paraId="36E8D60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31E042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61785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5EC097D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12</w:t>
                  </w:r>
                </w:p>
              </w:tc>
              <w:tc>
                <w:tcPr>
                  <w:tcW w:w="692" w:type="pct"/>
                  <w:shd w:val="clear" w:color="auto" w:fill="auto"/>
                  <w:tcMar>
                    <w:top w:w="0" w:type="dxa"/>
                    <w:left w:w="108" w:type="dxa"/>
                    <w:bottom w:w="0" w:type="dxa"/>
                    <w:right w:w="108" w:type="dxa"/>
                  </w:tcMar>
                  <w:vAlign w:val="center"/>
                </w:tcPr>
                <w:p w14:paraId="661ED0E4">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超声刀</w:t>
                  </w:r>
                </w:p>
              </w:tc>
              <w:tc>
                <w:tcPr>
                  <w:tcW w:w="657" w:type="pct"/>
                  <w:shd w:val="clear" w:color="auto" w:fill="auto"/>
                  <w:tcMar>
                    <w:top w:w="0" w:type="dxa"/>
                    <w:left w:w="108" w:type="dxa"/>
                    <w:bottom w:w="0" w:type="dxa"/>
                    <w:right w:w="108" w:type="dxa"/>
                  </w:tcMar>
                  <w:vAlign w:val="center"/>
                </w:tcPr>
                <w:p w14:paraId="349167A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USG10Plus</w:t>
                  </w:r>
                </w:p>
              </w:tc>
              <w:tc>
                <w:tcPr>
                  <w:tcW w:w="369" w:type="pct"/>
                  <w:shd w:val="clear" w:color="auto" w:fill="auto"/>
                  <w:tcMar>
                    <w:top w:w="0" w:type="dxa"/>
                    <w:left w:w="108" w:type="dxa"/>
                    <w:bottom w:w="0" w:type="dxa"/>
                    <w:right w:w="108" w:type="dxa"/>
                  </w:tcMar>
                  <w:vAlign w:val="center"/>
                </w:tcPr>
                <w:p w14:paraId="0DDF9D5C">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2</w:t>
                  </w:r>
                </w:p>
              </w:tc>
              <w:tc>
                <w:tcPr>
                  <w:tcW w:w="315" w:type="pct"/>
                  <w:shd w:val="clear" w:color="auto" w:fill="auto"/>
                  <w:tcMar>
                    <w:top w:w="0" w:type="dxa"/>
                    <w:left w:w="108" w:type="dxa"/>
                    <w:bottom w:w="0" w:type="dxa"/>
                    <w:right w:w="108" w:type="dxa"/>
                  </w:tcMar>
                  <w:vAlign w:val="center"/>
                </w:tcPr>
                <w:p w14:paraId="5765878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03138E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57</w:t>
                  </w:r>
                </w:p>
              </w:tc>
              <w:tc>
                <w:tcPr>
                  <w:tcW w:w="747" w:type="pct"/>
                  <w:vAlign w:val="center"/>
                </w:tcPr>
                <w:p w14:paraId="138E6C2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阴道镜</w:t>
                  </w:r>
                </w:p>
              </w:tc>
              <w:tc>
                <w:tcPr>
                  <w:tcW w:w="947" w:type="pct"/>
                  <w:vAlign w:val="center"/>
                </w:tcPr>
                <w:p w14:paraId="6DC71A8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3MLLED</w:t>
                  </w:r>
                </w:p>
              </w:tc>
              <w:tc>
                <w:tcPr>
                  <w:tcW w:w="403" w:type="pct"/>
                  <w:vAlign w:val="center"/>
                </w:tcPr>
                <w:p w14:paraId="09B635C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F54406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302E3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8DA610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13</w:t>
                  </w:r>
                </w:p>
              </w:tc>
              <w:tc>
                <w:tcPr>
                  <w:tcW w:w="692" w:type="pct"/>
                  <w:shd w:val="clear" w:color="auto" w:fill="auto"/>
                  <w:tcMar>
                    <w:top w:w="0" w:type="dxa"/>
                    <w:left w:w="108" w:type="dxa"/>
                    <w:bottom w:w="0" w:type="dxa"/>
                    <w:right w:w="108" w:type="dxa"/>
                  </w:tcMar>
                  <w:vAlign w:val="center"/>
                </w:tcPr>
                <w:p w14:paraId="2EB1A407">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持续正压通气系统（呼吸机）</w:t>
                  </w:r>
                </w:p>
              </w:tc>
              <w:tc>
                <w:tcPr>
                  <w:tcW w:w="657" w:type="pct"/>
                  <w:shd w:val="clear" w:color="auto" w:fill="auto"/>
                  <w:tcMar>
                    <w:top w:w="0" w:type="dxa"/>
                    <w:left w:w="108" w:type="dxa"/>
                    <w:bottom w:w="0" w:type="dxa"/>
                    <w:right w:w="108" w:type="dxa"/>
                  </w:tcMar>
                  <w:vAlign w:val="center"/>
                </w:tcPr>
                <w:p w14:paraId="64D3D23B">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NLF-200B</w:t>
                  </w:r>
                </w:p>
              </w:tc>
              <w:tc>
                <w:tcPr>
                  <w:tcW w:w="369" w:type="pct"/>
                  <w:shd w:val="clear" w:color="auto" w:fill="auto"/>
                  <w:tcMar>
                    <w:top w:w="0" w:type="dxa"/>
                    <w:left w:w="108" w:type="dxa"/>
                    <w:bottom w:w="0" w:type="dxa"/>
                    <w:right w:w="108" w:type="dxa"/>
                  </w:tcMar>
                  <w:vAlign w:val="center"/>
                </w:tcPr>
                <w:p w14:paraId="43BEC1F4">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7065D56F">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26C544E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58</w:t>
                  </w:r>
                </w:p>
              </w:tc>
              <w:tc>
                <w:tcPr>
                  <w:tcW w:w="747" w:type="pct"/>
                  <w:vAlign w:val="center"/>
                </w:tcPr>
                <w:p w14:paraId="2904CBC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婴儿培养箱</w:t>
                  </w:r>
                </w:p>
              </w:tc>
              <w:tc>
                <w:tcPr>
                  <w:tcW w:w="947" w:type="pct"/>
                  <w:vAlign w:val="center"/>
                </w:tcPr>
                <w:p w14:paraId="39323E6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YP-90AC</w:t>
                  </w:r>
                </w:p>
              </w:tc>
              <w:tc>
                <w:tcPr>
                  <w:tcW w:w="403" w:type="pct"/>
                  <w:vAlign w:val="center"/>
                </w:tcPr>
                <w:p w14:paraId="2AC1B5B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10</w:t>
                  </w:r>
                </w:p>
              </w:tc>
              <w:tc>
                <w:tcPr>
                  <w:tcW w:w="336" w:type="pct"/>
                  <w:vAlign w:val="center"/>
                </w:tcPr>
                <w:p w14:paraId="57C964C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66FD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2994847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14</w:t>
                  </w:r>
                </w:p>
              </w:tc>
              <w:tc>
                <w:tcPr>
                  <w:tcW w:w="692" w:type="pct"/>
                  <w:shd w:val="clear" w:color="auto" w:fill="auto"/>
                  <w:tcMar>
                    <w:top w:w="0" w:type="dxa"/>
                    <w:left w:w="108" w:type="dxa"/>
                    <w:bottom w:w="0" w:type="dxa"/>
                    <w:right w:w="108" w:type="dxa"/>
                  </w:tcMar>
                  <w:vAlign w:val="center"/>
                </w:tcPr>
                <w:p w14:paraId="4B454104">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除颤仪</w:t>
                  </w:r>
                </w:p>
              </w:tc>
              <w:tc>
                <w:tcPr>
                  <w:tcW w:w="657" w:type="pct"/>
                  <w:shd w:val="clear" w:color="auto" w:fill="auto"/>
                  <w:tcMar>
                    <w:top w:w="0" w:type="dxa"/>
                    <w:left w:w="108" w:type="dxa"/>
                    <w:bottom w:w="0" w:type="dxa"/>
                    <w:right w:w="108" w:type="dxa"/>
                  </w:tcMar>
                  <w:vAlign w:val="center"/>
                </w:tcPr>
                <w:p w14:paraId="483AB31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TEC-5621</w:t>
                  </w:r>
                </w:p>
              </w:tc>
              <w:tc>
                <w:tcPr>
                  <w:tcW w:w="369" w:type="pct"/>
                  <w:shd w:val="clear" w:color="auto" w:fill="auto"/>
                  <w:tcMar>
                    <w:top w:w="0" w:type="dxa"/>
                    <w:left w:w="108" w:type="dxa"/>
                    <w:bottom w:w="0" w:type="dxa"/>
                    <w:right w:w="108" w:type="dxa"/>
                  </w:tcMar>
                  <w:vAlign w:val="center"/>
                </w:tcPr>
                <w:p w14:paraId="1C5F5EBD">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15</w:t>
                  </w:r>
                </w:p>
              </w:tc>
              <w:tc>
                <w:tcPr>
                  <w:tcW w:w="315" w:type="pct"/>
                  <w:shd w:val="clear" w:color="auto" w:fill="auto"/>
                  <w:tcMar>
                    <w:top w:w="0" w:type="dxa"/>
                    <w:left w:w="108" w:type="dxa"/>
                    <w:bottom w:w="0" w:type="dxa"/>
                    <w:right w:w="108" w:type="dxa"/>
                  </w:tcMar>
                  <w:vAlign w:val="center"/>
                </w:tcPr>
                <w:p w14:paraId="739E14B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0663E5C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59</w:t>
                  </w:r>
                </w:p>
              </w:tc>
              <w:tc>
                <w:tcPr>
                  <w:tcW w:w="747" w:type="pct"/>
                  <w:vAlign w:val="center"/>
                </w:tcPr>
                <w:p w14:paraId="50EAF77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幽门螺旋杆菌检测仪</w:t>
                  </w:r>
                </w:p>
              </w:tc>
              <w:tc>
                <w:tcPr>
                  <w:tcW w:w="947" w:type="pct"/>
                  <w:vAlign w:val="center"/>
                </w:tcPr>
                <w:p w14:paraId="3C43916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HUBT-20A2</w:t>
                  </w:r>
                </w:p>
              </w:tc>
              <w:tc>
                <w:tcPr>
                  <w:tcW w:w="403" w:type="pct"/>
                  <w:vAlign w:val="center"/>
                </w:tcPr>
                <w:p w14:paraId="787A0AD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76E1DD9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3321F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E58868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15</w:t>
                  </w:r>
                </w:p>
              </w:tc>
              <w:tc>
                <w:tcPr>
                  <w:tcW w:w="692" w:type="pct"/>
                  <w:shd w:val="clear" w:color="auto" w:fill="auto"/>
                  <w:tcMar>
                    <w:top w:w="0" w:type="dxa"/>
                    <w:left w:w="108" w:type="dxa"/>
                    <w:bottom w:w="0" w:type="dxa"/>
                    <w:right w:w="108" w:type="dxa"/>
                  </w:tcMar>
                  <w:vAlign w:val="center"/>
                </w:tcPr>
                <w:p w14:paraId="3D682E17">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床单位消毒器</w:t>
                  </w:r>
                </w:p>
              </w:tc>
              <w:tc>
                <w:tcPr>
                  <w:tcW w:w="657" w:type="pct"/>
                  <w:shd w:val="clear" w:color="auto" w:fill="auto"/>
                  <w:tcMar>
                    <w:top w:w="0" w:type="dxa"/>
                    <w:left w:w="108" w:type="dxa"/>
                    <w:bottom w:w="0" w:type="dxa"/>
                    <w:right w:w="108" w:type="dxa"/>
                  </w:tcMar>
                  <w:vAlign w:val="center"/>
                </w:tcPr>
                <w:p w14:paraId="3AE68A21">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CBR.D</w:t>
                  </w:r>
                </w:p>
              </w:tc>
              <w:tc>
                <w:tcPr>
                  <w:tcW w:w="369" w:type="pct"/>
                  <w:shd w:val="clear" w:color="auto" w:fill="auto"/>
                  <w:tcMar>
                    <w:top w:w="0" w:type="dxa"/>
                    <w:left w:w="108" w:type="dxa"/>
                    <w:bottom w:w="0" w:type="dxa"/>
                    <w:right w:w="108" w:type="dxa"/>
                  </w:tcMar>
                  <w:vAlign w:val="center"/>
                </w:tcPr>
                <w:p w14:paraId="2CAB5CD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16</w:t>
                  </w:r>
                </w:p>
              </w:tc>
              <w:tc>
                <w:tcPr>
                  <w:tcW w:w="315" w:type="pct"/>
                  <w:shd w:val="clear" w:color="auto" w:fill="auto"/>
                  <w:tcMar>
                    <w:top w:w="0" w:type="dxa"/>
                    <w:left w:w="108" w:type="dxa"/>
                    <w:bottom w:w="0" w:type="dxa"/>
                    <w:right w:w="108" w:type="dxa"/>
                  </w:tcMar>
                  <w:vAlign w:val="center"/>
                </w:tcPr>
                <w:p w14:paraId="643E331F">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46AF6B9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60</w:t>
                  </w:r>
                </w:p>
              </w:tc>
              <w:tc>
                <w:tcPr>
                  <w:tcW w:w="747" w:type="pct"/>
                  <w:vAlign w:val="center"/>
                </w:tcPr>
                <w:p w14:paraId="09E446C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有创呼吸机</w:t>
                  </w:r>
                </w:p>
              </w:tc>
              <w:tc>
                <w:tcPr>
                  <w:tcW w:w="947" w:type="pct"/>
                  <w:vAlign w:val="center"/>
                </w:tcPr>
                <w:p w14:paraId="477A507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SV600</w:t>
                  </w:r>
                </w:p>
              </w:tc>
              <w:tc>
                <w:tcPr>
                  <w:tcW w:w="403" w:type="pct"/>
                  <w:vAlign w:val="center"/>
                </w:tcPr>
                <w:p w14:paraId="765EA6C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w:t>
                  </w:r>
                </w:p>
              </w:tc>
              <w:tc>
                <w:tcPr>
                  <w:tcW w:w="336" w:type="pct"/>
                  <w:vAlign w:val="center"/>
                </w:tcPr>
                <w:p w14:paraId="2E0E159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2C5B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53FBAA5">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16</w:t>
                  </w:r>
                </w:p>
              </w:tc>
              <w:tc>
                <w:tcPr>
                  <w:tcW w:w="692" w:type="pct"/>
                  <w:shd w:val="clear" w:color="auto" w:fill="auto"/>
                  <w:tcMar>
                    <w:top w:w="0" w:type="dxa"/>
                    <w:left w:w="108" w:type="dxa"/>
                    <w:bottom w:w="0" w:type="dxa"/>
                    <w:right w:w="108" w:type="dxa"/>
                  </w:tcMar>
                  <w:vAlign w:val="center"/>
                </w:tcPr>
                <w:p w14:paraId="6AAE9149">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胆道镜</w:t>
                  </w:r>
                </w:p>
              </w:tc>
              <w:tc>
                <w:tcPr>
                  <w:tcW w:w="657" w:type="pct"/>
                  <w:shd w:val="clear" w:color="auto" w:fill="auto"/>
                  <w:tcMar>
                    <w:top w:w="0" w:type="dxa"/>
                    <w:left w:w="108" w:type="dxa"/>
                    <w:bottom w:w="0" w:type="dxa"/>
                    <w:right w:w="108" w:type="dxa"/>
                  </w:tcMar>
                  <w:vAlign w:val="center"/>
                </w:tcPr>
                <w:p w14:paraId="01CCF3B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11292DE1</w:t>
                  </w:r>
                </w:p>
              </w:tc>
              <w:tc>
                <w:tcPr>
                  <w:tcW w:w="369" w:type="pct"/>
                  <w:shd w:val="clear" w:color="auto" w:fill="auto"/>
                  <w:tcMar>
                    <w:top w:w="0" w:type="dxa"/>
                    <w:left w:w="108" w:type="dxa"/>
                    <w:bottom w:w="0" w:type="dxa"/>
                    <w:right w:w="108" w:type="dxa"/>
                  </w:tcMar>
                  <w:vAlign w:val="center"/>
                </w:tcPr>
                <w:p w14:paraId="7395ECB3">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4C6056DB">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套</w:t>
                  </w:r>
                </w:p>
              </w:tc>
              <w:tc>
                <w:tcPr>
                  <w:tcW w:w="297" w:type="pct"/>
                  <w:shd w:val="clear" w:color="auto" w:fill="D7D7D7" w:themeFill="background1" w:themeFillShade="D8"/>
                  <w:vAlign w:val="center"/>
                </w:tcPr>
                <w:p w14:paraId="2AB4B1E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61</w:t>
                  </w:r>
                </w:p>
              </w:tc>
              <w:tc>
                <w:tcPr>
                  <w:tcW w:w="747" w:type="pct"/>
                  <w:vAlign w:val="center"/>
                </w:tcPr>
                <w:p w14:paraId="51EC668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运输用培养箱</w:t>
                  </w:r>
                </w:p>
              </w:tc>
              <w:tc>
                <w:tcPr>
                  <w:tcW w:w="947" w:type="pct"/>
                  <w:vAlign w:val="center"/>
                </w:tcPr>
                <w:p w14:paraId="77D62B5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TI-2000</w:t>
                  </w:r>
                </w:p>
              </w:tc>
              <w:tc>
                <w:tcPr>
                  <w:tcW w:w="403" w:type="pct"/>
                  <w:vAlign w:val="center"/>
                </w:tcPr>
                <w:p w14:paraId="5F32FC9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336" w:type="pct"/>
                  <w:vAlign w:val="center"/>
                </w:tcPr>
                <w:p w14:paraId="7F3F1A9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6137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D76D99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17</w:t>
                  </w:r>
                </w:p>
              </w:tc>
              <w:tc>
                <w:tcPr>
                  <w:tcW w:w="692" w:type="pct"/>
                  <w:shd w:val="clear" w:color="auto" w:fill="auto"/>
                  <w:tcMar>
                    <w:top w:w="0" w:type="dxa"/>
                    <w:left w:w="108" w:type="dxa"/>
                    <w:bottom w:w="0" w:type="dxa"/>
                    <w:right w:w="108" w:type="dxa"/>
                  </w:tcMar>
                  <w:vAlign w:val="center"/>
                </w:tcPr>
                <w:p w14:paraId="32DFFDED">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等离子刀</w:t>
                  </w:r>
                </w:p>
              </w:tc>
              <w:tc>
                <w:tcPr>
                  <w:tcW w:w="657" w:type="pct"/>
                  <w:shd w:val="clear" w:color="auto" w:fill="auto"/>
                  <w:tcMar>
                    <w:top w:w="0" w:type="dxa"/>
                    <w:left w:w="108" w:type="dxa"/>
                    <w:bottom w:w="0" w:type="dxa"/>
                    <w:right w:w="108" w:type="dxa"/>
                  </w:tcMar>
                  <w:vAlign w:val="center"/>
                </w:tcPr>
                <w:p w14:paraId="0755F83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PLA-600</w:t>
                  </w:r>
                </w:p>
              </w:tc>
              <w:tc>
                <w:tcPr>
                  <w:tcW w:w="369" w:type="pct"/>
                  <w:shd w:val="clear" w:color="auto" w:fill="auto"/>
                  <w:tcMar>
                    <w:top w:w="0" w:type="dxa"/>
                    <w:left w:w="108" w:type="dxa"/>
                    <w:bottom w:w="0" w:type="dxa"/>
                    <w:right w:w="108" w:type="dxa"/>
                  </w:tcMar>
                  <w:vAlign w:val="center"/>
                </w:tcPr>
                <w:p w14:paraId="1514940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02DC9EC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538FFCA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62</w:t>
                  </w:r>
                </w:p>
              </w:tc>
              <w:tc>
                <w:tcPr>
                  <w:tcW w:w="747" w:type="pct"/>
                  <w:vAlign w:val="center"/>
                </w:tcPr>
                <w:p w14:paraId="1BD0E0D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中央监护系统</w:t>
                  </w:r>
                </w:p>
              </w:tc>
              <w:tc>
                <w:tcPr>
                  <w:tcW w:w="947" w:type="pct"/>
                  <w:vAlign w:val="center"/>
                </w:tcPr>
                <w:p w14:paraId="37B0D54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EfficiaCMS200</w:t>
                  </w:r>
                </w:p>
              </w:tc>
              <w:tc>
                <w:tcPr>
                  <w:tcW w:w="403" w:type="pct"/>
                  <w:vAlign w:val="center"/>
                </w:tcPr>
                <w:p w14:paraId="2171BC9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p>
              </w:tc>
              <w:tc>
                <w:tcPr>
                  <w:tcW w:w="336" w:type="pct"/>
                  <w:vAlign w:val="center"/>
                </w:tcPr>
                <w:p w14:paraId="3C452BB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套</w:t>
                  </w:r>
                </w:p>
              </w:tc>
            </w:tr>
            <w:tr w14:paraId="10DE5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672B395C">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18</w:t>
                  </w:r>
                </w:p>
              </w:tc>
              <w:tc>
                <w:tcPr>
                  <w:tcW w:w="692" w:type="pct"/>
                  <w:shd w:val="clear" w:color="auto" w:fill="auto"/>
                  <w:tcMar>
                    <w:top w:w="0" w:type="dxa"/>
                    <w:left w:w="108" w:type="dxa"/>
                    <w:bottom w:w="0" w:type="dxa"/>
                    <w:right w:w="108" w:type="dxa"/>
                  </w:tcMar>
                  <w:vAlign w:val="center"/>
                </w:tcPr>
                <w:p w14:paraId="53AD80C0">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电脑验光仪</w:t>
                  </w:r>
                </w:p>
              </w:tc>
              <w:tc>
                <w:tcPr>
                  <w:tcW w:w="657" w:type="pct"/>
                  <w:shd w:val="clear" w:color="auto" w:fill="auto"/>
                  <w:tcMar>
                    <w:top w:w="0" w:type="dxa"/>
                    <w:left w:w="108" w:type="dxa"/>
                    <w:bottom w:w="0" w:type="dxa"/>
                    <w:right w:w="108" w:type="dxa"/>
                  </w:tcMar>
                  <w:vAlign w:val="center"/>
                </w:tcPr>
                <w:p w14:paraId="59DC4926">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ARK-1</w:t>
                  </w:r>
                </w:p>
              </w:tc>
              <w:tc>
                <w:tcPr>
                  <w:tcW w:w="369" w:type="pct"/>
                  <w:shd w:val="clear" w:color="auto" w:fill="auto"/>
                  <w:tcMar>
                    <w:top w:w="0" w:type="dxa"/>
                    <w:left w:w="108" w:type="dxa"/>
                    <w:bottom w:w="0" w:type="dxa"/>
                    <w:right w:w="108" w:type="dxa"/>
                  </w:tcMar>
                  <w:vAlign w:val="center"/>
                </w:tcPr>
                <w:p w14:paraId="3086AB84">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3115F673">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0088E96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63</w:t>
                  </w:r>
                </w:p>
              </w:tc>
              <w:tc>
                <w:tcPr>
                  <w:tcW w:w="747" w:type="pct"/>
                  <w:vAlign w:val="center"/>
                </w:tcPr>
                <w:p w14:paraId="63904AB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全自动化学发光免疫分析系统</w:t>
                  </w:r>
                </w:p>
              </w:tc>
              <w:tc>
                <w:tcPr>
                  <w:tcW w:w="947" w:type="pct"/>
                  <w:vAlign w:val="center"/>
                </w:tcPr>
                <w:p w14:paraId="2A5482E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AE-180</w:t>
                  </w:r>
                </w:p>
              </w:tc>
              <w:tc>
                <w:tcPr>
                  <w:tcW w:w="403" w:type="pct"/>
                  <w:vAlign w:val="center"/>
                </w:tcPr>
                <w:p w14:paraId="767EEB5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BECA37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2F67C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4C90CD3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19</w:t>
                  </w:r>
                </w:p>
              </w:tc>
              <w:tc>
                <w:tcPr>
                  <w:tcW w:w="692" w:type="pct"/>
                  <w:shd w:val="clear" w:color="auto" w:fill="auto"/>
                  <w:tcMar>
                    <w:top w:w="0" w:type="dxa"/>
                    <w:left w:w="108" w:type="dxa"/>
                    <w:bottom w:w="0" w:type="dxa"/>
                    <w:right w:w="108" w:type="dxa"/>
                  </w:tcMar>
                  <w:vAlign w:val="center"/>
                </w:tcPr>
                <w:p w14:paraId="13492627">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电子支气管镜系统</w:t>
                  </w:r>
                </w:p>
              </w:tc>
              <w:tc>
                <w:tcPr>
                  <w:tcW w:w="657" w:type="pct"/>
                  <w:shd w:val="clear" w:color="auto" w:fill="auto"/>
                  <w:tcMar>
                    <w:top w:w="0" w:type="dxa"/>
                    <w:left w:w="108" w:type="dxa"/>
                    <w:bottom w:w="0" w:type="dxa"/>
                    <w:right w:w="108" w:type="dxa"/>
                  </w:tcMar>
                  <w:vAlign w:val="center"/>
                </w:tcPr>
                <w:p w14:paraId="047FA26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EP-6000等</w:t>
                  </w:r>
                </w:p>
              </w:tc>
              <w:tc>
                <w:tcPr>
                  <w:tcW w:w="369" w:type="pct"/>
                  <w:shd w:val="clear" w:color="auto" w:fill="auto"/>
                  <w:tcMar>
                    <w:top w:w="0" w:type="dxa"/>
                    <w:left w:w="108" w:type="dxa"/>
                    <w:bottom w:w="0" w:type="dxa"/>
                    <w:right w:w="108" w:type="dxa"/>
                  </w:tcMar>
                  <w:vAlign w:val="center"/>
                </w:tcPr>
                <w:p w14:paraId="74449715">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326561BF">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套</w:t>
                  </w:r>
                </w:p>
              </w:tc>
              <w:tc>
                <w:tcPr>
                  <w:tcW w:w="297" w:type="pct"/>
                  <w:shd w:val="clear" w:color="auto" w:fill="D7D7D7" w:themeFill="background1" w:themeFillShade="D8"/>
                  <w:vAlign w:val="center"/>
                </w:tcPr>
                <w:p w14:paraId="301CDC4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64</w:t>
                  </w:r>
                </w:p>
              </w:tc>
              <w:tc>
                <w:tcPr>
                  <w:tcW w:w="747" w:type="pct"/>
                  <w:vAlign w:val="center"/>
                </w:tcPr>
                <w:p w14:paraId="5E59CD3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全自动免疫分析系统</w:t>
                  </w:r>
                </w:p>
              </w:tc>
              <w:tc>
                <w:tcPr>
                  <w:tcW w:w="947" w:type="pct"/>
                  <w:vAlign w:val="center"/>
                </w:tcPr>
                <w:p w14:paraId="761F59C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ADVIACentaurXP</w:t>
                  </w:r>
                </w:p>
              </w:tc>
              <w:tc>
                <w:tcPr>
                  <w:tcW w:w="403" w:type="pct"/>
                  <w:vAlign w:val="center"/>
                </w:tcPr>
                <w:p w14:paraId="0B94B4F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5264954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9EAC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67463286">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20</w:t>
                  </w:r>
                </w:p>
              </w:tc>
              <w:tc>
                <w:tcPr>
                  <w:tcW w:w="692" w:type="pct"/>
                  <w:shd w:val="clear" w:color="auto" w:fill="auto"/>
                  <w:tcMar>
                    <w:top w:w="0" w:type="dxa"/>
                    <w:left w:w="108" w:type="dxa"/>
                    <w:bottom w:w="0" w:type="dxa"/>
                    <w:right w:w="108" w:type="dxa"/>
                  </w:tcMar>
                  <w:vAlign w:val="center"/>
                </w:tcPr>
                <w:p w14:paraId="1B793B8D">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动脉硬化检测仪</w:t>
                  </w:r>
                </w:p>
              </w:tc>
              <w:tc>
                <w:tcPr>
                  <w:tcW w:w="657" w:type="pct"/>
                  <w:shd w:val="clear" w:color="auto" w:fill="auto"/>
                  <w:tcMar>
                    <w:top w:w="0" w:type="dxa"/>
                    <w:left w:w="108" w:type="dxa"/>
                    <w:bottom w:w="0" w:type="dxa"/>
                    <w:right w:w="108" w:type="dxa"/>
                  </w:tcMar>
                  <w:vAlign w:val="center"/>
                </w:tcPr>
                <w:p w14:paraId="10A83B7A">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BP-203RPEIII</w:t>
                  </w:r>
                </w:p>
              </w:tc>
              <w:tc>
                <w:tcPr>
                  <w:tcW w:w="369" w:type="pct"/>
                  <w:shd w:val="clear" w:color="auto" w:fill="auto"/>
                  <w:tcMar>
                    <w:top w:w="0" w:type="dxa"/>
                    <w:left w:w="108" w:type="dxa"/>
                    <w:bottom w:w="0" w:type="dxa"/>
                    <w:right w:w="108" w:type="dxa"/>
                  </w:tcMar>
                  <w:vAlign w:val="center"/>
                </w:tcPr>
                <w:p w14:paraId="4E59CB6F">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74186529">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42B04D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65</w:t>
                  </w:r>
                </w:p>
              </w:tc>
              <w:tc>
                <w:tcPr>
                  <w:tcW w:w="747" w:type="pct"/>
                  <w:vAlign w:val="center"/>
                </w:tcPr>
                <w:p w14:paraId="60246A1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全自动生化分析仪</w:t>
                  </w:r>
                </w:p>
              </w:tc>
              <w:tc>
                <w:tcPr>
                  <w:tcW w:w="947" w:type="pct"/>
                  <w:vAlign w:val="center"/>
                </w:tcPr>
                <w:p w14:paraId="48D89FC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7600-020</w:t>
                  </w:r>
                </w:p>
              </w:tc>
              <w:tc>
                <w:tcPr>
                  <w:tcW w:w="403" w:type="pct"/>
                  <w:vAlign w:val="center"/>
                </w:tcPr>
                <w:p w14:paraId="0A00185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AE2724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1F9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1F2A26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21</w:t>
                  </w:r>
                </w:p>
              </w:tc>
              <w:tc>
                <w:tcPr>
                  <w:tcW w:w="692" w:type="pct"/>
                  <w:shd w:val="clear" w:color="auto" w:fill="auto"/>
                  <w:tcMar>
                    <w:top w:w="0" w:type="dxa"/>
                    <w:left w:w="108" w:type="dxa"/>
                    <w:bottom w:w="0" w:type="dxa"/>
                    <w:right w:w="108" w:type="dxa"/>
                  </w:tcMar>
                  <w:vAlign w:val="center"/>
                </w:tcPr>
                <w:p w14:paraId="2D068158">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耳声发射仪</w:t>
                  </w:r>
                </w:p>
              </w:tc>
              <w:tc>
                <w:tcPr>
                  <w:tcW w:w="657" w:type="pct"/>
                  <w:shd w:val="clear" w:color="auto" w:fill="auto"/>
                  <w:tcMar>
                    <w:top w:w="0" w:type="dxa"/>
                    <w:left w:w="108" w:type="dxa"/>
                    <w:bottom w:w="0" w:type="dxa"/>
                    <w:right w:w="108" w:type="dxa"/>
                  </w:tcMar>
                  <w:vAlign w:val="center"/>
                </w:tcPr>
                <w:p w14:paraId="13572C90">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Type1077</w:t>
                  </w:r>
                </w:p>
              </w:tc>
              <w:tc>
                <w:tcPr>
                  <w:tcW w:w="369" w:type="pct"/>
                  <w:shd w:val="clear" w:color="auto" w:fill="auto"/>
                  <w:tcMar>
                    <w:top w:w="0" w:type="dxa"/>
                    <w:left w:w="108" w:type="dxa"/>
                    <w:bottom w:w="0" w:type="dxa"/>
                    <w:right w:w="108" w:type="dxa"/>
                  </w:tcMar>
                  <w:vAlign w:val="center"/>
                </w:tcPr>
                <w:p w14:paraId="363F236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1C7B4581">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92AD19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66</w:t>
                  </w:r>
                </w:p>
              </w:tc>
              <w:tc>
                <w:tcPr>
                  <w:tcW w:w="747" w:type="pct"/>
                  <w:vAlign w:val="center"/>
                </w:tcPr>
                <w:p w14:paraId="6AB82CB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全自动荧光免疫分析仪</w:t>
                  </w:r>
                </w:p>
              </w:tc>
              <w:tc>
                <w:tcPr>
                  <w:tcW w:w="947" w:type="pct"/>
                  <w:vAlign w:val="center"/>
                </w:tcPr>
                <w:p w14:paraId="71B326F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miniVIDAS</w:t>
                  </w:r>
                </w:p>
              </w:tc>
              <w:tc>
                <w:tcPr>
                  <w:tcW w:w="403" w:type="pct"/>
                  <w:vAlign w:val="center"/>
                </w:tcPr>
                <w:p w14:paraId="31D6B67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2621E70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E6D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25D3C009">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22</w:t>
                  </w:r>
                </w:p>
              </w:tc>
              <w:tc>
                <w:tcPr>
                  <w:tcW w:w="692" w:type="pct"/>
                  <w:shd w:val="clear" w:color="auto" w:fill="auto"/>
                  <w:tcMar>
                    <w:top w:w="0" w:type="dxa"/>
                    <w:left w:w="108" w:type="dxa"/>
                    <w:bottom w:w="0" w:type="dxa"/>
                    <w:right w:w="108" w:type="dxa"/>
                  </w:tcMar>
                  <w:vAlign w:val="center"/>
                </w:tcPr>
                <w:p w14:paraId="763B3288">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非接触式眼压计</w:t>
                  </w:r>
                </w:p>
              </w:tc>
              <w:tc>
                <w:tcPr>
                  <w:tcW w:w="657" w:type="pct"/>
                  <w:shd w:val="clear" w:color="auto" w:fill="auto"/>
                  <w:tcMar>
                    <w:top w:w="0" w:type="dxa"/>
                    <w:left w:w="108" w:type="dxa"/>
                    <w:bottom w:w="0" w:type="dxa"/>
                    <w:right w:w="108" w:type="dxa"/>
                  </w:tcMar>
                  <w:vAlign w:val="center"/>
                </w:tcPr>
                <w:p w14:paraId="0774B5FC">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SW-5000</w:t>
                  </w:r>
                </w:p>
              </w:tc>
              <w:tc>
                <w:tcPr>
                  <w:tcW w:w="369" w:type="pct"/>
                  <w:shd w:val="clear" w:color="auto" w:fill="auto"/>
                  <w:tcMar>
                    <w:top w:w="0" w:type="dxa"/>
                    <w:left w:w="108" w:type="dxa"/>
                    <w:bottom w:w="0" w:type="dxa"/>
                    <w:right w:w="108" w:type="dxa"/>
                  </w:tcMar>
                  <w:vAlign w:val="center"/>
                </w:tcPr>
                <w:p w14:paraId="042E2C6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1F4AB0C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11AEA1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67</w:t>
                  </w:r>
                </w:p>
              </w:tc>
              <w:tc>
                <w:tcPr>
                  <w:tcW w:w="747" w:type="pct"/>
                  <w:vAlign w:val="center"/>
                </w:tcPr>
                <w:p w14:paraId="5C59CE6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全自动血液分析仪</w:t>
                  </w:r>
                </w:p>
              </w:tc>
              <w:tc>
                <w:tcPr>
                  <w:tcW w:w="947" w:type="pct"/>
                  <w:vAlign w:val="center"/>
                </w:tcPr>
                <w:p w14:paraId="4717456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XT-2000i</w:t>
                  </w:r>
                </w:p>
              </w:tc>
              <w:tc>
                <w:tcPr>
                  <w:tcW w:w="403" w:type="pct"/>
                  <w:vAlign w:val="center"/>
                </w:tcPr>
                <w:p w14:paraId="6D06446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5C30E4D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3BD91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FD04806">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23</w:t>
                  </w:r>
                </w:p>
              </w:tc>
              <w:tc>
                <w:tcPr>
                  <w:tcW w:w="692" w:type="pct"/>
                  <w:shd w:val="clear" w:color="auto" w:fill="auto"/>
                  <w:tcMar>
                    <w:top w:w="0" w:type="dxa"/>
                    <w:left w:w="108" w:type="dxa"/>
                    <w:bottom w:w="0" w:type="dxa"/>
                    <w:right w:w="108" w:type="dxa"/>
                  </w:tcMar>
                  <w:vAlign w:val="center"/>
                </w:tcPr>
                <w:p w14:paraId="3FA935CE">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肺功能测试仪</w:t>
                  </w:r>
                </w:p>
              </w:tc>
              <w:tc>
                <w:tcPr>
                  <w:tcW w:w="657" w:type="pct"/>
                  <w:shd w:val="clear" w:color="auto" w:fill="auto"/>
                  <w:tcMar>
                    <w:top w:w="0" w:type="dxa"/>
                    <w:left w:w="108" w:type="dxa"/>
                    <w:bottom w:w="0" w:type="dxa"/>
                    <w:right w:w="108" w:type="dxa"/>
                  </w:tcMar>
                  <w:vAlign w:val="center"/>
                </w:tcPr>
                <w:p w14:paraId="32B65D8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MasterScreenSeS</w:t>
                  </w:r>
                </w:p>
              </w:tc>
              <w:tc>
                <w:tcPr>
                  <w:tcW w:w="369" w:type="pct"/>
                  <w:shd w:val="clear" w:color="auto" w:fill="auto"/>
                  <w:tcMar>
                    <w:top w:w="0" w:type="dxa"/>
                    <w:left w:w="108" w:type="dxa"/>
                    <w:bottom w:w="0" w:type="dxa"/>
                    <w:right w:w="108" w:type="dxa"/>
                  </w:tcMar>
                  <w:vAlign w:val="center"/>
                </w:tcPr>
                <w:p w14:paraId="4D7139A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6B45B4A5">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555024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68</w:t>
                  </w:r>
                </w:p>
              </w:tc>
              <w:tc>
                <w:tcPr>
                  <w:tcW w:w="747" w:type="pct"/>
                  <w:vAlign w:val="center"/>
                </w:tcPr>
                <w:p w14:paraId="47B34E1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全自动血凝分析仪</w:t>
                  </w:r>
                </w:p>
              </w:tc>
              <w:tc>
                <w:tcPr>
                  <w:tcW w:w="947" w:type="pct"/>
                  <w:vAlign w:val="center"/>
                </w:tcPr>
                <w:p w14:paraId="0580DE4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CA-1500</w:t>
                  </w:r>
                </w:p>
              </w:tc>
              <w:tc>
                <w:tcPr>
                  <w:tcW w:w="403" w:type="pct"/>
                  <w:vAlign w:val="center"/>
                </w:tcPr>
                <w:p w14:paraId="580D2EB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28B0450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46865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545C4DF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24</w:t>
                  </w:r>
                </w:p>
              </w:tc>
              <w:tc>
                <w:tcPr>
                  <w:tcW w:w="692" w:type="pct"/>
                  <w:shd w:val="clear" w:color="auto" w:fill="auto"/>
                  <w:tcMar>
                    <w:top w:w="0" w:type="dxa"/>
                    <w:left w:w="108" w:type="dxa"/>
                    <w:bottom w:w="0" w:type="dxa"/>
                    <w:right w:w="108" w:type="dxa"/>
                  </w:tcMar>
                  <w:vAlign w:val="center"/>
                </w:tcPr>
                <w:p w14:paraId="192EFC3E">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分娩镇痛仪</w:t>
                  </w:r>
                </w:p>
              </w:tc>
              <w:tc>
                <w:tcPr>
                  <w:tcW w:w="657" w:type="pct"/>
                  <w:shd w:val="clear" w:color="auto" w:fill="auto"/>
                  <w:tcMar>
                    <w:top w:w="0" w:type="dxa"/>
                    <w:left w:w="108" w:type="dxa"/>
                    <w:bottom w:w="0" w:type="dxa"/>
                    <w:right w:w="108" w:type="dxa"/>
                  </w:tcMar>
                  <w:vAlign w:val="center"/>
                </w:tcPr>
                <w:p w14:paraId="74DC2BF1">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GT5100</w:t>
                  </w:r>
                </w:p>
              </w:tc>
              <w:tc>
                <w:tcPr>
                  <w:tcW w:w="369" w:type="pct"/>
                  <w:shd w:val="clear" w:color="auto" w:fill="auto"/>
                  <w:tcMar>
                    <w:top w:w="0" w:type="dxa"/>
                    <w:left w:w="108" w:type="dxa"/>
                    <w:bottom w:w="0" w:type="dxa"/>
                    <w:right w:w="108" w:type="dxa"/>
                  </w:tcMar>
                  <w:vAlign w:val="center"/>
                </w:tcPr>
                <w:p w14:paraId="09189D13">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2DF6AF03">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99F1CB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69</w:t>
                  </w:r>
                </w:p>
              </w:tc>
              <w:tc>
                <w:tcPr>
                  <w:tcW w:w="747" w:type="pct"/>
                  <w:vAlign w:val="center"/>
                </w:tcPr>
                <w:p w14:paraId="1F9D50A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全自动立式凝血分析仪</w:t>
                  </w:r>
                </w:p>
              </w:tc>
              <w:tc>
                <w:tcPr>
                  <w:tcW w:w="947" w:type="pct"/>
                  <w:vAlign w:val="center"/>
                </w:tcPr>
                <w:p w14:paraId="73B813D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STARMax</w:t>
                  </w:r>
                </w:p>
              </w:tc>
              <w:tc>
                <w:tcPr>
                  <w:tcW w:w="403" w:type="pct"/>
                  <w:vAlign w:val="center"/>
                </w:tcPr>
                <w:p w14:paraId="4AEA1DC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999189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6BC08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1E78D2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25</w:t>
                  </w:r>
                </w:p>
              </w:tc>
              <w:tc>
                <w:tcPr>
                  <w:tcW w:w="692" w:type="pct"/>
                  <w:shd w:val="clear" w:color="auto" w:fill="auto"/>
                  <w:tcMar>
                    <w:top w:w="0" w:type="dxa"/>
                    <w:left w:w="108" w:type="dxa"/>
                    <w:bottom w:w="0" w:type="dxa"/>
                    <w:right w:w="108" w:type="dxa"/>
                  </w:tcMar>
                  <w:vAlign w:val="center"/>
                </w:tcPr>
                <w:p w14:paraId="18F7EC2B">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腹腔镜</w:t>
                  </w:r>
                </w:p>
              </w:tc>
              <w:tc>
                <w:tcPr>
                  <w:tcW w:w="657" w:type="pct"/>
                  <w:shd w:val="clear" w:color="auto" w:fill="auto"/>
                  <w:tcMar>
                    <w:top w:w="0" w:type="dxa"/>
                    <w:left w:w="108" w:type="dxa"/>
                    <w:bottom w:w="0" w:type="dxa"/>
                    <w:right w:w="108" w:type="dxa"/>
                  </w:tcMar>
                  <w:vAlign w:val="center"/>
                </w:tcPr>
                <w:p w14:paraId="5D47ECCB">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30°4X325mm</w:t>
                  </w:r>
                </w:p>
              </w:tc>
              <w:tc>
                <w:tcPr>
                  <w:tcW w:w="369" w:type="pct"/>
                  <w:shd w:val="clear" w:color="auto" w:fill="auto"/>
                  <w:tcMar>
                    <w:top w:w="0" w:type="dxa"/>
                    <w:left w:w="108" w:type="dxa"/>
                    <w:bottom w:w="0" w:type="dxa"/>
                    <w:right w:w="108" w:type="dxa"/>
                  </w:tcMar>
                  <w:vAlign w:val="center"/>
                </w:tcPr>
                <w:p w14:paraId="516FA296">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3</w:t>
                  </w:r>
                </w:p>
              </w:tc>
              <w:tc>
                <w:tcPr>
                  <w:tcW w:w="315" w:type="pct"/>
                  <w:shd w:val="clear" w:color="auto" w:fill="auto"/>
                  <w:tcMar>
                    <w:top w:w="0" w:type="dxa"/>
                    <w:left w:w="108" w:type="dxa"/>
                    <w:bottom w:w="0" w:type="dxa"/>
                    <w:right w:w="108" w:type="dxa"/>
                  </w:tcMar>
                  <w:vAlign w:val="center"/>
                </w:tcPr>
                <w:p w14:paraId="62A7F914">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支</w:t>
                  </w:r>
                </w:p>
              </w:tc>
              <w:tc>
                <w:tcPr>
                  <w:tcW w:w="297" w:type="pct"/>
                  <w:shd w:val="clear" w:color="auto" w:fill="D7D7D7" w:themeFill="background1" w:themeFillShade="D8"/>
                  <w:vAlign w:val="center"/>
                </w:tcPr>
                <w:p w14:paraId="7FC1595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70</w:t>
                  </w:r>
                </w:p>
              </w:tc>
              <w:tc>
                <w:tcPr>
                  <w:tcW w:w="747" w:type="pct"/>
                  <w:vAlign w:val="center"/>
                </w:tcPr>
                <w:p w14:paraId="3092247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模块化生化免疫分析系统</w:t>
                  </w:r>
                </w:p>
              </w:tc>
              <w:tc>
                <w:tcPr>
                  <w:tcW w:w="947" w:type="pct"/>
                  <w:vAlign w:val="center"/>
                </w:tcPr>
                <w:p w14:paraId="7C9A736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Cobas6000</w:t>
                  </w:r>
                </w:p>
              </w:tc>
              <w:tc>
                <w:tcPr>
                  <w:tcW w:w="403" w:type="pct"/>
                  <w:vAlign w:val="center"/>
                </w:tcPr>
                <w:p w14:paraId="4B7C95C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17605AB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6561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A1E5D0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26</w:t>
                  </w:r>
                </w:p>
              </w:tc>
              <w:tc>
                <w:tcPr>
                  <w:tcW w:w="692" w:type="pct"/>
                  <w:shd w:val="clear" w:color="auto" w:fill="auto"/>
                  <w:tcMar>
                    <w:top w:w="0" w:type="dxa"/>
                    <w:left w:w="108" w:type="dxa"/>
                    <w:bottom w:w="0" w:type="dxa"/>
                    <w:right w:w="108" w:type="dxa"/>
                  </w:tcMar>
                  <w:vAlign w:val="center"/>
                </w:tcPr>
                <w:p w14:paraId="0C55F4CA">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干扰电治疗仪</w:t>
                  </w:r>
                </w:p>
              </w:tc>
              <w:tc>
                <w:tcPr>
                  <w:tcW w:w="657" w:type="pct"/>
                  <w:shd w:val="clear" w:color="auto" w:fill="auto"/>
                  <w:tcMar>
                    <w:top w:w="0" w:type="dxa"/>
                    <w:left w:w="108" w:type="dxa"/>
                    <w:bottom w:w="0" w:type="dxa"/>
                    <w:right w:w="108" w:type="dxa"/>
                  </w:tcMar>
                  <w:vAlign w:val="center"/>
                </w:tcPr>
                <w:p w14:paraId="4E98035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LGT-2800V2</w:t>
                  </w:r>
                </w:p>
              </w:tc>
              <w:tc>
                <w:tcPr>
                  <w:tcW w:w="369" w:type="pct"/>
                  <w:shd w:val="clear" w:color="auto" w:fill="auto"/>
                  <w:tcMar>
                    <w:top w:w="0" w:type="dxa"/>
                    <w:left w:w="108" w:type="dxa"/>
                    <w:bottom w:w="0" w:type="dxa"/>
                    <w:right w:w="108" w:type="dxa"/>
                  </w:tcMar>
                  <w:vAlign w:val="center"/>
                </w:tcPr>
                <w:p w14:paraId="5DF7ED2E">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69C812B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43FFC6C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71</w:t>
                  </w:r>
                </w:p>
              </w:tc>
              <w:tc>
                <w:tcPr>
                  <w:tcW w:w="747" w:type="pct"/>
                  <w:vAlign w:val="center"/>
                </w:tcPr>
                <w:p w14:paraId="0BE66BF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全自动血细胞分析流水线</w:t>
                  </w:r>
                </w:p>
              </w:tc>
              <w:tc>
                <w:tcPr>
                  <w:tcW w:w="947" w:type="pct"/>
                  <w:vAlign w:val="center"/>
                </w:tcPr>
                <w:p w14:paraId="00A8BEA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SYSMEXXN-10</w:t>
                  </w:r>
                </w:p>
              </w:tc>
              <w:tc>
                <w:tcPr>
                  <w:tcW w:w="403" w:type="pct"/>
                  <w:vAlign w:val="center"/>
                </w:tcPr>
                <w:p w14:paraId="4135422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C6A434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套</w:t>
                  </w:r>
                </w:p>
              </w:tc>
            </w:tr>
            <w:tr w14:paraId="4D93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6362981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27</w:t>
                  </w:r>
                </w:p>
              </w:tc>
              <w:tc>
                <w:tcPr>
                  <w:tcW w:w="692" w:type="pct"/>
                  <w:shd w:val="clear" w:color="auto" w:fill="auto"/>
                  <w:tcMar>
                    <w:top w:w="0" w:type="dxa"/>
                    <w:left w:w="108" w:type="dxa"/>
                    <w:bottom w:w="0" w:type="dxa"/>
                    <w:right w:w="108" w:type="dxa"/>
                  </w:tcMar>
                  <w:vAlign w:val="center"/>
                </w:tcPr>
                <w:p w14:paraId="3231BCB5">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干眼症雾化器</w:t>
                  </w:r>
                </w:p>
              </w:tc>
              <w:tc>
                <w:tcPr>
                  <w:tcW w:w="657" w:type="pct"/>
                  <w:shd w:val="clear" w:color="auto" w:fill="auto"/>
                  <w:tcMar>
                    <w:top w:w="0" w:type="dxa"/>
                    <w:left w:w="108" w:type="dxa"/>
                    <w:bottom w:w="0" w:type="dxa"/>
                    <w:right w:w="108" w:type="dxa"/>
                  </w:tcMar>
                  <w:vAlign w:val="center"/>
                </w:tcPr>
                <w:p w14:paraId="225D15D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VGR-001A</w:t>
                  </w:r>
                </w:p>
              </w:tc>
              <w:tc>
                <w:tcPr>
                  <w:tcW w:w="369" w:type="pct"/>
                  <w:shd w:val="clear" w:color="auto" w:fill="auto"/>
                  <w:tcMar>
                    <w:top w:w="0" w:type="dxa"/>
                    <w:left w:w="108" w:type="dxa"/>
                    <w:bottom w:w="0" w:type="dxa"/>
                    <w:right w:w="108" w:type="dxa"/>
                  </w:tcMar>
                  <w:vAlign w:val="center"/>
                </w:tcPr>
                <w:p w14:paraId="63F0054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53C556F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套</w:t>
                  </w:r>
                </w:p>
              </w:tc>
              <w:tc>
                <w:tcPr>
                  <w:tcW w:w="297" w:type="pct"/>
                  <w:shd w:val="clear" w:color="auto" w:fill="D7D7D7" w:themeFill="background1" w:themeFillShade="D8"/>
                  <w:vAlign w:val="center"/>
                </w:tcPr>
                <w:p w14:paraId="67747FD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72</w:t>
                  </w:r>
                </w:p>
              </w:tc>
              <w:tc>
                <w:tcPr>
                  <w:tcW w:w="747" w:type="pct"/>
                  <w:vAlign w:val="center"/>
                </w:tcPr>
                <w:p w14:paraId="54FD610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全自动凝血分析仪</w:t>
                  </w:r>
                </w:p>
              </w:tc>
              <w:tc>
                <w:tcPr>
                  <w:tcW w:w="947" w:type="pct"/>
                  <w:vAlign w:val="center"/>
                </w:tcPr>
                <w:p w14:paraId="373508F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STAGOSTACompactMax</w:t>
                  </w:r>
                </w:p>
              </w:tc>
              <w:tc>
                <w:tcPr>
                  <w:tcW w:w="403" w:type="pct"/>
                  <w:vAlign w:val="center"/>
                </w:tcPr>
                <w:p w14:paraId="1681272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18C941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98F3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5197EDB">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28</w:t>
                  </w:r>
                </w:p>
              </w:tc>
              <w:tc>
                <w:tcPr>
                  <w:tcW w:w="692" w:type="pct"/>
                  <w:shd w:val="clear" w:color="auto" w:fill="auto"/>
                  <w:tcMar>
                    <w:top w:w="0" w:type="dxa"/>
                    <w:left w:w="108" w:type="dxa"/>
                    <w:bottom w:w="0" w:type="dxa"/>
                    <w:right w:w="108" w:type="dxa"/>
                  </w:tcMar>
                  <w:vAlign w:val="center"/>
                </w:tcPr>
                <w:p w14:paraId="56317AF5">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高频振荡通气呼吸机</w:t>
                  </w:r>
                </w:p>
              </w:tc>
              <w:tc>
                <w:tcPr>
                  <w:tcW w:w="657" w:type="pct"/>
                  <w:shd w:val="clear" w:color="auto" w:fill="auto"/>
                  <w:tcMar>
                    <w:top w:w="0" w:type="dxa"/>
                    <w:left w:w="108" w:type="dxa"/>
                    <w:bottom w:w="0" w:type="dxa"/>
                    <w:right w:w="108" w:type="dxa"/>
                  </w:tcMar>
                  <w:vAlign w:val="center"/>
                </w:tcPr>
                <w:p w14:paraId="21708B8A">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InfinityAcuteCareSystemWorkstationNeonatalCare</w:t>
                  </w:r>
                </w:p>
              </w:tc>
              <w:tc>
                <w:tcPr>
                  <w:tcW w:w="369" w:type="pct"/>
                  <w:shd w:val="clear" w:color="auto" w:fill="auto"/>
                  <w:tcMar>
                    <w:top w:w="0" w:type="dxa"/>
                    <w:left w:w="108" w:type="dxa"/>
                    <w:bottom w:w="0" w:type="dxa"/>
                    <w:right w:w="108" w:type="dxa"/>
                  </w:tcMar>
                  <w:vAlign w:val="center"/>
                </w:tcPr>
                <w:p w14:paraId="412B0E2D">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09A82FD9">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5B4DEB7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73</w:t>
                  </w:r>
                </w:p>
              </w:tc>
              <w:tc>
                <w:tcPr>
                  <w:tcW w:w="747" w:type="pct"/>
                  <w:vAlign w:val="center"/>
                </w:tcPr>
                <w:p w14:paraId="019F1F5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全自动酶免分析仪</w:t>
                  </w:r>
                </w:p>
              </w:tc>
              <w:tc>
                <w:tcPr>
                  <w:tcW w:w="947" w:type="pct"/>
                  <w:vAlign w:val="center"/>
                </w:tcPr>
                <w:p w14:paraId="48D19E7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BIOBASE8001</w:t>
                  </w:r>
                </w:p>
              </w:tc>
              <w:tc>
                <w:tcPr>
                  <w:tcW w:w="403" w:type="pct"/>
                  <w:vAlign w:val="center"/>
                </w:tcPr>
                <w:p w14:paraId="7371217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3471FF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7C5CA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5177759">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29</w:t>
                  </w:r>
                </w:p>
              </w:tc>
              <w:tc>
                <w:tcPr>
                  <w:tcW w:w="692" w:type="pct"/>
                  <w:shd w:val="clear" w:color="auto" w:fill="auto"/>
                  <w:tcMar>
                    <w:top w:w="0" w:type="dxa"/>
                    <w:left w:w="108" w:type="dxa"/>
                    <w:bottom w:w="0" w:type="dxa"/>
                    <w:right w:w="108" w:type="dxa"/>
                  </w:tcMar>
                  <w:vAlign w:val="center"/>
                </w:tcPr>
                <w:p w14:paraId="08DEA363">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宫腔镜</w:t>
                  </w:r>
                </w:p>
              </w:tc>
              <w:tc>
                <w:tcPr>
                  <w:tcW w:w="657" w:type="pct"/>
                  <w:shd w:val="clear" w:color="auto" w:fill="auto"/>
                  <w:tcMar>
                    <w:top w:w="0" w:type="dxa"/>
                    <w:left w:w="108" w:type="dxa"/>
                    <w:bottom w:w="0" w:type="dxa"/>
                    <w:right w:w="108" w:type="dxa"/>
                  </w:tcMar>
                  <w:vAlign w:val="center"/>
                </w:tcPr>
                <w:p w14:paraId="5136F338">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26008BAC</w:t>
                  </w:r>
                </w:p>
              </w:tc>
              <w:tc>
                <w:tcPr>
                  <w:tcW w:w="369" w:type="pct"/>
                  <w:shd w:val="clear" w:color="auto" w:fill="auto"/>
                  <w:tcMar>
                    <w:top w:w="0" w:type="dxa"/>
                    <w:left w:w="108" w:type="dxa"/>
                    <w:bottom w:w="0" w:type="dxa"/>
                    <w:right w:w="108" w:type="dxa"/>
                  </w:tcMar>
                  <w:vAlign w:val="center"/>
                </w:tcPr>
                <w:p w14:paraId="7BBF1EE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376336D0">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套</w:t>
                  </w:r>
                </w:p>
              </w:tc>
              <w:tc>
                <w:tcPr>
                  <w:tcW w:w="297" w:type="pct"/>
                  <w:shd w:val="clear" w:color="auto" w:fill="D7D7D7" w:themeFill="background1" w:themeFillShade="D8"/>
                  <w:vAlign w:val="center"/>
                </w:tcPr>
                <w:p w14:paraId="62DD6BA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74</w:t>
                  </w:r>
                </w:p>
              </w:tc>
              <w:tc>
                <w:tcPr>
                  <w:tcW w:w="747" w:type="pct"/>
                  <w:vAlign w:val="center"/>
                </w:tcPr>
                <w:p w14:paraId="62E2C5F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质谱仪</w:t>
                  </w:r>
                </w:p>
              </w:tc>
              <w:tc>
                <w:tcPr>
                  <w:tcW w:w="947" w:type="pct"/>
                  <w:vAlign w:val="center"/>
                </w:tcPr>
                <w:p w14:paraId="15838AC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SmartMS5020</w:t>
                  </w:r>
                </w:p>
              </w:tc>
              <w:tc>
                <w:tcPr>
                  <w:tcW w:w="403" w:type="pct"/>
                  <w:vAlign w:val="center"/>
                </w:tcPr>
                <w:p w14:paraId="093682E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1021C5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7B288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1EF47AB1">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30</w:t>
                  </w:r>
                </w:p>
              </w:tc>
              <w:tc>
                <w:tcPr>
                  <w:tcW w:w="692" w:type="pct"/>
                  <w:shd w:val="clear" w:color="auto" w:fill="auto"/>
                  <w:tcMar>
                    <w:top w:w="0" w:type="dxa"/>
                    <w:left w:w="108" w:type="dxa"/>
                    <w:bottom w:w="0" w:type="dxa"/>
                    <w:right w:w="108" w:type="dxa"/>
                  </w:tcMar>
                  <w:vAlign w:val="center"/>
                </w:tcPr>
                <w:p w14:paraId="70E26885">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光学生物测量仪</w:t>
                  </w:r>
                </w:p>
              </w:tc>
              <w:tc>
                <w:tcPr>
                  <w:tcW w:w="657" w:type="pct"/>
                  <w:shd w:val="clear" w:color="auto" w:fill="auto"/>
                  <w:tcMar>
                    <w:top w:w="0" w:type="dxa"/>
                    <w:left w:w="108" w:type="dxa"/>
                    <w:bottom w:w="0" w:type="dxa"/>
                    <w:right w:w="108" w:type="dxa"/>
                  </w:tcMar>
                  <w:vAlign w:val="center"/>
                </w:tcPr>
                <w:p w14:paraId="735CDD2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IOLMaster500</w:t>
                  </w:r>
                </w:p>
              </w:tc>
              <w:tc>
                <w:tcPr>
                  <w:tcW w:w="369" w:type="pct"/>
                  <w:shd w:val="clear" w:color="auto" w:fill="auto"/>
                  <w:tcMar>
                    <w:top w:w="0" w:type="dxa"/>
                    <w:left w:w="108" w:type="dxa"/>
                    <w:bottom w:w="0" w:type="dxa"/>
                    <w:right w:w="108" w:type="dxa"/>
                  </w:tcMar>
                  <w:vAlign w:val="center"/>
                </w:tcPr>
                <w:p w14:paraId="1A697938">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503C098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3C0B37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75</w:t>
                  </w:r>
                </w:p>
              </w:tc>
              <w:tc>
                <w:tcPr>
                  <w:tcW w:w="747" w:type="pct"/>
                  <w:vAlign w:val="center"/>
                </w:tcPr>
                <w:p w14:paraId="264BBF5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血培养附加培养箱</w:t>
                  </w:r>
                </w:p>
              </w:tc>
              <w:tc>
                <w:tcPr>
                  <w:tcW w:w="947" w:type="pct"/>
                  <w:vAlign w:val="center"/>
                </w:tcPr>
                <w:p w14:paraId="42EE25B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BacT/ALERT®3D（培养模块）</w:t>
                  </w:r>
                </w:p>
              </w:tc>
              <w:tc>
                <w:tcPr>
                  <w:tcW w:w="403" w:type="pct"/>
                  <w:vAlign w:val="center"/>
                </w:tcPr>
                <w:p w14:paraId="249E795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336" w:type="pct"/>
                  <w:vAlign w:val="center"/>
                </w:tcPr>
                <w:p w14:paraId="7089A9F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417AE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0EB0A485">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31</w:t>
                  </w:r>
                </w:p>
              </w:tc>
              <w:tc>
                <w:tcPr>
                  <w:tcW w:w="692" w:type="pct"/>
                  <w:shd w:val="clear" w:color="auto" w:fill="auto"/>
                  <w:tcMar>
                    <w:top w:w="0" w:type="dxa"/>
                    <w:left w:w="108" w:type="dxa"/>
                    <w:bottom w:w="0" w:type="dxa"/>
                    <w:right w:w="108" w:type="dxa"/>
                  </w:tcMar>
                  <w:vAlign w:val="center"/>
                </w:tcPr>
                <w:p w14:paraId="5CC08B86">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光学相干断层扫描仪</w:t>
                  </w:r>
                </w:p>
              </w:tc>
              <w:tc>
                <w:tcPr>
                  <w:tcW w:w="657" w:type="pct"/>
                  <w:shd w:val="clear" w:color="auto" w:fill="auto"/>
                  <w:tcMar>
                    <w:top w:w="0" w:type="dxa"/>
                    <w:left w:w="108" w:type="dxa"/>
                    <w:bottom w:w="0" w:type="dxa"/>
                    <w:right w:w="108" w:type="dxa"/>
                  </w:tcMar>
                  <w:vAlign w:val="center"/>
                </w:tcPr>
                <w:p w14:paraId="00960C2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3DOCT-1</w:t>
                  </w:r>
                </w:p>
              </w:tc>
              <w:tc>
                <w:tcPr>
                  <w:tcW w:w="369" w:type="pct"/>
                  <w:shd w:val="clear" w:color="auto" w:fill="auto"/>
                  <w:tcMar>
                    <w:top w:w="0" w:type="dxa"/>
                    <w:left w:w="108" w:type="dxa"/>
                    <w:bottom w:w="0" w:type="dxa"/>
                    <w:right w:w="108" w:type="dxa"/>
                  </w:tcMar>
                  <w:vAlign w:val="center"/>
                </w:tcPr>
                <w:p w14:paraId="6D7B78BD">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3E8AE326">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E6D397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76</w:t>
                  </w:r>
                </w:p>
              </w:tc>
              <w:tc>
                <w:tcPr>
                  <w:tcW w:w="747" w:type="pct"/>
                  <w:vAlign w:val="center"/>
                </w:tcPr>
                <w:p w14:paraId="0C74230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全自动细菌鉴定及药敏分析系统</w:t>
                  </w:r>
                </w:p>
              </w:tc>
              <w:tc>
                <w:tcPr>
                  <w:tcW w:w="947" w:type="pct"/>
                  <w:vAlign w:val="center"/>
                </w:tcPr>
                <w:p w14:paraId="064FFD7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VITEK2Compact</w:t>
                  </w:r>
                </w:p>
              </w:tc>
              <w:tc>
                <w:tcPr>
                  <w:tcW w:w="403" w:type="pct"/>
                  <w:vAlign w:val="center"/>
                </w:tcPr>
                <w:p w14:paraId="657771C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D63883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0752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0BE3C21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32</w:t>
                  </w:r>
                </w:p>
              </w:tc>
              <w:tc>
                <w:tcPr>
                  <w:tcW w:w="692" w:type="pct"/>
                  <w:shd w:val="clear" w:color="auto" w:fill="auto"/>
                  <w:tcMar>
                    <w:top w:w="0" w:type="dxa"/>
                    <w:left w:w="108" w:type="dxa"/>
                    <w:bottom w:w="0" w:type="dxa"/>
                    <w:right w:w="108" w:type="dxa"/>
                  </w:tcMar>
                  <w:vAlign w:val="center"/>
                </w:tcPr>
                <w:p w14:paraId="15555D22">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氦氖激光治疗仪</w:t>
                  </w:r>
                </w:p>
              </w:tc>
              <w:tc>
                <w:tcPr>
                  <w:tcW w:w="657" w:type="pct"/>
                  <w:shd w:val="clear" w:color="auto" w:fill="auto"/>
                  <w:tcMar>
                    <w:top w:w="0" w:type="dxa"/>
                    <w:left w:w="108" w:type="dxa"/>
                    <w:bottom w:w="0" w:type="dxa"/>
                    <w:right w:w="108" w:type="dxa"/>
                  </w:tcMar>
                  <w:vAlign w:val="center"/>
                </w:tcPr>
                <w:p w14:paraId="36149383">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JH30</w:t>
                  </w:r>
                </w:p>
              </w:tc>
              <w:tc>
                <w:tcPr>
                  <w:tcW w:w="369" w:type="pct"/>
                  <w:shd w:val="clear" w:color="auto" w:fill="auto"/>
                  <w:tcMar>
                    <w:top w:w="0" w:type="dxa"/>
                    <w:left w:w="108" w:type="dxa"/>
                    <w:bottom w:w="0" w:type="dxa"/>
                    <w:right w:w="108" w:type="dxa"/>
                  </w:tcMar>
                  <w:vAlign w:val="center"/>
                </w:tcPr>
                <w:p w14:paraId="79685226">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15</w:t>
                  </w:r>
                </w:p>
              </w:tc>
              <w:tc>
                <w:tcPr>
                  <w:tcW w:w="315" w:type="pct"/>
                  <w:shd w:val="clear" w:color="auto" w:fill="auto"/>
                  <w:tcMar>
                    <w:top w:w="0" w:type="dxa"/>
                    <w:left w:w="108" w:type="dxa"/>
                    <w:bottom w:w="0" w:type="dxa"/>
                    <w:right w:w="108" w:type="dxa"/>
                  </w:tcMar>
                  <w:vAlign w:val="center"/>
                </w:tcPr>
                <w:p w14:paraId="4E131FB2">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069BD2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77</w:t>
                  </w:r>
                </w:p>
              </w:tc>
              <w:tc>
                <w:tcPr>
                  <w:tcW w:w="747" w:type="pct"/>
                  <w:vAlign w:val="center"/>
                </w:tcPr>
                <w:p w14:paraId="4691167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TCT液基细胞制片染色机</w:t>
                  </w:r>
                </w:p>
              </w:tc>
              <w:tc>
                <w:tcPr>
                  <w:tcW w:w="947" w:type="pct"/>
                  <w:vAlign w:val="center"/>
                </w:tcPr>
                <w:p w14:paraId="39B7609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DC-4824</w:t>
                  </w:r>
                </w:p>
              </w:tc>
              <w:tc>
                <w:tcPr>
                  <w:tcW w:w="403" w:type="pct"/>
                  <w:vAlign w:val="center"/>
                </w:tcPr>
                <w:p w14:paraId="0B00232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6A909CB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0902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4DD7EB9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33</w:t>
                  </w:r>
                </w:p>
              </w:tc>
              <w:tc>
                <w:tcPr>
                  <w:tcW w:w="692" w:type="pct"/>
                  <w:shd w:val="clear" w:color="auto" w:fill="auto"/>
                  <w:tcMar>
                    <w:top w:w="0" w:type="dxa"/>
                    <w:left w:w="108" w:type="dxa"/>
                    <w:bottom w:w="0" w:type="dxa"/>
                    <w:right w:w="108" w:type="dxa"/>
                  </w:tcMar>
                  <w:vAlign w:val="center"/>
                </w:tcPr>
                <w:p w14:paraId="7B439C27">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呼吸机</w:t>
                  </w:r>
                </w:p>
              </w:tc>
              <w:tc>
                <w:tcPr>
                  <w:tcW w:w="657" w:type="pct"/>
                  <w:shd w:val="clear" w:color="auto" w:fill="auto"/>
                  <w:tcMar>
                    <w:top w:w="0" w:type="dxa"/>
                    <w:left w:w="108" w:type="dxa"/>
                    <w:bottom w:w="0" w:type="dxa"/>
                    <w:right w:w="108" w:type="dxa"/>
                  </w:tcMar>
                  <w:vAlign w:val="center"/>
                </w:tcPr>
                <w:p w14:paraId="203B16A7">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SERVO-S</w:t>
                  </w:r>
                </w:p>
              </w:tc>
              <w:tc>
                <w:tcPr>
                  <w:tcW w:w="369" w:type="pct"/>
                  <w:shd w:val="clear" w:color="auto" w:fill="auto"/>
                  <w:tcMar>
                    <w:top w:w="0" w:type="dxa"/>
                    <w:left w:w="108" w:type="dxa"/>
                    <w:bottom w:w="0" w:type="dxa"/>
                    <w:right w:w="108" w:type="dxa"/>
                  </w:tcMar>
                  <w:vAlign w:val="center"/>
                </w:tcPr>
                <w:p w14:paraId="7527CB61">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11</w:t>
                  </w:r>
                </w:p>
              </w:tc>
              <w:tc>
                <w:tcPr>
                  <w:tcW w:w="315" w:type="pct"/>
                  <w:shd w:val="clear" w:color="auto" w:fill="auto"/>
                  <w:tcMar>
                    <w:top w:w="0" w:type="dxa"/>
                    <w:left w:w="108" w:type="dxa"/>
                    <w:bottom w:w="0" w:type="dxa"/>
                    <w:right w:w="108" w:type="dxa"/>
                  </w:tcMar>
                  <w:vAlign w:val="center"/>
                </w:tcPr>
                <w:p w14:paraId="04FE3677">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55743CA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78</w:t>
                  </w:r>
                </w:p>
              </w:tc>
              <w:tc>
                <w:tcPr>
                  <w:tcW w:w="747" w:type="pct"/>
                  <w:vAlign w:val="center"/>
                </w:tcPr>
                <w:p w14:paraId="7116655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HPV分型检测系统</w:t>
                  </w:r>
                </w:p>
              </w:tc>
              <w:tc>
                <w:tcPr>
                  <w:tcW w:w="947" w:type="pct"/>
                  <w:vAlign w:val="center"/>
                </w:tcPr>
                <w:p w14:paraId="6ED01FA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BHF-VI</w:t>
                  </w:r>
                </w:p>
              </w:tc>
              <w:tc>
                <w:tcPr>
                  <w:tcW w:w="403" w:type="pct"/>
                  <w:vAlign w:val="center"/>
                </w:tcPr>
                <w:p w14:paraId="0BB737F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5DBC9C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797D3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56D8495">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34</w:t>
                  </w:r>
                </w:p>
              </w:tc>
              <w:tc>
                <w:tcPr>
                  <w:tcW w:w="692" w:type="pct"/>
                  <w:shd w:val="clear" w:color="auto" w:fill="auto"/>
                  <w:tcMar>
                    <w:top w:w="0" w:type="dxa"/>
                    <w:left w:w="108" w:type="dxa"/>
                    <w:bottom w:w="0" w:type="dxa"/>
                    <w:right w:w="108" w:type="dxa"/>
                  </w:tcMar>
                  <w:vAlign w:val="center"/>
                </w:tcPr>
                <w:p w14:paraId="4C96041B">
                  <w:pPr>
                    <w:adjustRightInd w:val="0"/>
                    <w:snapToGrid w:val="0"/>
                    <w:spacing w:line="240" w:lineRule="auto"/>
                    <w:ind w:firstLine="0" w:firstLineChars="0"/>
                    <w:jc w:val="center"/>
                    <w:textAlignment w:val="center"/>
                    <w:rPr>
                      <w:rFonts w:hint="eastAsia" w:ascii="宋体" w:hAnsi="宋体" w:eastAsia="宋体" w:cs="宋体"/>
                      <w:bCs/>
                      <w:color w:val="auto"/>
                      <w:sz w:val="21"/>
                      <w:szCs w:val="21"/>
                    </w:rPr>
                  </w:pPr>
                  <w:r>
                    <w:rPr>
                      <w:rFonts w:hint="eastAsia" w:ascii="宋体" w:hAnsi="宋体" w:eastAsia="宋体" w:cs="宋体"/>
                      <w:color w:val="auto"/>
                      <w:sz w:val="21"/>
                      <w:szCs w:val="21"/>
                    </w:rPr>
                    <w:t>经颅多普勒</w:t>
                  </w:r>
                </w:p>
              </w:tc>
              <w:tc>
                <w:tcPr>
                  <w:tcW w:w="657" w:type="pct"/>
                  <w:shd w:val="clear" w:color="auto" w:fill="auto"/>
                  <w:tcMar>
                    <w:top w:w="0" w:type="dxa"/>
                    <w:left w:w="108" w:type="dxa"/>
                    <w:bottom w:w="0" w:type="dxa"/>
                    <w:right w:w="108" w:type="dxa"/>
                  </w:tcMar>
                  <w:vAlign w:val="center"/>
                </w:tcPr>
                <w:p w14:paraId="1027C64D">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JYQ-TCD2000</w:t>
                  </w:r>
                </w:p>
              </w:tc>
              <w:tc>
                <w:tcPr>
                  <w:tcW w:w="369" w:type="pct"/>
                  <w:shd w:val="clear" w:color="auto" w:fill="auto"/>
                  <w:tcMar>
                    <w:top w:w="0" w:type="dxa"/>
                    <w:left w:w="108" w:type="dxa"/>
                    <w:bottom w:w="0" w:type="dxa"/>
                    <w:right w:w="108" w:type="dxa"/>
                  </w:tcMar>
                  <w:vAlign w:val="center"/>
                </w:tcPr>
                <w:p w14:paraId="6F1085A0">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6DAB375A">
                  <w:pPr>
                    <w:widowControl/>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0D7B5E6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79</w:t>
                  </w:r>
                </w:p>
              </w:tc>
              <w:tc>
                <w:tcPr>
                  <w:tcW w:w="747" w:type="pct"/>
                  <w:vAlign w:val="center"/>
                </w:tcPr>
                <w:p w14:paraId="0C64B06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冰冻切片机</w:t>
                  </w:r>
                </w:p>
              </w:tc>
              <w:tc>
                <w:tcPr>
                  <w:tcW w:w="947" w:type="pct"/>
                  <w:vAlign w:val="center"/>
                </w:tcPr>
                <w:p w14:paraId="47B650B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CM1950S</w:t>
                  </w:r>
                </w:p>
              </w:tc>
              <w:tc>
                <w:tcPr>
                  <w:tcW w:w="403" w:type="pct"/>
                  <w:vAlign w:val="center"/>
                </w:tcPr>
                <w:p w14:paraId="78E90BF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5FD88AF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09D9E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291ACF1A">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35</w:t>
                  </w:r>
                </w:p>
              </w:tc>
              <w:tc>
                <w:tcPr>
                  <w:tcW w:w="692" w:type="pct"/>
                  <w:shd w:val="clear" w:color="auto" w:fill="auto"/>
                  <w:tcMar>
                    <w:top w:w="0" w:type="dxa"/>
                    <w:left w:w="108" w:type="dxa"/>
                    <w:bottom w:w="0" w:type="dxa"/>
                    <w:right w:w="108" w:type="dxa"/>
                  </w:tcMar>
                  <w:vAlign w:val="center"/>
                </w:tcPr>
                <w:p w14:paraId="5703CB73">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临床诊断型听力计</w:t>
                  </w:r>
                </w:p>
              </w:tc>
              <w:tc>
                <w:tcPr>
                  <w:tcW w:w="657" w:type="pct"/>
                  <w:shd w:val="clear" w:color="auto" w:fill="auto"/>
                  <w:tcMar>
                    <w:top w:w="0" w:type="dxa"/>
                    <w:left w:w="108" w:type="dxa"/>
                    <w:bottom w:w="0" w:type="dxa"/>
                    <w:right w:w="108" w:type="dxa"/>
                  </w:tcMar>
                  <w:vAlign w:val="center"/>
                </w:tcPr>
                <w:p w14:paraId="2CCFEE5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AD104</w:t>
                  </w:r>
                </w:p>
              </w:tc>
              <w:tc>
                <w:tcPr>
                  <w:tcW w:w="369" w:type="pct"/>
                  <w:shd w:val="clear" w:color="auto" w:fill="auto"/>
                  <w:tcMar>
                    <w:top w:w="0" w:type="dxa"/>
                    <w:left w:w="108" w:type="dxa"/>
                    <w:bottom w:w="0" w:type="dxa"/>
                    <w:right w:w="108" w:type="dxa"/>
                  </w:tcMar>
                  <w:vAlign w:val="center"/>
                </w:tcPr>
                <w:p w14:paraId="7DE32DD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7E4385D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68F6F1B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80</w:t>
                  </w:r>
                </w:p>
              </w:tc>
              <w:tc>
                <w:tcPr>
                  <w:tcW w:w="747" w:type="pct"/>
                  <w:vAlign w:val="center"/>
                </w:tcPr>
                <w:p w14:paraId="7399FFB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彩色多普勒超声诊断仪（心脏）</w:t>
                  </w:r>
                </w:p>
              </w:tc>
              <w:tc>
                <w:tcPr>
                  <w:tcW w:w="947" w:type="pct"/>
                  <w:vAlign w:val="center"/>
                </w:tcPr>
                <w:p w14:paraId="6DA6CA0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EPIQ7C</w:t>
                  </w:r>
                </w:p>
              </w:tc>
              <w:tc>
                <w:tcPr>
                  <w:tcW w:w="403" w:type="pct"/>
                  <w:vAlign w:val="center"/>
                </w:tcPr>
                <w:p w14:paraId="14B6C8B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7020C5C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2ED44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66D732F4">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36</w:t>
                  </w:r>
                </w:p>
              </w:tc>
              <w:tc>
                <w:tcPr>
                  <w:tcW w:w="692" w:type="pct"/>
                  <w:shd w:val="clear" w:color="auto" w:fill="auto"/>
                  <w:tcMar>
                    <w:top w:w="0" w:type="dxa"/>
                    <w:left w:w="108" w:type="dxa"/>
                    <w:bottom w:w="0" w:type="dxa"/>
                    <w:right w:w="108" w:type="dxa"/>
                  </w:tcMar>
                  <w:vAlign w:val="center"/>
                </w:tcPr>
                <w:p w14:paraId="42E027F3">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脑电采集系统</w:t>
                  </w:r>
                </w:p>
              </w:tc>
              <w:tc>
                <w:tcPr>
                  <w:tcW w:w="657" w:type="pct"/>
                  <w:shd w:val="clear" w:color="auto" w:fill="auto"/>
                  <w:tcMar>
                    <w:top w:w="0" w:type="dxa"/>
                    <w:left w:w="108" w:type="dxa"/>
                    <w:bottom w:w="0" w:type="dxa"/>
                    <w:right w:w="108" w:type="dxa"/>
                  </w:tcMar>
                  <w:vAlign w:val="center"/>
                </w:tcPr>
                <w:p w14:paraId="3849B28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NicoletEEG</w:t>
                  </w:r>
                </w:p>
              </w:tc>
              <w:tc>
                <w:tcPr>
                  <w:tcW w:w="369" w:type="pct"/>
                  <w:shd w:val="clear" w:color="auto" w:fill="auto"/>
                  <w:tcMar>
                    <w:top w:w="0" w:type="dxa"/>
                    <w:left w:w="108" w:type="dxa"/>
                    <w:bottom w:w="0" w:type="dxa"/>
                    <w:right w:w="108" w:type="dxa"/>
                  </w:tcMar>
                  <w:vAlign w:val="center"/>
                </w:tcPr>
                <w:p w14:paraId="6892CBF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4BED811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5F13CF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81</w:t>
                  </w:r>
                </w:p>
              </w:tc>
              <w:tc>
                <w:tcPr>
                  <w:tcW w:w="747" w:type="pct"/>
                  <w:vAlign w:val="center"/>
                </w:tcPr>
                <w:p w14:paraId="6289179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彩色多普勒超声诊断仪</w:t>
                  </w:r>
                </w:p>
              </w:tc>
              <w:tc>
                <w:tcPr>
                  <w:tcW w:w="947" w:type="pct"/>
                  <w:vAlign w:val="center"/>
                </w:tcPr>
                <w:p w14:paraId="34AD601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ViVidS6</w:t>
                  </w:r>
                </w:p>
              </w:tc>
              <w:tc>
                <w:tcPr>
                  <w:tcW w:w="403" w:type="pct"/>
                  <w:vAlign w:val="center"/>
                </w:tcPr>
                <w:p w14:paraId="5FA645B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448AAB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C481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783E78F">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37</w:t>
                  </w:r>
                </w:p>
              </w:tc>
              <w:tc>
                <w:tcPr>
                  <w:tcW w:w="692" w:type="pct"/>
                  <w:shd w:val="clear" w:color="auto" w:fill="auto"/>
                  <w:tcMar>
                    <w:top w:w="0" w:type="dxa"/>
                    <w:left w:w="108" w:type="dxa"/>
                    <w:bottom w:w="0" w:type="dxa"/>
                    <w:right w:w="108" w:type="dxa"/>
                  </w:tcMar>
                  <w:vAlign w:val="center"/>
                </w:tcPr>
                <w:p w14:paraId="69915081">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脑电图仪</w:t>
                  </w:r>
                </w:p>
              </w:tc>
              <w:tc>
                <w:tcPr>
                  <w:tcW w:w="657" w:type="pct"/>
                  <w:shd w:val="clear" w:color="auto" w:fill="auto"/>
                  <w:tcMar>
                    <w:top w:w="0" w:type="dxa"/>
                    <w:left w:w="108" w:type="dxa"/>
                    <w:bottom w:w="0" w:type="dxa"/>
                    <w:right w:w="108" w:type="dxa"/>
                  </w:tcMar>
                  <w:vAlign w:val="center"/>
                </w:tcPr>
                <w:p w14:paraId="3038CF0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V32</w:t>
                  </w:r>
                </w:p>
              </w:tc>
              <w:tc>
                <w:tcPr>
                  <w:tcW w:w="369" w:type="pct"/>
                  <w:shd w:val="clear" w:color="auto" w:fill="auto"/>
                  <w:tcMar>
                    <w:top w:w="0" w:type="dxa"/>
                    <w:left w:w="108" w:type="dxa"/>
                    <w:bottom w:w="0" w:type="dxa"/>
                    <w:right w:w="108" w:type="dxa"/>
                  </w:tcMar>
                  <w:vAlign w:val="center"/>
                </w:tcPr>
                <w:p w14:paraId="0E43B69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26E0D20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46EA8B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82</w:t>
                  </w:r>
                </w:p>
              </w:tc>
              <w:tc>
                <w:tcPr>
                  <w:tcW w:w="747" w:type="pct"/>
                  <w:vAlign w:val="center"/>
                </w:tcPr>
                <w:p w14:paraId="3F61F6B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彩色多普勒超声诊断仪（妇产）</w:t>
                  </w:r>
                </w:p>
              </w:tc>
              <w:tc>
                <w:tcPr>
                  <w:tcW w:w="947" w:type="pct"/>
                  <w:vAlign w:val="center"/>
                </w:tcPr>
                <w:p w14:paraId="0DEED1F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VolusonE10</w:t>
                  </w:r>
                </w:p>
              </w:tc>
              <w:tc>
                <w:tcPr>
                  <w:tcW w:w="403" w:type="pct"/>
                  <w:vAlign w:val="center"/>
                </w:tcPr>
                <w:p w14:paraId="511B5DA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573F942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419CC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03BD3700">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38</w:t>
                  </w:r>
                </w:p>
              </w:tc>
              <w:tc>
                <w:tcPr>
                  <w:tcW w:w="692" w:type="pct"/>
                  <w:shd w:val="clear" w:color="auto" w:fill="auto"/>
                  <w:tcMar>
                    <w:top w:w="0" w:type="dxa"/>
                    <w:left w:w="108" w:type="dxa"/>
                    <w:bottom w:w="0" w:type="dxa"/>
                    <w:right w:w="108" w:type="dxa"/>
                  </w:tcMar>
                  <w:vAlign w:val="center"/>
                </w:tcPr>
                <w:p w14:paraId="090751A5">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手术显微镜</w:t>
                  </w:r>
                </w:p>
              </w:tc>
              <w:tc>
                <w:tcPr>
                  <w:tcW w:w="657" w:type="pct"/>
                  <w:shd w:val="clear" w:color="auto" w:fill="auto"/>
                  <w:tcMar>
                    <w:top w:w="0" w:type="dxa"/>
                    <w:left w:w="108" w:type="dxa"/>
                    <w:bottom w:w="0" w:type="dxa"/>
                    <w:right w:w="108" w:type="dxa"/>
                  </w:tcMar>
                  <w:vAlign w:val="center"/>
                </w:tcPr>
                <w:p w14:paraId="591F600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OMS-90</w:t>
                  </w:r>
                </w:p>
              </w:tc>
              <w:tc>
                <w:tcPr>
                  <w:tcW w:w="369" w:type="pct"/>
                  <w:shd w:val="clear" w:color="auto" w:fill="auto"/>
                  <w:tcMar>
                    <w:top w:w="0" w:type="dxa"/>
                    <w:left w:w="108" w:type="dxa"/>
                    <w:bottom w:w="0" w:type="dxa"/>
                    <w:right w:w="108" w:type="dxa"/>
                  </w:tcMar>
                  <w:vAlign w:val="center"/>
                </w:tcPr>
                <w:p w14:paraId="2777A08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44B7840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0DDE48B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83</w:t>
                  </w:r>
                </w:p>
              </w:tc>
              <w:tc>
                <w:tcPr>
                  <w:tcW w:w="747" w:type="pct"/>
                  <w:vAlign w:val="center"/>
                </w:tcPr>
                <w:p w14:paraId="485B01E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X射线断层诊断设备（64排CT）</w:t>
                  </w:r>
                </w:p>
              </w:tc>
              <w:tc>
                <w:tcPr>
                  <w:tcW w:w="947" w:type="pct"/>
                  <w:vAlign w:val="center"/>
                </w:tcPr>
                <w:p w14:paraId="1068247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BrillianceCT64Slice</w:t>
                  </w:r>
                </w:p>
              </w:tc>
              <w:tc>
                <w:tcPr>
                  <w:tcW w:w="403" w:type="pct"/>
                  <w:vAlign w:val="center"/>
                </w:tcPr>
                <w:p w14:paraId="47C8BF8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995453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53A83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4E96A62E">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39</w:t>
                  </w:r>
                </w:p>
              </w:tc>
              <w:tc>
                <w:tcPr>
                  <w:tcW w:w="692" w:type="pct"/>
                  <w:shd w:val="clear" w:color="auto" w:fill="auto"/>
                  <w:tcMar>
                    <w:top w:w="0" w:type="dxa"/>
                    <w:left w:w="108" w:type="dxa"/>
                    <w:bottom w:w="0" w:type="dxa"/>
                    <w:right w:w="108" w:type="dxa"/>
                  </w:tcMar>
                  <w:vAlign w:val="center"/>
                </w:tcPr>
                <w:p w14:paraId="6DF74195">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数字震动感觉阈值检测仪</w:t>
                  </w:r>
                </w:p>
              </w:tc>
              <w:tc>
                <w:tcPr>
                  <w:tcW w:w="657" w:type="pct"/>
                  <w:shd w:val="clear" w:color="auto" w:fill="auto"/>
                  <w:tcMar>
                    <w:top w:w="0" w:type="dxa"/>
                    <w:left w:w="108" w:type="dxa"/>
                    <w:bottom w:w="0" w:type="dxa"/>
                    <w:right w:w="108" w:type="dxa"/>
                  </w:tcMar>
                  <w:vAlign w:val="center"/>
                </w:tcPr>
                <w:p w14:paraId="3201F44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SensiometerA200</w:t>
                  </w:r>
                </w:p>
              </w:tc>
              <w:tc>
                <w:tcPr>
                  <w:tcW w:w="369" w:type="pct"/>
                  <w:shd w:val="clear" w:color="auto" w:fill="auto"/>
                  <w:tcMar>
                    <w:top w:w="0" w:type="dxa"/>
                    <w:left w:w="108" w:type="dxa"/>
                    <w:bottom w:w="0" w:type="dxa"/>
                    <w:right w:w="108" w:type="dxa"/>
                  </w:tcMar>
                  <w:vAlign w:val="center"/>
                </w:tcPr>
                <w:p w14:paraId="1218663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6FFEF87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D3B521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84</w:t>
                  </w:r>
                </w:p>
              </w:tc>
              <w:tc>
                <w:tcPr>
                  <w:tcW w:w="747" w:type="pct"/>
                  <w:vAlign w:val="center"/>
                </w:tcPr>
                <w:p w14:paraId="2F6274F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X射线断层诊断设备（64排CT）</w:t>
                  </w:r>
                </w:p>
              </w:tc>
              <w:tc>
                <w:tcPr>
                  <w:tcW w:w="947" w:type="pct"/>
                  <w:vAlign w:val="center"/>
                </w:tcPr>
                <w:p w14:paraId="758B8E2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IncisiveCTPlus</w:t>
                  </w:r>
                </w:p>
              </w:tc>
              <w:tc>
                <w:tcPr>
                  <w:tcW w:w="403" w:type="pct"/>
                  <w:vAlign w:val="center"/>
                </w:tcPr>
                <w:p w14:paraId="25FE8CE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47DE482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E87B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3C399BA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40</w:t>
                  </w:r>
                </w:p>
              </w:tc>
              <w:tc>
                <w:tcPr>
                  <w:tcW w:w="692" w:type="pct"/>
                  <w:shd w:val="clear" w:color="auto" w:fill="auto"/>
                  <w:tcMar>
                    <w:top w:w="0" w:type="dxa"/>
                    <w:left w:w="108" w:type="dxa"/>
                    <w:bottom w:w="0" w:type="dxa"/>
                    <w:right w:w="108" w:type="dxa"/>
                  </w:tcMar>
                  <w:vAlign w:val="center"/>
                </w:tcPr>
                <w:p w14:paraId="6A027856">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双能X射线骨密度仪</w:t>
                  </w:r>
                </w:p>
              </w:tc>
              <w:tc>
                <w:tcPr>
                  <w:tcW w:w="657" w:type="pct"/>
                  <w:shd w:val="clear" w:color="auto" w:fill="auto"/>
                  <w:tcMar>
                    <w:top w:w="0" w:type="dxa"/>
                    <w:left w:w="108" w:type="dxa"/>
                    <w:bottom w:w="0" w:type="dxa"/>
                    <w:right w:w="108" w:type="dxa"/>
                  </w:tcMar>
                  <w:vAlign w:val="center"/>
                </w:tcPr>
                <w:p w14:paraId="4074D9F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KD-GRAND</w:t>
                  </w:r>
                </w:p>
              </w:tc>
              <w:tc>
                <w:tcPr>
                  <w:tcW w:w="369" w:type="pct"/>
                  <w:shd w:val="clear" w:color="auto" w:fill="auto"/>
                  <w:tcMar>
                    <w:top w:w="0" w:type="dxa"/>
                    <w:left w:w="108" w:type="dxa"/>
                    <w:bottom w:w="0" w:type="dxa"/>
                    <w:right w:w="108" w:type="dxa"/>
                  </w:tcMar>
                  <w:vAlign w:val="center"/>
                </w:tcPr>
                <w:p w14:paraId="340A71A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7DE55D6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CA51A02">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85</w:t>
                  </w:r>
                </w:p>
              </w:tc>
              <w:tc>
                <w:tcPr>
                  <w:tcW w:w="747" w:type="pct"/>
                  <w:vAlign w:val="center"/>
                </w:tcPr>
                <w:p w14:paraId="18288A7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1.5T磁共振成像系统</w:t>
                  </w:r>
                </w:p>
              </w:tc>
              <w:tc>
                <w:tcPr>
                  <w:tcW w:w="947" w:type="pct"/>
                  <w:vAlign w:val="center"/>
                </w:tcPr>
                <w:p w14:paraId="7DA9FEB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SIGNAVoyager</w:t>
                  </w:r>
                </w:p>
              </w:tc>
              <w:tc>
                <w:tcPr>
                  <w:tcW w:w="403" w:type="pct"/>
                  <w:vAlign w:val="center"/>
                </w:tcPr>
                <w:p w14:paraId="1D5CFEA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38944F25">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4B8B1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481C1442">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41</w:t>
                  </w:r>
                </w:p>
              </w:tc>
              <w:tc>
                <w:tcPr>
                  <w:tcW w:w="692" w:type="pct"/>
                  <w:shd w:val="clear" w:color="auto" w:fill="auto"/>
                  <w:tcMar>
                    <w:top w:w="0" w:type="dxa"/>
                    <w:left w:w="108" w:type="dxa"/>
                    <w:bottom w:w="0" w:type="dxa"/>
                    <w:right w:w="108" w:type="dxa"/>
                  </w:tcMar>
                  <w:vAlign w:val="center"/>
                </w:tcPr>
                <w:p w14:paraId="16F456A3">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胎心监护仪</w:t>
                  </w:r>
                </w:p>
              </w:tc>
              <w:tc>
                <w:tcPr>
                  <w:tcW w:w="657" w:type="pct"/>
                  <w:shd w:val="clear" w:color="auto" w:fill="auto"/>
                  <w:tcMar>
                    <w:top w:w="0" w:type="dxa"/>
                    <w:left w:w="108" w:type="dxa"/>
                    <w:bottom w:w="0" w:type="dxa"/>
                    <w:right w:w="108" w:type="dxa"/>
                  </w:tcMar>
                  <w:vAlign w:val="center"/>
                </w:tcPr>
                <w:p w14:paraId="1400A88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CTG7</w:t>
                  </w:r>
                </w:p>
              </w:tc>
              <w:tc>
                <w:tcPr>
                  <w:tcW w:w="369" w:type="pct"/>
                  <w:shd w:val="clear" w:color="auto" w:fill="auto"/>
                  <w:tcMar>
                    <w:top w:w="0" w:type="dxa"/>
                    <w:left w:w="108" w:type="dxa"/>
                    <w:bottom w:w="0" w:type="dxa"/>
                    <w:right w:w="108" w:type="dxa"/>
                  </w:tcMar>
                  <w:vAlign w:val="center"/>
                </w:tcPr>
                <w:p w14:paraId="36D5BA5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w:t>
                  </w:r>
                </w:p>
              </w:tc>
              <w:tc>
                <w:tcPr>
                  <w:tcW w:w="315" w:type="pct"/>
                  <w:shd w:val="clear" w:color="auto" w:fill="auto"/>
                  <w:tcMar>
                    <w:top w:w="0" w:type="dxa"/>
                    <w:left w:w="108" w:type="dxa"/>
                    <w:bottom w:w="0" w:type="dxa"/>
                    <w:right w:w="108" w:type="dxa"/>
                  </w:tcMar>
                  <w:vAlign w:val="center"/>
                </w:tcPr>
                <w:p w14:paraId="3A813BC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5398D95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86</w:t>
                  </w:r>
                </w:p>
              </w:tc>
              <w:tc>
                <w:tcPr>
                  <w:tcW w:w="747" w:type="pct"/>
                  <w:vAlign w:val="center"/>
                </w:tcPr>
                <w:p w14:paraId="3DDF2CF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数字减影血管造影系统</w:t>
                  </w:r>
                </w:p>
              </w:tc>
              <w:tc>
                <w:tcPr>
                  <w:tcW w:w="947" w:type="pct"/>
                  <w:vAlign w:val="center"/>
                </w:tcPr>
                <w:p w14:paraId="73AD133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Azurion7M20</w:t>
                  </w:r>
                </w:p>
              </w:tc>
              <w:tc>
                <w:tcPr>
                  <w:tcW w:w="403" w:type="pct"/>
                  <w:vAlign w:val="center"/>
                </w:tcPr>
                <w:p w14:paraId="37C63D2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0C0AB0A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70FE4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0DBBA239">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42</w:t>
                  </w:r>
                </w:p>
              </w:tc>
              <w:tc>
                <w:tcPr>
                  <w:tcW w:w="692" w:type="pct"/>
                  <w:shd w:val="clear" w:color="auto" w:fill="auto"/>
                  <w:tcMar>
                    <w:top w:w="0" w:type="dxa"/>
                    <w:left w:w="108" w:type="dxa"/>
                    <w:bottom w:w="0" w:type="dxa"/>
                    <w:right w:w="108" w:type="dxa"/>
                  </w:tcMar>
                  <w:vAlign w:val="center"/>
                </w:tcPr>
                <w:p w14:paraId="4E82818E">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糖尿病足筛查诊断仪</w:t>
                  </w:r>
                </w:p>
              </w:tc>
              <w:tc>
                <w:tcPr>
                  <w:tcW w:w="657" w:type="pct"/>
                  <w:shd w:val="clear" w:color="auto" w:fill="auto"/>
                  <w:tcMar>
                    <w:top w:w="0" w:type="dxa"/>
                    <w:left w:w="108" w:type="dxa"/>
                    <w:bottom w:w="0" w:type="dxa"/>
                    <w:right w:w="108" w:type="dxa"/>
                  </w:tcMar>
                  <w:vAlign w:val="center"/>
                </w:tcPr>
                <w:p w14:paraId="68C6511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Handydop-Pro</w:t>
                  </w:r>
                </w:p>
              </w:tc>
              <w:tc>
                <w:tcPr>
                  <w:tcW w:w="369" w:type="pct"/>
                  <w:shd w:val="clear" w:color="auto" w:fill="auto"/>
                  <w:tcMar>
                    <w:top w:w="0" w:type="dxa"/>
                    <w:left w:w="108" w:type="dxa"/>
                    <w:bottom w:w="0" w:type="dxa"/>
                    <w:right w:w="108" w:type="dxa"/>
                  </w:tcMar>
                  <w:vAlign w:val="center"/>
                </w:tcPr>
                <w:p w14:paraId="0C33BB4B">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0F1BEF5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2C41051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87</w:t>
                  </w:r>
                </w:p>
              </w:tc>
              <w:tc>
                <w:tcPr>
                  <w:tcW w:w="747" w:type="pct"/>
                  <w:vAlign w:val="center"/>
                </w:tcPr>
                <w:p w14:paraId="45AA65EA">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医用数字X射线摄影系统（DR）</w:t>
                  </w:r>
                </w:p>
              </w:tc>
              <w:tc>
                <w:tcPr>
                  <w:tcW w:w="947" w:type="pct"/>
                  <w:vAlign w:val="center"/>
                </w:tcPr>
                <w:p w14:paraId="6DC52E8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新东方1000EB</w:t>
                  </w:r>
                </w:p>
              </w:tc>
              <w:tc>
                <w:tcPr>
                  <w:tcW w:w="403" w:type="pct"/>
                  <w:vAlign w:val="center"/>
                </w:tcPr>
                <w:p w14:paraId="4D96B880">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17951D3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38DEE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9DF41AB">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43</w:t>
                  </w:r>
                </w:p>
              </w:tc>
              <w:tc>
                <w:tcPr>
                  <w:tcW w:w="692" w:type="pct"/>
                  <w:shd w:val="clear" w:color="auto" w:fill="auto"/>
                  <w:tcMar>
                    <w:top w:w="0" w:type="dxa"/>
                    <w:left w:w="108" w:type="dxa"/>
                    <w:bottom w:w="0" w:type="dxa"/>
                    <w:right w:w="108" w:type="dxa"/>
                  </w:tcMar>
                  <w:vAlign w:val="center"/>
                </w:tcPr>
                <w:p w14:paraId="27D0C893">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体外冲击波碎石机</w:t>
                  </w:r>
                </w:p>
              </w:tc>
              <w:tc>
                <w:tcPr>
                  <w:tcW w:w="657" w:type="pct"/>
                  <w:shd w:val="clear" w:color="auto" w:fill="auto"/>
                  <w:tcMar>
                    <w:top w:w="0" w:type="dxa"/>
                    <w:left w:w="108" w:type="dxa"/>
                    <w:bottom w:w="0" w:type="dxa"/>
                    <w:right w:w="108" w:type="dxa"/>
                  </w:tcMar>
                  <w:vAlign w:val="center"/>
                </w:tcPr>
                <w:p w14:paraId="2BDB5B5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U200</w:t>
                  </w:r>
                </w:p>
              </w:tc>
              <w:tc>
                <w:tcPr>
                  <w:tcW w:w="369" w:type="pct"/>
                  <w:shd w:val="clear" w:color="auto" w:fill="auto"/>
                  <w:tcMar>
                    <w:top w:w="0" w:type="dxa"/>
                    <w:left w:w="108" w:type="dxa"/>
                    <w:bottom w:w="0" w:type="dxa"/>
                    <w:right w:w="108" w:type="dxa"/>
                  </w:tcMar>
                  <w:vAlign w:val="center"/>
                </w:tcPr>
                <w:p w14:paraId="0EE004BE">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15" w:type="pct"/>
                  <w:shd w:val="clear" w:color="auto" w:fill="auto"/>
                  <w:tcMar>
                    <w:top w:w="0" w:type="dxa"/>
                    <w:left w:w="108" w:type="dxa"/>
                    <w:bottom w:w="0" w:type="dxa"/>
                    <w:right w:w="108" w:type="dxa"/>
                  </w:tcMar>
                  <w:vAlign w:val="center"/>
                </w:tcPr>
                <w:p w14:paraId="53A895B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17A005C3">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88</w:t>
                  </w:r>
                </w:p>
              </w:tc>
              <w:tc>
                <w:tcPr>
                  <w:tcW w:w="747" w:type="pct"/>
                  <w:vAlign w:val="center"/>
                </w:tcPr>
                <w:p w14:paraId="2C814B0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医用数字X射线摄影系统（DR）</w:t>
                  </w:r>
                </w:p>
              </w:tc>
              <w:tc>
                <w:tcPr>
                  <w:tcW w:w="947" w:type="pct"/>
                  <w:vAlign w:val="center"/>
                </w:tcPr>
                <w:p w14:paraId="651C393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Definium6000Ш</w:t>
                  </w:r>
                </w:p>
              </w:tc>
              <w:tc>
                <w:tcPr>
                  <w:tcW w:w="403" w:type="pct"/>
                  <w:vAlign w:val="center"/>
                </w:tcPr>
                <w:p w14:paraId="5960BAC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00559BA6">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7980A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A569CD9">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44</w:t>
                  </w:r>
                </w:p>
              </w:tc>
              <w:tc>
                <w:tcPr>
                  <w:tcW w:w="692" w:type="pct"/>
                  <w:shd w:val="clear" w:color="auto" w:fill="auto"/>
                  <w:tcMar>
                    <w:top w:w="0" w:type="dxa"/>
                    <w:left w:w="108" w:type="dxa"/>
                    <w:bottom w:w="0" w:type="dxa"/>
                    <w:right w:w="108" w:type="dxa"/>
                  </w:tcMar>
                  <w:vAlign w:val="center"/>
                </w:tcPr>
                <w:p w14:paraId="6956FC26">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体外振动排痰机</w:t>
                  </w:r>
                </w:p>
              </w:tc>
              <w:tc>
                <w:tcPr>
                  <w:tcW w:w="657" w:type="pct"/>
                  <w:shd w:val="clear" w:color="auto" w:fill="auto"/>
                  <w:tcMar>
                    <w:top w:w="0" w:type="dxa"/>
                    <w:left w:w="108" w:type="dxa"/>
                    <w:bottom w:w="0" w:type="dxa"/>
                    <w:right w:w="108" w:type="dxa"/>
                  </w:tcMar>
                  <w:vAlign w:val="center"/>
                </w:tcPr>
                <w:p w14:paraId="6916D9F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YS8001</w:t>
                  </w:r>
                </w:p>
              </w:tc>
              <w:tc>
                <w:tcPr>
                  <w:tcW w:w="369" w:type="pct"/>
                  <w:shd w:val="clear" w:color="auto" w:fill="auto"/>
                  <w:tcMar>
                    <w:top w:w="0" w:type="dxa"/>
                    <w:left w:w="108" w:type="dxa"/>
                    <w:bottom w:w="0" w:type="dxa"/>
                    <w:right w:w="108" w:type="dxa"/>
                  </w:tcMar>
                  <w:vAlign w:val="center"/>
                </w:tcPr>
                <w:p w14:paraId="7A81FD1D">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p>
              </w:tc>
              <w:tc>
                <w:tcPr>
                  <w:tcW w:w="315" w:type="pct"/>
                  <w:shd w:val="clear" w:color="auto" w:fill="auto"/>
                  <w:tcMar>
                    <w:top w:w="0" w:type="dxa"/>
                    <w:left w:w="108" w:type="dxa"/>
                    <w:bottom w:w="0" w:type="dxa"/>
                    <w:right w:w="108" w:type="dxa"/>
                  </w:tcMar>
                  <w:vAlign w:val="center"/>
                </w:tcPr>
                <w:p w14:paraId="4AC0BB31">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BE7A03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89</w:t>
                  </w:r>
                </w:p>
              </w:tc>
              <w:tc>
                <w:tcPr>
                  <w:tcW w:w="747" w:type="pct"/>
                  <w:vAlign w:val="center"/>
                </w:tcPr>
                <w:p w14:paraId="63A1E3B4">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数字胃肠机</w:t>
                  </w:r>
                </w:p>
              </w:tc>
              <w:tc>
                <w:tcPr>
                  <w:tcW w:w="947" w:type="pct"/>
                  <w:vAlign w:val="center"/>
                </w:tcPr>
                <w:p w14:paraId="3EC1C58F">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FLEXAVISION</w:t>
                  </w:r>
                </w:p>
              </w:tc>
              <w:tc>
                <w:tcPr>
                  <w:tcW w:w="403" w:type="pct"/>
                  <w:vAlign w:val="center"/>
                </w:tcPr>
                <w:p w14:paraId="1772ACFC">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336" w:type="pct"/>
                  <w:vAlign w:val="center"/>
                </w:tcPr>
                <w:p w14:paraId="16C15349">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r>
            <w:tr w14:paraId="184AB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34" w:type="pct"/>
                  <w:shd w:val="clear" w:color="auto" w:fill="D7D7D7" w:themeFill="background1" w:themeFillShade="D8"/>
                  <w:tcMar>
                    <w:top w:w="0" w:type="dxa"/>
                    <w:left w:w="108" w:type="dxa"/>
                    <w:bottom w:w="0" w:type="dxa"/>
                    <w:right w:w="108" w:type="dxa"/>
                  </w:tcMar>
                  <w:vAlign w:val="center"/>
                </w:tcPr>
                <w:p w14:paraId="7FB4AFF0">
                  <w:pPr>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45</w:t>
                  </w:r>
                </w:p>
              </w:tc>
              <w:tc>
                <w:tcPr>
                  <w:tcW w:w="692" w:type="pct"/>
                  <w:shd w:val="clear" w:color="auto" w:fill="auto"/>
                  <w:tcMar>
                    <w:top w:w="0" w:type="dxa"/>
                    <w:left w:w="108" w:type="dxa"/>
                    <w:bottom w:w="0" w:type="dxa"/>
                    <w:right w:w="108" w:type="dxa"/>
                  </w:tcMar>
                  <w:vAlign w:val="center"/>
                </w:tcPr>
                <w:p w14:paraId="3ACC4296">
                  <w:pPr>
                    <w:adjustRightInd w:val="0"/>
                    <w:snapToGrid w:val="0"/>
                    <w:spacing w:line="240" w:lineRule="auto"/>
                    <w:ind w:firstLine="0" w:firstLineChars="0"/>
                    <w:jc w:val="center"/>
                    <w:textAlignment w:val="center"/>
                    <w:rPr>
                      <w:rFonts w:hint="eastAsia" w:ascii="宋体" w:hAnsi="宋体" w:eastAsia="宋体" w:cs="宋体"/>
                      <w:color w:val="auto"/>
                      <w:sz w:val="21"/>
                      <w:szCs w:val="21"/>
                    </w:rPr>
                  </w:pPr>
                  <w:r>
                    <w:rPr>
                      <w:rFonts w:hint="eastAsia" w:ascii="宋体" w:hAnsi="宋体" w:eastAsia="宋体" w:cs="宋体"/>
                      <w:color w:val="auto"/>
                      <w:sz w:val="21"/>
                      <w:szCs w:val="21"/>
                    </w:rPr>
                    <w:t>心电监护仪（新生儿）</w:t>
                  </w:r>
                </w:p>
              </w:tc>
              <w:tc>
                <w:tcPr>
                  <w:tcW w:w="657" w:type="pct"/>
                  <w:shd w:val="clear" w:color="auto" w:fill="auto"/>
                  <w:tcMar>
                    <w:top w:w="0" w:type="dxa"/>
                    <w:left w:w="108" w:type="dxa"/>
                    <w:bottom w:w="0" w:type="dxa"/>
                    <w:right w:w="108" w:type="dxa"/>
                  </w:tcMar>
                  <w:vAlign w:val="center"/>
                </w:tcPr>
                <w:p w14:paraId="56E5D0D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CM100</w:t>
                  </w:r>
                </w:p>
              </w:tc>
              <w:tc>
                <w:tcPr>
                  <w:tcW w:w="369" w:type="pct"/>
                  <w:shd w:val="clear" w:color="auto" w:fill="auto"/>
                  <w:tcMar>
                    <w:top w:w="0" w:type="dxa"/>
                    <w:left w:w="108" w:type="dxa"/>
                    <w:bottom w:w="0" w:type="dxa"/>
                    <w:right w:w="108" w:type="dxa"/>
                  </w:tcMar>
                  <w:vAlign w:val="center"/>
                </w:tcPr>
                <w:p w14:paraId="61003A97">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315" w:type="pct"/>
                  <w:shd w:val="clear" w:color="auto" w:fill="auto"/>
                  <w:tcMar>
                    <w:top w:w="0" w:type="dxa"/>
                    <w:left w:w="108" w:type="dxa"/>
                    <w:bottom w:w="0" w:type="dxa"/>
                    <w:right w:w="108" w:type="dxa"/>
                  </w:tcMar>
                  <w:vAlign w:val="center"/>
                </w:tcPr>
                <w:p w14:paraId="5635F2C8">
                  <w:pPr>
                    <w:widowControl/>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台</w:t>
                  </w:r>
                </w:p>
              </w:tc>
              <w:tc>
                <w:tcPr>
                  <w:tcW w:w="297" w:type="pct"/>
                  <w:shd w:val="clear" w:color="auto" w:fill="D7D7D7" w:themeFill="background1" w:themeFillShade="D8"/>
                  <w:vAlign w:val="center"/>
                </w:tcPr>
                <w:p w14:paraId="36CFC92A">
                  <w:pPr>
                    <w:widowControl/>
                    <w:spacing w:line="240" w:lineRule="auto"/>
                    <w:ind w:firstLine="0" w:firstLineChars="0"/>
                    <w:jc w:val="center"/>
                    <w:rPr>
                      <w:rFonts w:hint="eastAsia" w:ascii="宋体" w:hAnsi="宋体" w:eastAsia="宋体" w:cs="宋体"/>
                      <w:color w:val="auto"/>
                      <w:sz w:val="21"/>
                      <w:szCs w:val="21"/>
                    </w:rPr>
                  </w:pPr>
                </w:p>
              </w:tc>
              <w:tc>
                <w:tcPr>
                  <w:tcW w:w="747" w:type="pct"/>
                  <w:vAlign w:val="center"/>
                </w:tcPr>
                <w:p w14:paraId="452F1454">
                  <w:pPr>
                    <w:widowControl/>
                    <w:spacing w:line="240" w:lineRule="auto"/>
                    <w:ind w:firstLine="0" w:firstLineChars="0"/>
                    <w:jc w:val="center"/>
                    <w:rPr>
                      <w:rFonts w:hint="eastAsia" w:ascii="宋体" w:hAnsi="宋体" w:eastAsia="宋体" w:cs="宋体"/>
                      <w:color w:val="auto"/>
                      <w:sz w:val="21"/>
                      <w:szCs w:val="21"/>
                    </w:rPr>
                  </w:pPr>
                </w:p>
              </w:tc>
              <w:tc>
                <w:tcPr>
                  <w:tcW w:w="947" w:type="pct"/>
                  <w:vAlign w:val="center"/>
                </w:tcPr>
                <w:p w14:paraId="42332633">
                  <w:pPr>
                    <w:widowControl/>
                    <w:spacing w:line="240" w:lineRule="auto"/>
                    <w:ind w:firstLine="0" w:firstLineChars="0"/>
                    <w:jc w:val="center"/>
                    <w:rPr>
                      <w:rFonts w:hint="eastAsia" w:ascii="宋体" w:hAnsi="宋体" w:eastAsia="宋体" w:cs="宋体"/>
                      <w:color w:val="auto"/>
                      <w:sz w:val="21"/>
                      <w:szCs w:val="21"/>
                    </w:rPr>
                  </w:pPr>
                </w:p>
              </w:tc>
              <w:tc>
                <w:tcPr>
                  <w:tcW w:w="403" w:type="pct"/>
                  <w:vAlign w:val="center"/>
                </w:tcPr>
                <w:p w14:paraId="770FBEFB">
                  <w:pPr>
                    <w:widowControl/>
                    <w:spacing w:line="240" w:lineRule="auto"/>
                    <w:ind w:firstLine="0" w:firstLineChars="0"/>
                    <w:jc w:val="center"/>
                    <w:rPr>
                      <w:rFonts w:hint="eastAsia" w:ascii="宋体" w:hAnsi="宋体" w:eastAsia="宋体" w:cs="宋体"/>
                      <w:color w:val="auto"/>
                      <w:sz w:val="21"/>
                      <w:szCs w:val="21"/>
                    </w:rPr>
                  </w:pPr>
                </w:p>
              </w:tc>
              <w:tc>
                <w:tcPr>
                  <w:tcW w:w="336" w:type="pct"/>
                  <w:vAlign w:val="center"/>
                </w:tcPr>
                <w:p w14:paraId="1938D96D">
                  <w:pPr>
                    <w:widowControl/>
                    <w:spacing w:line="240" w:lineRule="auto"/>
                    <w:ind w:firstLine="0" w:firstLineChars="0"/>
                    <w:jc w:val="center"/>
                    <w:rPr>
                      <w:rFonts w:hint="eastAsia" w:ascii="宋体" w:hAnsi="宋体" w:eastAsia="宋体" w:cs="宋体"/>
                      <w:color w:val="auto"/>
                      <w:sz w:val="21"/>
                      <w:szCs w:val="21"/>
                    </w:rPr>
                  </w:pPr>
                </w:p>
              </w:tc>
            </w:tr>
          </w:tbl>
          <w:p w14:paraId="6FE8754C">
            <w:pPr>
              <w:pStyle w:val="38"/>
              <w:rPr>
                <w:rFonts w:ascii="Times New Roman" w:hAnsi="Times New Roman" w:eastAsia="宋体"/>
                <w:b/>
                <w:bCs/>
                <w:color w:val="auto"/>
              </w:rPr>
            </w:pPr>
          </w:p>
          <w:p w14:paraId="711B0536">
            <w:pPr>
              <w:pStyle w:val="38"/>
              <w:rPr>
                <w:rFonts w:ascii="Times New Roman" w:hAnsi="Times New Roman" w:eastAsia="宋体"/>
                <w:b/>
                <w:bCs/>
                <w:color w:val="auto"/>
              </w:rPr>
            </w:pPr>
            <w:r>
              <w:rPr>
                <w:rFonts w:ascii="Times New Roman" w:hAnsi="Times New Roman" w:eastAsia="宋体"/>
                <w:b/>
                <w:bCs/>
                <w:color w:val="auto"/>
              </w:rPr>
              <w:t>表2-</w:t>
            </w:r>
            <w:r>
              <w:rPr>
                <w:rFonts w:hint="eastAsia" w:ascii="Times New Roman" w:hAnsi="Times New Roman" w:eastAsia="宋体"/>
                <w:b/>
                <w:bCs/>
                <w:color w:val="auto"/>
                <w:lang w:val="en-US" w:eastAsia="zh-CN"/>
              </w:rPr>
              <w:t>6江川区医共体总医院</w:t>
            </w:r>
            <w:r>
              <w:rPr>
                <w:rFonts w:ascii="Times New Roman" w:hAnsi="Times New Roman" w:eastAsia="宋体"/>
                <w:b/>
                <w:bCs/>
                <w:color w:val="auto"/>
              </w:rPr>
              <w:t>项目新增设备一览表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9"/>
              <w:gridCol w:w="1033"/>
              <w:gridCol w:w="1258"/>
              <w:gridCol w:w="474"/>
              <w:gridCol w:w="483"/>
              <w:gridCol w:w="472"/>
              <w:gridCol w:w="1248"/>
              <w:gridCol w:w="1086"/>
              <w:gridCol w:w="536"/>
              <w:gridCol w:w="572"/>
            </w:tblGrid>
            <w:tr w14:paraId="4062D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7" w:hRule="atLeast"/>
              </w:trPr>
              <w:tc>
                <w:tcPr>
                  <w:tcW w:w="5000" w:type="pct"/>
                  <w:gridSpan w:val="10"/>
                  <w:tcMar>
                    <w:top w:w="0" w:type="dxa"/>
                    <w:left w:w="108" w:type="dxa"/>
                    <w:bottom w:w="0" w:type="dxa"/>
                    <w:right w:w="108" w:type="dxa"/>
                  </w:tcMar>
                  <w:vAlign w:val="center"/>
                </w:tcPr>
                <w:p w14:paraId="1B24A79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val="0"/>
                      <w:color w:val="auto"/>
                      <w:sz w:val="21"/>
                      <w:szCs w:val="21"/>
                    </w:rPr>
                  </w:pPr>
                  <w:r>
                    <w:rPr>
                      <w:rFonts w:hint="eastAsia" w:ascii="宋体" w:hAnsi="宋体" w:eastAsia="宋体" w:cs="宋体"/>
                      <w:b/>
                      <w:bCs w:val="0"/>
                      <w:color w:val="auto"/>
                      <w:sz w:val="21"/>
                      <w:szCs w:val="21"/>
                      <w:lang w:val="en-US" w:eastAsia="zh-CN"/>
                    </w:rPr>
                    <w:t>新增设备从此行开始</w:t>
                  </w:r>
                </w:p>
              </w:tc>
            </w:tr>
            <w:tr w14:paraId="7B91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0FC7018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序号</w:t>
                  </w:r>
                </w:p>
              </w:tc>
              <w:tc>
                <w:tcPr>
                  <w:tcW w:w="682" w:type="pct"/>
                  <w:shd w:val="clear" w:color="auto" w:fill="auto"/>
                  <w:tcMar>
                    <w:top w:w="0" w:type="dxa"/>
                    <w:left w:w="108" w:type="dxa"/>
                    <w:bottom w:w="0" w:type="dxa"/>
                    <w:right w:w="108" w:type="dxa"/>
                  </w:tcMar>
                  <w:vAlign w:val="center"/>
                </w:tcPr>
                <w:p w14:paraId="7E19315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设备名称</w:t>
                  </w:r>
                </w:p>
              </w:tc>
              <w:tc>
                <w:tcPr>
                  <w:tcW w:w="831" w:type="pct"/>
                  <w:shd w:val="clear" w:color="auto" w:fill="auto"/>
                  <w:tcMar>
                    <w:top w:w="0" w:type="dxa"/>
                    <w:left w:w="108" w:type="dxa"/>
                    <w:bottom w:w="0" w:type="dxa"/>
                    <w:right w:w="108" w:type="dxa"/>
                  </w:tcMar>
                  <w:vAlign w:val="center"/>
                </w:tcPr>
                <w:p w14:paraId="5B38826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规格型号</w:t>
                  </w:r>
                </w:p>
              </w:tc>
              <w:tc>
                <w:tcPr>
                  <w:tcW w:w="313" w:type="pct"/>
                  <w:shd w:val="clear" w:color="auto" w:fill="auto"/>
                  <w:tcMar>
                    <w:top w:w="0" w:type="dxa"/>
                    <w:left w:w="108" w:type="dxa"/>
                    <w:bottom w:w="0" w:type="dxa"/>
                    <w:right w:w="108" w:type="dxa"/>
                  </w:tcMar>
                  <w:vAlign w:val="center"/>
                </w:tcPr>
                <w:p w14:paraId="4FA45C9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单位</w:t>
                  </w:r>
                </w:p>
              </w:tc>
              <w:tc>
                <w:tcPr>
                  <w:tcW w:w="319" w:type="pct"/>
                  <w:shd w:val="clear" w:color="auto" w:fill="auto"/>
                  <w:tcMar>
                    <w:top w:w="0" w:type="dxa"/>
                    <w:left w:w="108" w:type="dxa"/>
                    <w:bottom w:w="0" w:type="dxa"/>
                    <w:right w:w="108" w:type="dxa"/>
                  </w:tcMar>
                  <w:vAlign w:val="center"/>
                </w:tcPr>
                <w:p w14:paraId="250BBEC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数量</w:t>
                  </w:r>
                </w:p>
              </w:tc>
              <w:tc>
                <w:tcPr>
                  <w:tcW w:w="312" w:type="pct"/>
                  <w:shd w:val="clear" w:color="auto" w:fill="D7D7D7" w:themeFill="background1" w:themeFillShade="D8"/>
                  <w:vAlign w:val="center"/>
                </w:tcPr>
                <w:p w14:paraId="75CD40C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序</w:t>
                  </w:r>
                </w:p>
                <w:p w14:paraId="343BC24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号</w:t>
                  </w:r>
                </w:p>
              </w:tc>
              <w:tc>
                <w:tcPr>
                  <w:tcW w:w="824" w:type="pct"/>
                  <w:shd w:val="clear" w:color="auto" w:fill="auto"/>
                  <w:vAlign w:val="center"/>
                </w:tcPr>
                <w:p w14:paraId="0CD2C0A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设备名称</w:t>
                  </w:r>
                </w:p>
              </w:tc>
              <w:tc>
                <w:tcPr>
                  <w:tcW w:w="717" w:type="pct"/>
                  <w:shd w:val="clear" w:color="auto" w:fill="auto"/>
                  <w:vAlign w:val="center"/>
                </w:tcPr>
                <w:p w14:paraId="244F398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规格型号</w:t>
                  </w:r>
                </w:p>
              </w:tc>
              <w:tc>
                <w:tcPr>
                  <w:tcW w:w="354" w:type="pct"/>
                  <w:shd w:val="clear" w:color="auto" w:fill="auto"/>
                  <w:vAlign w:val="center"/>
                </w:tcPr>
                <w:p w14:paraId="6A91920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单</w:t>
                  </w:r>
                </w:p>
                <w:p w14:paraId="4BCF5D2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位</w:t>
                  </w:r>
                </w:p>
              </w:tc>
              <w:tc>
                <w:tcPr>
                  <w:tcW w:w="373" w:type="pct"/>
                  <w:shd w:val="clear" w:color="auto" w:fill="auto"/>
                  <w:vAlign w:val="center"/>
                </w:tcPr>
                <w:p w14:paraId="1C98EB9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rPr>
                  </w:pPr>
                  <w:r>
                    <w:rPr>
                      <w:rFonts w:hint="eastAsia" w:ascii="宋体" w:hAnsi="宋体" w:eastAsia="宋体" w:cs="宋体"/>
                      <w:b/>
                      <w:bCs/>
                      <w:color w:val="auto"/>
                      <w:kern w:val="0"/>
                      <w:sz w:val="21"/>
                      <w:szCs w:val="21"/>
                    </w:rPr>
                    <w:t>数</w:t>
                  </w:r>
                </w:p>
                <w:p w14:paraId="455FBD5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rPr>
                    <w:t>量</w:t>
                  </w:r>
                </w:p>
              </w:tc>
            </w:tr>
            <w:tr w14:paraId="4174D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02" w:hRule="atLeast"/>
              </w:trPr>
              <w:tc>
                <w:tcPr>
                  <w:tcW w:w="270" w:type="pct"/>
                  <w:shd w:val="clear" w:color="auto" w:fill="D7D7D7" w:themeFill="background1" w:themeFillShade="D8"/>
                  <w:tcMar>
                    <w:top w:w="0" w:type="dxa"/>
                    <w:left w:w="108" w:type="dxa"/>
                    <w:bottom w:w="0" w:type="dxa"/>
                    <w:right w:w="108" w:type="dxa"/>
                  </w:tcMar>
                  <w:vAlign w:val="center"/>
                </w:tcPr>
                <w:p w14:paraId="7E9D5A8E">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w:t>
                  </w:r>
                </w:p>
              </w:tc>
              <w:tc>
                <w:tcPr>
                  <w:tcW w:w="682" w:type="pct"/>
                  <w:shd w:val="clear" w:color="auto" w:fill="auto"/>
                  <w:tcMar>
                    <w:top w:w="0" w:type="dxa"/>
                    <w:left w:w="108" w:type="dxa"/>
                    <w:bottom w:w="0" w:type="dxa"/>
                    <w:right w:w="108" w:type="dxa"/>
                  </w:tcMar>
                  <w:vAlign w:val="center"/>
                </w:tcPr>
                <w:p w14:paraId="6A0B0A2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脉动真空灭菌器</w:t>
                  </w:r>
                </w:p>
              </w:tc>
              <w:tc>
                <w:tcPr>
                  <w:tcW w:w="831" w:type="pct"/>
                  <w:shd w:val="clear" w:color="auto" w:fill="auto"/>
                  <w:tcMar>
                    <w:top w:w="0" w:type="dxa"/>
                    <w:left w:w="108" w:type="dxa"/>
                    <w:bottom w:w="0" w:type="dxa"/>
                    <w:right w:w="108" w:type="dxa"/>
                  </w:tcMar>
                  <w:vAlign w:val="center"/>
                </w:tcPr>
                <w:p w14:paraId="74CDDF42">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MAST-A-1500SD-M1</w:t>
                  </w:r>
                </w:p>
              </w:tc>
              <w:tc>
                <w:tcPr>
                  <w:tcW w:w="313" w:type="pct"/>
                  <w:shd w:val="clear" w:color="auto" w:fill="auto"/>
                  <w:tcMar>
                    <w:top w:w="0" w:type="dxa"/>
                    <w:left w:w="108" w:type="dxa"/>
                    <w:bottom w:w="0" w:type="dxa"/>
                    <w:right w:w="108" w:type="dxa"/>
                  </w:tcMar>
                  <w:vAlign w:val="center"/>
                </w:tcPr>
                <w:p w14:paraId="0995AD8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33C9F99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312" w:type="pct"/>
                  <w:shd w:val="clear" w:color="auto" w:fill="D7D7D7" w:themeFill="background1" w:themeFillShade="D8"/>
                  <w:vAlign w:val="center"/>
                </w:tcPr>
                <w:p w14:paraId="6C5A3FA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w:t>
                  </w:r>
                </w:p>
              </w:tc>
              <w:tc>
                <w:tcPr>
                  <w:tcW w:w="824" w:type="pct"/>
                  <w:vAlign w:val="center"/>
                </w:tcPr>
                <w:p w14:paraId="21A478D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高效全自动清洗消毒器</w:t>
                  </w:r>
                </w:p>
              </w:tc>
              <w:tc>
                <w:tcPr>
                  <w:tcW w:w="717" w:type="pct"/>
                  <w:vAlign w:val="center"/>
                </w:tcPr>
                <w:p w14:paraId="0797856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Super6000</w:t>
                  </w:r>
                </w:p>
              </w:tc>
              <w:tc>
                <w:tcPr>
                  <w:tcW w:w="354" w:type="pct"/>
                  <w:vAlign w:val="center"/>
                </w:tcPr>
                <w:p w14:paraId="1EDB10D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台</w:t>
                  </w:r>
                </w:p>
              </w:tc>
              <w:tc>
                <w:tcPr>
                  <w:tcW w:w="373" w:type="pct"/>
                  <w:vAlign w:val="center"/>
                </w:tcPr>
                <w:p w14:paraId="484C308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r>
            <w:tr w14:paraId="49DB5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5" w:hRule="atLeast"/>
              </w:trPr>
              <w:tc>
                <w:tcPr>
                  <w:tcW w:w="270" w:type="pct"/>
                  <w:shd w:val="clear" w:color="auto" w:fill="D7D7D7" w:themeFill="background1" w:themeFillShade="D8"/>
                  <w:tcMar>
                    <w:top w:w="0" w:type="dxa"/>
                    <w:left w:w="108" w:type="dxa"/>
                    <w:bottom w:w="0" w:type="dxa"/>
                    <w:right w:w="108" w:type="dxa"/>
                  </w:tcMar>
                  <w:vAlign w:val="center"/>
                </w:tcPr>
                <w:p w14:paraId="21E2294C">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2</w:t>
                  </w:r>
                </w:p>
              </w:tc>
              <w:tc>
                <w:tcPr>
                  <w:tcW w:w="682" w:type="pct"/>
                  <w:shd w:val="clear" w:color="auto" w:fill="auto"/>
                  <w:tcMar>
                    <w:top w:w="0" w:type="dxa"/>
                    <w:left w:w="108" w:type="dxa"/>
                    <w:bottom w:w="0" w:type="dxa"/>
                    <w:right w:w="108" w:type="dxa"/>
                  </w:tcMar>
                  <w:vAlign w:val="center"/>
                </w:tcPr>
                <w:p w14:paraId="57CCBB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医用干燥柜</w:t>
                  </w:r>
                </w:p>
              </w:tc>
              <w:tc>
                <w:tcPr>
                  <w:tcW w:w="831" w:type="pct"/>
                  <w:shd w:val="clear" w:color="auto" w:fill="auto"/>
                  <w:tcMar>
                    <w:top w:w="0" w:type="dxa"/>
                    <w:left w:w="108" w:type="dxa"/>
                    <w:bottom w:w="0" w:type="dxa"/>
                    <w:right w:w="108" w:type="dxa"/>
                  </w:tcMar>
                  <w:vAlign w:val="center"/>
                </w:tcPr>
                <w:p w14:paraId="15B36FCC">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YGZ-1600XS</w:t>
                  </w:r>
                </w:p>
              </w:tc>
              <w:tc>
                <w:tcPr>
                  <w:tcW w:w="313" w:type="pct"/>
                  <w:shd w:val="clear" w:color="auto" w:fill="auto"/>
                  <w:tcMar>
                    <w:top w:w="0" w:type="dxa"/>
                    <w:left w:w="108" w:type="dxa"/>
                    <w:bottom w:w="0" w:type="dxa"/>
                    <w:right w:w="108" w:type="dxa"/>
                  </w:tcMar>
                  <w:vAlign w:val="center"/>
                </w:tcPr>
                <w:p w14:paraId="7C8A0D0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1BCF29C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2B67338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w:t>
                  </w:r>
                </w:p>
              </w:tc>
              <w:tc>
                <w:tcPr>
                  <w:tcW w:w="824" w:type="pct"/>
                  <w:vAlign w:val="center"/>
                </w:tcPr>
                <w:p w14:paraId="358F9D6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医用真空干燥柜</w:t>
                  </w:r>
                </w:p>
              </w:tc>
              <w:tc>
                <w:tcPr>
                  <w:tcW w:w="717" w:type="pct"/>
                  <w:vAlign w:val="center"/>
                </w:tcPr>
                <w:p w14:paraId="0A4EE13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GEST-L150HS</w:t>
                  </w:r>
                </w:p>
              </w:tc>
              <w:tc>
                <w:tcPr>
                  <w:tcW w:w="354" w:type="pct"/>
                  <w:shd w:val="clear" w:color="auto" w:fill="auto"/>
                  <w:vAlign w:val="center"/>
                </w:tcPr>
                <w:p w14:paraId="294173A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108C8C9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6C8BD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188C4FA2">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3</w:t>
                  </w:r>
                </w:p>
              </w:tc>
              <w:tc>
                <w:tcPr>
                  <w:tcW w:w="682" w:type="pct"/>
                  <w:shd w:val="clear" w:color="auto" w:fill="auto"/>
                  <w:tcMar>
                    <w:top w:w="0" w:type="dxa"/>
                    <w:left w:w="108" w:type="dxa"/>
                    <w:bottom w:w="0" w:type="dxa"/>
                    <w:right w:w="108" w:type="dxa"/>
                  </w:tcMar>
                  <w:vAlign w:val="center"/>
                </w:tcPr>
                <w:p w14:paraId="38B6C4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全自动纯水机</w:t>
                  </w:r>
                </w:p>
              </w:tc>
              <w:tc>
                <w:tcPr>
                  <w:tcW w:w="831" w:type="pct"/>
                  <w:shd w:val="clear" w:color="auto" w:fill="auto"/>
                  <w:tcMar>
                    <w:top w:w="0" w:type="dxa"/>
                    <w:left w:w="108" w:type="dxa"/>
                    <w:bottom w:w="0" w:type="dxa"/>
                    <w:right w:w="108" w:type="dxa"/>
                  </w:tcMar>
                  <w:vAlign w:val="center"/>
                </w:tcPr>
                <w:p w14:paraId="58911B34">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Waters-2000L</w:t>
                  </w:r>
                </w:p>
              </w:tc>
              <w:tc>
                <w:tcPr>
                  <w:tcW w:w="313" w:type="pct"/>
                  <w:shd w:val="clear" w:color="auto" w:fill="auto"/>
                  <w:tcMar>
                    <w:top w:w="0" w:type="dxa"/>
                    <w:left w:w="108" w:type="dxa"/>
                    <w:bottom w:w="0" w:type="dxa"/>
                    <w:right w:w="108" w:type="dxa"/>
                  </w:tcMar>
                  <w:vAlign w:val="center"/>
                </w:tcPr>
                <w:p w14:paraId="592625A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7F01C62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2993879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w:t>
                  </w:r>
                </w:p>
              </w:tc>
              <w:tc>
                <w:tcPr>
                  <w:tcW w:w="824" w:type="pct"/>
                  <w:vAlign w:val="center"/>
                </w:tcPr>
                <w:p w14:paraId="43C6CD3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软水机</w:t>
                  </w:r>
                </w:p>
              </w:tc>
              <w:tc>
                <w:tcPr>
                  <w:tcW w:w="717" w:type="pct"/>
                  <w:vAlign w:val="center"/>
                </w:tcPr>
                <w:p w14:paraId="3C516E4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Waters-S-2000</w:t>
                  </w:r>
                </w:p>
              </w:tc>
              <w:tc>
                <w:tcPr>
                  <w:tcW w:w="354" w:type="pct"/>
                  <w:shd w:val="clear" w:color="auto" w:fill="auto"/>
                  <w:vAlign w:val="center"/>
                </w:tcPr>
                <w:p w14:paraId="4B48AB0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79B69C6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3F85D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71384247">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4</w:t>
                  </w:r>
                </w:p>
              </w:tc>
              <w:tc>
                <w:tcPr>
                  <w:tcW w:w="682" w:type="pct"/>
                  <w:shd w:val="clear" w:color="auto" w:fill="auto"/>
                  <w:tcMar>
                    <w:top w:w="0" w:type="dxa"/>
                    <w:left w:w="108" w:type="dxa"/>
                    <w:bottom w:w="0" w:type="dxa"/>
                    <w:right w:w="108" w:type="dxa"/>
                  </w:tcMar>
                  <w:vAlign w:val="center"/>
                </w:tcPr>
                <w:p w14:paraId="394C70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多功能清洗消毒中心</w:t>
                  </w:r>
                </w:p>
              </w:tc>
              <w:tc>
                <w:tcPr>
                  <w:tcW w:w="831" w:type="pct"/>
                  <w:shd w:val="clear" w:color="auto" w:fill="auto"/>
                  <w:tcMar>
                    <w:top w:w="0" w:type="dxa"/>
                    <w:left w:w="108" w:type="dxa"/>
                    <w:bottom w:w="0" w:type="dxa"/>
                    <w:right w:w="108" w:type="dxa"/>
                  </w:tcMar>
                  <w:vAlign w:val="center"/>
                </w:tcPr>
                <w:p w14:paraId="286244BF">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CSSD.QXZX-5000</w:t>
                  </w:r>
                </w:p>
              </w:tc>
              <w:tc>
                <w:tcPr>
                  <w:tcW w:w="313" w:type="pct"/>
                  <w:shd w:val="clear" w:color="auto" w:fill="auto"/>
                  <w:tcMar>
                    <w:top w:w="0" w:type="dxa"/>
                    <w:left w:w="108" w:type="dxa"/>
                    <w:bottom w:w="0" w:type="dxa"/>
                    <w:right w:w="108" w:type="dxa"/>
                  </w:tcMar>
                  <w:vAlign w:val="center"/>
                </w:tcPr>
                <w:p w14:paraId="6627C34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74DA6F0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5BFBCBC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w:t>
                  </w:r>
                </w:p>
              </w:tc>
              <w:tc>
                <w:tcPr>
                  <w:tcW w:w="824" w:type="pct"/>
                  <w:vAlign w:val="center"/>
                </w:tcPr>
                <w:p w14:paraId="2A9B6CB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酸性氧化电位水生成器</w:t>
                  </w:r>
                </w:p>
              </w:tc>
              <w:tc>
                <w:tcPr>
                  <w:tcW w:w="717" w:type="pct"/>
                  <w:vAlign w:val="center"/>
                </w:tcPr>
                <w:p w14:paraId="22AD9E0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KHAEOW-1500</w:t>
                  </w:r>
                </w:p>
              </w:tc>
              <w:tc>
                <w:tcPr>
                  <w:tcW w:w="354" w:type="pct"/>
                  <w:shd w:val="clear" w:color="auto" w:fill="auto"/>
                  <w:vAlign w:val="center"/>
                </w:tcPr>
                <w:p w14:paraId="6AEC92A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6CB74AD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5A6E9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05A0605C">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5</w:t>
                  </w:r>
                </w:p>
              </w:tc>
              <w:tc>
                <w:tcPr>
                  <w:tcW w:w="682" w:type="pct"/>
                  <w:shd w:val="clear" w:color="auto" w:fill="auto"/>
                  <w:tcMar>
                    <w:top w:w="0" w:type="dxa"/>
                    <w:left w:w="108" w:type="dxa"/>
                    <w:bottom w:w="0" w:type="dxa"/>
                    <w:right w:w="108" w:type="dxa"/>
                  </w:tcMar>
                  <w:vAlign w:val="center"/>
                </w:tcPr>
                <w:p w14:paraId="192C16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超声波清洗机</w:t>
                  </w:r>
                </w:p>
              </w:tc>
              <w:tc>
                <w:tcPr>
                  <w:tcW w:w="831" w:type="pct"/>
                  <w:shd w:val="clear" w:color="auto" w:fill="auto"/>
                  <w:tcMar>
                    <w:top w:w="0" w:type="dxa"/>
                    <w:left w:w="108" w:type="dxa"/>
                    <w:bottom w:w="0" w:type="dxa"/>
                    <w:right w:w="108" w:type="dxa"/>
                  </w:tcMar>
                  <w:vAlign w:val="center"/>
                </w:tcPr>
                <w:p w14:paraId="22662B5E">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QX2000</w:t>
                  </w:r>
                </w:p>
              </w:tc>
              <w:tc>
                <w:tcPr>
                  <w:tcW w:w="313" w:type="pct"/>
                  <w:shd w:val="clear" w:color="auto" w:fill="auto"/>
                  <w:tcMar>
                    <w:top w:w="0" w:type="dxa"/>
                    <w:left w:w="108" w:type="dxa"/>
                    <w:bottom w:w="0" w:type="dxa"/>
                    <w:right w:w="108" w:type="dxa"/>
                  </w:tcMar>
                  <w:vAlign w:val="center"/>
                </w:tcPr>
                <w:p w14:paraId="13E7477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437DD85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3FF7461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w:t>
                  </w:r>
                </w:p>
              </w:tc>
              <w:tc>
                <w:tcPr>
                  <w:tcW w:w="824" w:type="pct"/>
                  <w:vAlign w:val="center"/>
                </w:tcPr>
                <w:p w14:paraId="5D1D83B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医用煮沸消毒器</w:t>
                  </w:r>
                </w:p>
              </w:tc>
              <w:tc>
                <w:tcPr>
                  <w:tcW w:w="717" w:type="pct"/>
                  <w:vAlign w:val="center"/>
                </w:tcPr>
                <w:p w14:paraId="55D1A85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ZF800</w:t>
                  </w:r>
                </w:p>
              </w:tc>
              <w:tc>
                <w:tcPr>
                  <w:tcW w:w="354" w:type="pct"/>
                  <w:shd w:val="clear" w:color="auto" w:fill="auto"/>
                  <w:vAlign w:val="center"/>
                </w:tcPr>
                <w:p w14:paraId="059FB4B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7CBD086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03360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7BA535EE">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6</w:t>
                  </w:r>
                </w:p>
              </w:tc>
              <w:tc>
                <w:tcPr>
                  <w:tcW w:w="682" w:type="pct"/>
                  <w:shd w:val="clear" w:color="auto" w:fill="auto"/>
                  <w:tcMar>
                    <w:top w:w="0" w:type="dxa"/>
                    <w:left w:w="108" w:type="dxa"/>
                    <w:bottom w:w="0" w:type="dxa"/>
                    <w:right w:w="108" w:type="dxa"/>
                  </w:tcMar>
                  <w:vAlign w:val="center"/>
                </w:tcPr>
                <w:p w14:paraId="7C133A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气泡预处理机</w:t>
                  </w:r>
                </w:p>
              </w:tc>
              <w:tc>
                <w:tcPr>
                  <w:tcW w:w="831" w:type="pct"/>
                  <w:shd w:val="clear" w:color="auto" w:fill="auto"/>
                  <w:tcMar>
                    <w:top w:w="0" w:type="dxa"/>
                    <w:left w:w="108" w:type="dxa"/>
                    <w:bottom w:w="0" w:type="dxa"/>
                    <w:right w:w="108" w:type="dxa"/>
                  </w:tcMar>
                  <w:vAlign w:val="center"/>
                </w:tcPr>
                <w:p w14:paraId="2AE1E6EF">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BW60</w:t>
                  </w:r>
                </w:p>
              </w:tc>
              <w:tc>
                <w:tcPr>
                  <w:tcW w:w="313" w:type="pct"/>
                  <w:shd w:val="clear" w:color="auto" w:fill="auto"/>
                  <w:tcMar>
                    <w:top w:w="0" w:type="dxa"/>
                    <w:left w:w="108" w:type="dxa"/>
                    <w:bottom w:w="0" w:type="dxa"/>
                    <w:right w:w="108" w:type="dxa"/>
                  </w:tcMar>
                  <w:vAlign w:val="center"/>
                </w:tcPr>
                <w:p w14:paraId="7B74A31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0B8A34F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56C9796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24" w:type="pct"/>
                  <w:vAlign w:val="center"/>
                </w:tcPr>
                <w:p w14:paraId="7A924B0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管腔真空超声清洗机</w:t>
                  </w:r>
                </w:p>
              </w:tc>
              <w:tc>
                <w:tcPr>
                  <w:tcW w:w="717" w:type="pct"/>
                  <w:vAlign w:val="center"/>
                </w:tcPr>
                <w:p w14:paraId="67F863A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PC-100</w:t>
                  </w:r>
                </w:p>
              </w:tc>
              <w:tc>
                <w:tcPr>
                  <w:tcW w:w="354" w:type="pct"/>
                  <w:shd w:val="clear" w:color="auto" w:fill="auto"/>
                  <w:vAlign w:val="center"/>
                </w:tcPr>
                <w:p w14:paraId="75F42B0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385E8B3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421B1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237406C3">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7</w:t>
                  </w:r>
                </w:p>
              </w:tc>
              <w:tc>
                <w:tcPr>
                  <w:tcW w:w="682" w:type="pct"/>
                  <w:shd w:val="clear" w:color="auto" w:fill="auto"/>
                  <w:tcMar>
                    <w:top w:w="0" w:type="dxa"/>
                    <w:left w:w="108" w:type="dxa"/>
                    <w:bottom w:w="0" w:type="dxa"/>
                    <w:right w:w="108" w:type="dxa"/>
                  </w:tcMar>
                  <w:vAlign w:val="center"/>
                </w:tcPr>
                <w:p w14:paraId="549F1A7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内镜清洗工作站（高水平消毒）</w:t>
                  </w:r>
                </w:p>
              </w:tc>
              <w:tc>
                <w:tcPr>
                  <w:tcW w:w="831" w:type="pct"/>
                  <w:shd w:val="clear" w:color="auto" w:fill="auto"/>
                  <w:tcMar>
                    <w:top w:w="0" w:type="dxa"/>
                    <w:left w:w="108" w:type="dxa"/>
                    <w:bottom w:w="0" w:type="dxa"/>
                    <w:right w:w="108" w:type="dxa"/>
                  </w:tcMar>
                  <w:vAlign w:val="center"/>
                </w:tcPr>
                <w:p w14:paraId="0E20FD56">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Center-R5</w:t>
                  </w:r>
                </w:p>
              </w:tc>
              <w:tc>
                <w:tcPr>
                  <w:tcW w:w="313" w:type="pct"/>
                  <w:shd w:val="clear" w:color="auto" w:fill="auto"/>
                  <w:tcMar>
                    <w:top w:w="0" w:type="dxa"/>
                    <w:left w:w="108" w:type="dxa"/>
                    <w:bottom w:w="0" w:type="dxa"/>
                    <w:right w:w="108" w:type="dxa"/>
                  </w:tcMar>
                  <w:vAlign w:val="center"/>
                </w:tcPr>
                <w:p w14:paraId="0AC0D2B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3DA88FE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6C4F17E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21</w:t>
                  </w:r>
                </w:p>
              </w:tc>
              <w:tc>
                <w:tcPr>
                  <w:tcW w:w="824" w:type="pct"/>
                  <w:shd w:val="clear" w:color="auto" w:fill="auto"/>
                  <w:vAlign w:val="center"/>
                </w:tcPr>
                <w:p w14:paraId="3FFC3FF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双槽污物清洗槽</w:t>
                  </w:r>
                </w:p>
              </w:tc>
              <w:tc>
                <w:tcPr>
                  <w:tcW w:w="717" w:type="pct"/>
                  <w:shd w:val="clear" w:color="auto" w:fill="auto"/>
                  <w:vAlign w:val="center"/>
                </w:tcPr>
                <w:p w14:paraId="663163A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CSSD.WBXL</w:t>
                  </w:r>
                </w:p>
              </w:tc>
              <w:tc>
                <w:tcPr>
                  <w:tcW w:w="354" w:type="pct"/>
                  <w:shd w:val="clear" w:color="auto" w:fill="auto"/>
                  <w:vAlign w:val="center"/>
                </w:tcPr>
                <w:p w14:paraId="1AB3F2A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6AD60D1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w:t>
                  </w:r>
                </w:p>
              </w:tc>
            </w:tr>
            <w:tr w14:paraId="34571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410A95AE">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8</w:t>
                  </w:r>
                </w:p>
              </w:tc>
              <w:tc>
                <w:tcPr>
                  <w:tcW w:w="682" w:type="pct"/>
                  <w:shd w:val="clear" w:color="auto" w:fill="auto"/>
                  <w:tcMar>
                    <w:top w:w="0" w:type="dxa"/>
                    <w:left w:w="108" w:type="dxa"/>
                    <w:bottom w:w="0" w:type="dxa"/>
                    <w:right w:w="108" w:type="dxa"/>
                  </w:tcMar>
                  <w:vAlign w:val="center"/>
                </w:tcPr>
                <w:p w14:paraId="3E28E0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洗眼器</w:t>
                  </w:r>
                </w:p>
              </w:tc>
              <w:tc>
                <w:tcPr>
                  <w:tcW w:w="831" w:type="pct"/>
                  <w:shd w:val="clear" w:color="auto" w:fill="auto"/>
                  <w:tcMar>
                    <w:top w:w="0" w:type="dxa"/>
                    <w:left w:w="108" w:type="dxa"/>
                    <w:bottom w:w="0" w:type="dxa"/>
                    <w:right w:w="108" w:type="dxa"/>
                  </w:tcMar>
                  <w:vAlign w:val="center"/>
                </w:tcPr>
                <w:p w14:paraId="20C10732">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WJH0355B</w:t>
                  </w:r>
                </w:p>
              </w:tc>
              <w:tc>
                <w:tcPr>
                  <w:tcW w:w="313" w:type="pct"/>
                  <w:shd w:val="clear" w:color="auto" w:fill="auto"/>
                  <w:tcMar>
                    <w:top w:w="0" w:type="dxa"/>
                    <w:left w:w="108" w:type="dxa"/>
                    <w:bottom w:w="0" w:type="dxa"/>
                    <w:right w:w="108" w:type="dxa"/>
                  </w:tcMar>
                  <w:vAlign w:val="center"/>
                </w:tcPr>
                <w:p w14:paraId="069644D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31F4594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3EB492C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22</w:t>
                  </w:r>
                </w:p>
              </w:tc>
              <w:tc>
                <w:tcPr>
                  <w:tcW w:w="824" w:type="pct"/>
                  <w:shd w:val="clear" w:color="auto" w:fill="auto"/>
                  <w:vAlign w:val="center"/>
                </w:tcPr>
                <w:p w14:paraId="2832389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CSSD信息管理系统</w:t>
                  </w:r>
                </w:p>
              </w:tc>
              <w:tc>
                <w:tcPr>
                  <w:tcW w:w="717" w:type="pct"/>
                  <w:shd w:val="clear" w:color="auto" w:fill="auto"/>
                  <w:vAlign w:val="center"/>
                </w:tcPr>
                <w:p w14:paraId="052C50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XHCSSD70</w:t>
                  </w:r>
                </w:p>
              </w:tc>
              <w:tc>
                <w:tcPr>
                  <w:tcW w:w="354" w:type="pct"/>
                  <w:shd w:val="clear" w:color="auto" w:fill="auto"/>
                  <w:vAlign w:val="center"/>
                </w:tcPr>
                <w:p w14:paraId="23E7AE4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238B8D8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5CE09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5EAD1857">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9</w:t>
                  </w:r>
                </w:p>
              </w:tc>
              <w:tc>
                <w:tcPr>
                  <w:tcW w:w="682" w:type="pct"/>
                  <w:shd w:val="clear" w:color="auto" w:fill="auto"/>
                  <w:tcMar>
                    <w:top w:w="0" w:type="dxa"/>
                    <w:left w:w="108" w:type="dxa"/>
                    <w:bottom w:w="0" w:type="dxa"/>
                    <w:right w:w="108" w:type="dxa"/>
                  </w:tcMar>
                  <w:vAlign w:val="center"/>
                </w:tcPr>
                <w:p w14:paraId="145363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清洗工作台</w:t>
                  </w:r>
                </w:p>
              </w:tc>
              <w:tc>
                <w:tcPr>
                  <w:tcW w:w="831" w:type="pct"/>
                  <w:shd w:val="clear" w:color="auto" w:fill="auto"/>
                  <w:tcMar>
                    <w:top w:w="0" w:type="dxa"/>
                    <w:left w:w="108" w:type="dxa"/>
                    <w:bottom w:w="0" w:type="dxa"/>
                    <w:right w:w="108" w:type="dxa"/>
                  </w:tcMar>
                  <w:vAlign w:val="center"/>
                </w:tcPr>
                <w:p w14:paraId="74D46F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i w:val="0"/>
                      <w:iCs w:val="0"/>
                      <w:color w:val="auto"/>
                      <w:kern w:val="0"/>
                      <w:sz w:val="21"/>
                      <w:szCs w:val="21"/>
                      <w:u w:val="none"/>
                      <w:lang w:val="en-US" w:eastAsia="zh-CN" w:bidi="ar"/>
                    </w:rPr>
                    <w:t>CSSD.XBT</w:t>
                  </w:r>
                </w:p>
              </w:tc>
              <w:tc>
                <w:tcPr>
                  <w:tcW w:w="313" w:type="pct"/>
                  <w:shd w:val="clear" w:color="auto" w:fill="auto"/>
                  <w:tcMar>
                    <w:top w:w="0" w:type="dxa"/>
                    <w:left w:w="108" w:type="dxa"/>
                    <w:bottom w:w="0" w:type="dxa"/>
                    <w:right w:w="108" w:type="dxa"/>
                  </w:tcMar>
                  <w:vAlign w:val="center"/>
                </w:tcPr>
                <w:p w14:paraId="4A4CDB5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151812F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w:t>
                  </w:r>
                </w:p>
              </w:tc>
              <w:tc>
                <w:tcPr>
                  <w:tcW w:w="312" w:type="pct"/>
                  <w:shd w:val="clear" w:color="auto" w:fill="D7D7D7" w:themeFill="background1" w:themeFillShade="D8"/>
                  <w:vAlign w:val="center"/>
                </w:tcPr>
                <w:p w14:paraId="06CC1FF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23</w:t>
                  </w:r>
                </w:p>
              </w:tc>
              <w:tc>
                <w:tcPr>
                  <w:tcW w:w="824" w:type="pct"/>
                  <w:shd w:val="clear" w:color="auto" w:fill="auto"/>
                  <w:vAlign w:val="center"/>
                </w:tcPr>
                <w:p w14:paraId="262AF82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高压清洗机</w:t>
                  </w:r>
                </w:p>
              </w:tc>
              <w:tc>
                <w:tcPr>
                  <w:tcW w:w="717" w:type="pct"/>
                  <w:shd w:val="clear" w:color="auto" w:fill="auto"/>
                  <w:vAlign w:val="center"/>
                </w:tcPr>
                <w:p w14:paraId="086473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BW15</w:t>
                  </w:r>
                </w:p>
              </w:tc>
              <w:tc>
                <w:tcPr>
                  <w:tcW w:w="354" w:type="pct"/>
                  <w:shd w:val="clear" w:color="auto" w:fill="auto"/>
                  <w:vAlign w:val="center"/>
                </w:tcPr>
                <w:p w14:paraId="48CD2706">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2A85811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w:t>
                  </w:r>
                </w:p>
              </w:tc>
            </w:tr>
            <w:tr w14:paraId="4D41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7A7B6873">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10</w:t>
                  </w:r>
                </w:p>
              </w:tc>
              <w:tc>
                <w:tcPr>
                  <w:tcW w:w="682" w:type="pct"/>
                  <w:shd w:val="clear" w:color="auto" w:fill="auto"/>
                  <w:tcMar>
                    <w:top w:w="0" w:type="dxa"/>
                    <w:left w:w="108" w:type="dxa"/>
                    <w:bottom w:w="0" w:type="dxa"/>
                    <w:right w:w="108" w:type="dxa"/>
                  </w:tcMar>
                  <w:vAlign w:val="center"/>
                </w:tcPr>
                <w:p w14:paraId="788886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医用封口机</w:t>
                  </w:r>
                </w:p>
              </w:tc>
              <w:tc>
                <w:tcPr>
                  <w:tcW w:w="831" w:type="pct"/>
                  <w:shd w:val="clear" w:color="auto" w:fill="auto"/>
                  <w:tcMar>
                    <w:top w:w="0" w:type="dxa"/>
                    <w:left w:w="108" w:type="dxa"/>
                    <w:bottom w:w="0" w:type="dxa"/>
                    <w:right w:w="108" w:type="dxa"/>
                  </w:tcMar>
                  <w:vAlign w:val="center"/>
                </w:tcPr>
                <w:p w14:paraId="48F146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XH101-CR</w:t>
                  </w:r>
                </w:p>
              </w:tc>
              <w:tc>
                <w:tcPr>
                  <w:tcW w:w="313" w:type="pct"/>
                  <w:shd w:val="clear" w:color="auto" w:fill="auto"/>
                  <w:tcMar>
                    <w:top w:w="0" w:type="dxa"/>
                    <w:left w:w="108" w:type="dxa"/>
                    <w:bottom w:w="0" w:type="dxa"/>
                    <w:right w:w="108" w:type="dxa"/>
                  </w:tcMar>
                  <w:vAlign w:val="center"/>
                </w:tcPr>
                <w:p w14:paraId="4C1E12E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6C85316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3D3FDAD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24</w:t>
                  </w:r>
                </w:p>
              </w:tc>
              <w:tc>
                <w:tcPr>
                  <w:tcW w:w="824" w:type="pct"/>
                  <w:shd w:val="clear" w:color="auto" w:fill="auto"/>
                  <w:vAlign w:val="center"/>
                </w:tcPr>
                <w:p w14:paraId="7F85041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器械检查打包台</w:t>
                  </w:r>
                </w:p>
              </w:tc>
              <w:tc>
                <w:tcPr>
                  <w:tcW w:w="717" w:type="pct"/>
                  <w:shd w:val="clear" w:color="auto" w:fill="auto"/>
                  <w:vAlign w:val="center"/>
                </w:tcPr>
                <w:p w14:paraId="7A0301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CSSD.QMTD</w:t>
                  </w:r>
                </w:p>
              </w:tc>
              <w:tc>
                <w:tcPr>
                  <w:tcW w:w="354" w:type="pct"/>
                  <w:shd w:val="clear" w:color="auto" w:fill="auto"/>
                  <w:vAlign w:val="center"/>
                </w:tcPr>
                <w:p w14:paraId="3CBB579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4DCBD5E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w:t>
                  </w:r>
                </w:p>
              </w:tc>
            </w:tr>
            <w:tr w14:paraId="7456F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2D84EF6A">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11</w:t>
                  </w:r>
                </w:p>
              </w:tc>
              <w:tc>
                <w:tcPr>
                  <w:tcW w:w="682" w:type="pct"/>
                  <w:shd w:val="clear" w:color="auto" w:fill="auto"/>
                  <w:tcMar>
                    <w:top w:w="0" w:type="dxa"/>
                    <w:left w:w="108" w:type="dxa"/>
                    <w:bottom w:w="0" w:type="dxa"/>
                    <w:right w:w="108" w:type="dxa"/>
                  </w:tcMar>
                  <w:vAlign w:val="center"/>
                </w:tcPr>
                <w:p w14:paraId="19EE0E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包布打包台</w:t>
                  </w:r>
                </w:p>
              </w:tc>
              <w:tc>
                <w:tcPr>
                  <w:tcW w:w="831" w:type="pct"/>
                  <w:shd w:val="clear" w:color="auto" w:fill="auto"/>
                  <w:tcMar>
                    <w:top w:w="0" w:type="dxa"/>
                    <w:left w:w="108" w:type="dxa"/>
                    <w:bottom w:w="0" w:type="dxa"/>
                    <w:right w:w="108" w:type="dxa"/>
                  </w:tcMar>
                  <w:vAlign w:val="center"/>
                </w:tcPr>
                <w:p w14:paraId="4C32D7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CSSD.JMBT</w:t>
                  </w:r>
                </w:p>
              </w:tc>
              <w:tc>
                <w:tcPr>
                  <w:tcW w:w="313" w:type="pct"/>
                  <w:shd w:val="clear" w:color="auto" w:fill="auto"/>
                  <w:tcMar>
                    <w:top w:w="0" w:type="dxa"/>
                    <w:left w:w="108" w:type="dxa"/>
                    <w:bottom w:w="0" w:type="dxa"/>
                    <w:right w:w="108" w:type="dxa"/>
                  </w:tcMar>
                  <w:vAlign w:val="center"/>
                </w:tcPr>
                <w:p w14:paraId="52F3931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5901A67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w:t>
                  </w:r>
                </w:p>
              </w:tc>
              <w:tc>
                <w:tcPr>
                  <w:tcW w:w="312" w:type="pct"/>
                  <w:shd w:val="clear" w:color="auto" w:fill="D7D7D7" w:themeFill="background1" w:themeFillShade="D8"/>
                  <w:vAlign w:val="center"/>
                </w:tcPr>
                <w:p w14:paraId="59C08E4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25</w:t>
                  </w:r>
                </w:p>
              </w:tc>
              <w:tc>
                <w:tcPr>
                  <w:tcW w:w="824" w:type="pct"/>
                  <w:shd w:val="clear" w:color="auto" w:fill="auto"/>
                  <w:vAlign w:val="center"/>
                </w:tcPr>
                <w:p w14:paraId="297737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器械检查放大镜</w:t>
                  </w:r>
                </w:p>
              </w:tc>
              <w:tc>
                <w:tcPr>
                  <w:tcW w:w="717" w:type="pct"/>
                  <w:shd w:val="clear" w:color="auto" w:fill="auto"/>
                  <w:vAlign w:val="center"/>
                </w:tcPr>
                <w:p w14:paraId="238959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8066-1</w:t>
                  </w:r>
                </w:p>
              </w:tc>
              <w:tc>
                <w:tcPr>
                  <w:tcW w:w="354" w:type="pct"/>
                  <w:shd w:val="clear" w:color="auto" w:fill="auto"/>
                  <w:vAlign w:val="center"/>
                </w:tcPr>
                <w:p w14:paraId="2953E57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1E722FD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w:t>
                  </w:r>
                </w:p>
              </w:tc>
            </w:tr>
            <w:tr w14:paraId="43692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6C7141B6">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12</w:t>
                  </w:r>
                </w:p>
              </w:tc>
              <w:tc>
                <w:tcPr>
                  <w:tcW w:w="682" w:type="pct"/>
                  <w:shd w:val="clear" w:color="auto" w:fill="auto"/>
                  <w:tcMar>
                    <w:top w:w="0" w:type="dxa"/>
                    <w:left w:w="108" w:type="dxa"/>
                    <w:bottom w:w="0" w:type="dxa"/>
                    <w:right w:w="108" w:type="dxa"/>
                  </w:tcMar>
                  <w:vAlign w:val="center"/>
                </w:tcPr>
                <w:p w14:paraId="78A83B9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无油静音空气压缩机</w:t>
                  </w:r>
                </w:p>
              </w:tc>
              <w:tc>
                <w:tcPr>
                  <w:tcW w:w="831" w:type="pct"/>
                  <w:shd w:val="clear" w:color="auto" w:fill="auto"/>
                  <w:tcMar>
                    <w:top w:w="0" w:type="dxa"/>
                    <w:left w:w="108" w:type="dxa"/>
                    <w:bottom w:w="0" w:type="dxa"/>
                    <w:right w:w="108" w:type="dxa"/>
                  </w:tcMar>
                  <w:vAlign w:val="center"/>
                </w:tcPr>
                <w:p w14:paraId="5CFDC85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XH-K</w:t>
                  </w:r>
                </w:p>
              </w:tc>
              <w:tc>
                <w:tcPr>
                  <w:tcW w:w="313" w:type="pct"/>
                  <w:shd w:val="clear" w:color="auto" w:fill="auto"/>
                  <w:tcMar>
                    <w:top w:w="0" w:type="dxa"/>
                    <w:left w:w="108" w:type="dxa"/>
                    <w:bottom w:w="0" w:type="dxa"/>
                    <w:right w:w="108" w:type="dxa"/>
                  </w:tcMar>
                  <w:vAlign w:val="center"/>
                </w:tcPr>
                <w:p w14:paraId="7B4854C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3A5C6E3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5</w:t>
                  </w:r>
                </w:p>
              </w:tc>
              <w:tc>
                <w:tcPr>
                  <w:tcW w:w="312" w:type="pct"/>
                  <w:shd w:val="clear" w:color="auto" w:fill="D7D7D7" w:themeFill="background1" w:themeFillShade="D8"/>
                  <w:vAlign w:val="center"/>
                </w:tcPr>
                <w:p w14:paraId="59998BD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26</w:t>
                  </w:r>
                </w:p>
              </w:tc>
              <w:tc>
                <w:tcPr>
                  <w:tcW w:w="824" w:type="pct"/>
                  <w:shd w:val="clear" w:color="auto" w:fill="auto"/>
                  <w:vAlign w:val="center"/>
                </w:tcPr>
                <w:p w14:paraId="4757D7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干燥喷枪</w:t>
                  </w:r>
                </w:p>
              </w:tc>
              <w:tc>
                <w:tcPr>
                  <w:tcW w:w="717" w:type="pct"/>
                  <w:shd w:val="clear" w:color="auto" w:fill="auto"/>
                  <w:vAlign w:val="center"/>
                </w:tcPr>
                <w:p w14:paraId="31E092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MAC-II</w:t>
                  </w:r>
                </w:p>
              </w:tc>
              <w:tc>
                <w:tcPr>
                  <w:tcW w:w="354" w:type="pct"/>
                  <w:shd w:val="clear" w:color="auto" w:fill="auto"/>
                  <w:vAlign w:val="center"/>
                </w:tcPr>
                <w:p w14:paraId="11D6B41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442AF91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6168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415FDC98">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13</w:t>
                  </w:r>
                </w:p>
              </w:tc>
              <w:tc>
                <w:tcPr>
                  <w:tcW w:w="682" w:type="pct"/>
                  <w:shd w:val="clear" w:color="auto" w:fill="auto"/>
                  <w:tcMar>
                    <w:top w:w="0" w:type="dxa"/>
                    <w:left w:w="108" w:type="dxa"/>
                    <w:bottom w:w="0" w:type="dxa"/>
                    <w:right w:w="108" w:type="dxa"/>
                  </w:tcMar>
                  <w:vAlign w:val="center"/>
                </w:tcPr>
                <w:p w14:paraId="34C63C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低温甲醛灭菌器</w:t>
                  </w:r>
                </w:p>
              </w:tc>
              <w:tc>
                <w:tcPr>
                  <w:tcW w:w="831" w:type="pct"/>
                  <w:shd w:val="clear" w:color="auto" w:fill="auto"/>
                  <w:tcMar>
                    <w:top w:w="0" w:type="dxa"/>
                    <w:left w:w="108" w:type="dxa"/>
                    <w:bottom w:w="0" w:type="dxa"/>
                    <w:right w:w="108" w:type="dxa"/>
                  </w:tcMar>
                  <w:vAlign w:val="center"/>
                </w:tcPr>
                <w:p w14:paraId="55BFB6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FS-130</w:t>
                  </w:r>
                </w:p>
              </w:tc>
              <w:tc>
                <w:tcPr>
                  <w:tcW w:w="313" w:type="pct"/>
                  <w:shd w:val="clear" w:color="auto" w:fill="auto"/>
                  <w:tcMar>
                    <w:top w:w="0" w:type="dxa"/>
                    <w:left w:w="108" w:type="dxa"/>
                    <w:bottom w:w="0" w:type="dxa"/>
                    <w:right w:w="108" w:type="dxa"/>
                  </w:tcMar>
                  <w:vAlign w:val="center"/>
                </w:tcPr>
                <w:p w14:paraId="0932F6C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69D4E89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361D45E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27</w:t>
                  </w:r>
                </w:p>
              </w:tc>
              <w:tc>
                <w:tcPr>
                  <w:tcW w:w="824" w:type="pct"/>
                  <w:shd w:val="clear" w:color="auto" w:fill="auto"/>
                  <w:vAlign w:val="center"/>
                </w:tcPr>
                <w:p w14:paraId="5ACD14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kern w:val="2"/>
                      <w:sz w:val="21"/>
                      <w:szCs w:val="21"/>
                      <w:highlight w:val="none"/>
                      <w:lang w:val="en-US" w:eastAsia="zh-CN" w:bidi="ar-SA"/>
                    </w:rPr>
                    <w:t>环境安全监测系统</w:t>
                  </w:r>
                </w:p>
              </w:tc>
              <w:tc>
                <w:tcPr>
                  <w:tcW w:w="717" w:type="pct"/>
                  <w:shd w:val="clear" w:color="auto" w:fill="auto"/>
                  <w:vAlign w:val="center"/>
                </w:tcPr>
                <w:p w14:paraId="5400DF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kern w:val="2"/>
                      <w:sz w:val="21"/>
                      <w:szCs w:val="21"/>
                      <w:highlight w:val="none"/>
                      <w:lang w:val="en-US" w:eastAsia="zh-CN" w:bidi="ar-SA"/>
                    </w:rPr>
                    <w:t>ET4000</w:t>
                  </w:r>
                </w:p>
              </w:tc>
              <w:tc>
                <w:tcPr>
                  <w:tcW w:w="354" w:type="pct"/>
                  <w:shd w:val="clear" w:color="auto" w:fill="auto"/>
                  <w:vAlign w:val="center"/>
                </w:tcPr>
                <w:p w14:paraId="0260DF37">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2354244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r>
            <w:tr w14:paraId="30A9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270" w:type="pct"/>
                  <w:shd w:val="clear" w:color="auto" w:fill="D7D7D7" w:themeFill="background1" w:themeFillShade="D8"/>
                  <w:tcMar>
                    <w:top w:w="0" w:type="dxa"/>
                    <w:left w:w="108" w:type="dxa"/>
                    <w:bottom w:w="0" w:type="dxa"/>
                    <w:right w:w="108" w:type="dxa"/>
                  </w:tcMar>
                  <w:vAlign w:val="center"/>
                </w:tcPr>
                <w:p w14:paraId="30A8BFE7">
                  <w:pPr>
                    <w:keepNext w:val="0"/>
                    <w:keepLines w:val="0"/>
                    <w:pageBreakBefore w:val="0"/>
                    <w:kinsoku/>
                    <w:wordWrap/>
                    <w:overflowPunct/>
                    <w:topLinePunct w:val="0"/>
                    <w:autoSpaceDE/>
                    <w:autoSpaceDN/>
                    <w:bidi w:val="0"/>
                    <w:spacing w:line="240" w:lineRule="auto"/>
                    <w:ind w:firstLine="0" w:firstLine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14</w:t>
                  </w:r>
                </w:p>
              </w:tc>
              <w:tc>
                <w:tcPr>
                  <w:tcW w:w="682" w:type="pct"/>
                  <w:shd w:val="clear" w:color="auto" w:fill="auto"/>
                  <w:tcMar>
                    <w:top w:w="0" w:type="dxa"/>
                    <w:left w:w="108" w:type="dxa"/>
                    <w:bottom w:w="0" w:type="dxa"/>
                    <w:right w:w="108" w:type="dxa"/>
                  </w:tcMar>
                  <w:vAlign w:val="center"/>
                </w:tcPr>
                <w:p w14:paraId="229B0C7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sz w:val="21"/>
                      <w:szCs w:val="21"/>
                      <w:highlight w:val="none"/>
                      <w:lang w:val="en-US" w:eastAsia="zh-CN"/>
                    </w:rPr>
                    <w:t>高低温一体</w:t>
                  </w:r>
                  <w:r>
                    <w:rPr>
                      <w:rFonts w:hint="eastAsia" w:ascii="宋体" w:hAnsi="宋体" w:eastAsia="宋体" w:cs="宋体"/>
                      <w:color w:val="auto"/>
                      <w:sz w:val="21"/>
                      <w:szCs w:val="21"/>
                      <w:highlight w:val="none"/>
                    </w:rPr>
                    <w:t>极速生物阅读器</w:t>
                  </w:r>
                </w:p>
              </w:tc>
              <w:tc>
                <w:tcPr>
                  <w:tcW w:w="831" w:type="pct"/>
                  <w:shd w:val="clear" w:color="auto" w:fill="auto"/>
                  <w:tcMar>
                    <w:top w:w="0" w:type="dxa"/>
                    <w:left w:w="108" w:type="dxa"/>
                    <w:bottom w:w="0" w:type="dxa"/>
                    <w:right w:w="108" w:type="dxa"/>
                  </w:tcMar>
                  <w:vAlign w:val="center"/>
                </w:tcPr>
                <w:p w14:paraId="38CC45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JS-0101-S</w:t>
                  </w:r>
                </w:p>
              </w:tc>
              <w:tc>
                <w:tcPr>
                  <w:tcW w:w="313" w:type="pct"/>
                  <w:shd w:val="clear" w:color="auto" w:fill="auto"/>
                  <w:tcMar>
                    <w:top w:w="0" w:type="dxa"/>
                    <w:left w:w="108" w:type="dxa"/>
                    <w:bottom w:w="0" w:type="dxa"/>
                    <w:right w:w="108" w:type="dxa"/>
                  </w:tcMar>
                  <w:vAlign w:val="center"/>
                </w:tcPr>
                <w:p w14:paraId="270091E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19" w:type="pct"/>
                  <w:shd w:val="clear" w:color="auto" w:fill="auto"/>
                  <w:tcMar>
                    <w:top w:w="0" w:type="dxa"/>
                    <w:left w:w="108" w:type="dxa"/>
                    <w:bottom w:w="0" w:type="dxa"/>
                    <w:right w:w="108" w:type="dxa"/>
                  </w:tcMar>
                  <w:vAlign w:val="center"/>
                </w:tcPr>
                <w:p w14:paraId="274C090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w:t>
                  </w:r>
                </w:p>
              </w:tc>
              <w:tc>
                <w:tcPr>
                  <w:tcW w:w="312" w:type="pct"/>
                  <w:shd w:val="clear" w:color="auto" w:fill="D7D7D7" w:themeFill="background1" w:themeFillShade="D8"/>
                  <w:vAlign w:val="center"/>
                </w:tcPr>
                <w:p w14:paraId="2D750BD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28</w:t>
                  </w:r>
                </w:p>
              </w:tc>
              <w:tc>
                <w:tcPr>
                  <w:tcW w:w="824" w:type="pct"/>
                  <w:shd w:val="clear" w:color="auto" w:fill="auto"/>
                  <w:vAlign w:val="center"/>
                </w:tcPr>
                <w:p w14:paraId="7693547A">
                  <w:pPr>
                    <w:keepNext w:val="0"/>
                    <w:keepLines w:val="0"/>
                    <w:pageBreakBefore w:val="0"/>
                    <w:kinsoku/>
                    <w:wordWrap/>
                    <w:overflowPunct/>
                    <w:topLinePunct w:val="0"/>
                    <w:autoSpaceDE/>
                    <w:autoSpaceDN/>
                    <w:bidi w:val="0"/>
                    <w:spacing w:line="240" w:lineRule="auto"/>
                    <w:ind w:left="0" w:leftChars="0" w:firstLine="0" w:firstLineChars="0"/>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平板货架</w:t>
                  </w:r>
                </w:p>
              </w:tc>
              <w:tc>
                <w:tcPr>
                  <w:tcW w:w="717" w:type="pct"/>
                  <w:shd w:val="clear" w:color="auto" w:fill="auto"/>
                  <w:vAlign w:val="center"/>
                </w:tcPr>
                <w:p w14:paraId="04962643">
                  <w:pPr>
                    <w:pStyle w:val="10"/>
                    <w:keepNext w:val="0"/>
                    <w:keepLines w:val="0"/>
                    <w:pageBreakBefore w:val="0"/>
                    <w:tabs>
                      <w:tab w:val="left" w:pos="5580"/>
                    </w:tabs>
                    <w:kinsoku/>
                    <w:wordWrap/>
                    <w:overflowPunct/>
                    <w:topLinePunct w:val="0"/>
                    <w:autoSpaceDE/>
                    <w:autoSpaceDN/>
                    <w:bidi w:val="0"/>
                    <w:spacing w:line="240" w:lineRule="auto"/>
                    <w:ind w:left="0" w:leftChars="0" w:firstLine="0" w:firstLineChars="0"/>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CSSD.PBJ</w:t>
                  </w:r>
                </w:p>
              </w:tc>
              <w:tc>
                <w:tcPr>
                  <w:tcW w:w="354" w:type="pct"/>
                  <w:shd w:val="clear" w:color="auto" w:fill="auto"/>
                  <w:vAlign w:val="center"/>
                </w:tcPr>
                <w:p w14:paraId="2D7E113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台</w:t>
                  </w:r>
                </w:p>
              </w:tc>
              <w:tc>
                <w:tcPr>
                  <w:tcW w:w="373" w:type="pct"/>
                  <w:shd w:val="clear" w:color="auto" w:fill="auto"/>
                  <w:vAlign w:val="center"/>
                </w:tcPr>
                <w:p w14:paraId="19C21001">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6</w:t>
                  </w:r>
                </w:p>
              </w:tc>
            </w:tr>
          </w:tbl>
          <w:p w14:paraId="57FFB4EE">
            <w:pPr>
              <w:pStyle w:val="38"/>
              <w:rPr>
                <w:rFonts w:ascii="Times New Roman" w:hAnsi="Times New Roman" w:eastAsia="宋体"/>
                <w:b/>
                <w:bCs/>
                <w:color w:val="auto"/>
              </w:rPr>
            </w:pPr>
            <w:r>
              <w:rPr>
                <w:rFonts w:ascii="Times New Roman" w:hAnsi="Times New Roman" w:eastAsia="宋体"/>
                <w:b/>
                <w:bCs/>
                <w:color w:val="auto"/>
              </w:rPr>
              <w:t>表2-</w:t>
            </w:r>
            <w:r>
              <w:rPr>
                <w:rFonts w:hint="eastAsia" w:ascii="Times New Roman" w:hAnsi="Times New Roman" w:eastAsia="宋体"/>
                <w:b/>
                <w:bCs/>
                <w:color w:val="auto"/>
                <w:lang w:val="en-US" w:eastAsia="zh-CN"/>
              </w:rPr>
              <w:t>7</w:t>
            </w:r>
            <w:r>
              <w:rPr>
                <w:rFonts w:hint="eastAsia" w:ascii="Times New Roman" w:hAnsi="Times New Roman" w:eastAsia="宋体" w:cs="Times New Roman"/>
                <w:b/>
                <w:bCs/>
                <w:color w:val="auto"/>
                <w:lang w:val="en-US" w:eastAsia="zh-CN"/>
              </w:rPr>
              <w:t>江城卫生院</w:t>
            </w:r>
            <w:r>
              <w:rPr>
                <w:rFonts w:ascii="Times New Roman" w:hAnsi="Times New Roman" w:eastAsia="宋体"/>
                <w:b/>
                <w:bCs/>
                <w:color w:val="auto"/>
              </w:rPr>
              <w:t>项目现有设备一览表</w:t>
            </w:r>
          </w:p>
          <w:tbl>
            <w:tblPr>
              <w:tblStyle w:val="1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8"/>
              <w:gridCol w:w="1603"/>
              <w:gridCol w:w="643"/>
              <w:gridCol w:w="643"/>
              <w:gridCol w:w="716"/>
              <w:gridCol w:w="2009"/>
              <w:gridCol w:w="575"/>
              <w:gridCol w:w="578"/>
            </w:tblGrid>
            <w:tr w14:paraId="26985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382E55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序号</w:t>
                  </w:r>
                </w:p>
              </w:tc>
              <w:tc>
                <w:tcPr>
                  <w:tcW w:w="1059" w:type="pct"/>
                  <w:tcMar>
                    <w:top w:w="0" w:type="dxa"/>
                    <w:left w:w="108" w:type="dxa"/>
                    <w:bottom w:w="0" w:type="dxa"/>
                    <w:right w:w="108" w:type="dxa"/>
                  </w:tcMar>
                  <w:vAlign w:val="center"/>
                </w:tcPr>
                <w:p w14:paraId="040D2E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设备名称</w:t>
                  </w:r>
                </w:p>
              </w:tc>
              <w:tc>
                <w:tcPr>
                  <w:tcW w:w="425" w:type="pct"/>
                  <w:tcMar>
                    <w:top w:w="0" w:type="dxa"/>
                    <w:left w:w="108" w:type="dxa"/>
                    <w:bottom w:w="0" w:type="dxa"/>
                    <w:right w:w="108" w:type="dxa"/>
                  </w:tcMar>
                  <w:vAlign w:val="center"/>
                </w:tcPr>
                <w:p w14:paraId="1CDBF2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单位</w:t>
                  </w:r>
                </w:p>
              </w:tc>
              <w:tc>
                <w:tcPr>
                  <w:tcW w:w="425" w:type="pct"/>
                  <w:tcMar>
                    <w:top w:w="0" w:type="dxa"/>
                    <w:left w:w="108" w:type="dxa"/>
                    <w:bottom w:w="0" w:type="dxa"/>
                    <w:right w:w="108" w:type="dxa"/>
                  </w:tcMar>
                  <w:vAlign w:val="center"/>
                </w:tcPr>
                <w:p w14:paraId="5D522C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数量</w:t>
                  </w:r>
                </w:p>
              </w:tc>
              <w:tc>
                <w:tcPr>
                  <w:tcW w:w="473" w:type="pct"/>
                  <w:shd w:val="clear" w:color="auto" w:fill="D7D7D7" w:themeFill="background1" w:themeFillShade="D8"/>
                  <w:vAlign w:val="center"/>
                </w:tcPr>
                <w:p w14:paraId="194264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序号</w:t>
                  </w:r>
                </w:p>
              </w:tc>
              <w:tc>
                <w:tcPr>
                  <w:tcW w:w="1327" w:type="pct"/>
                  <w:vAlign w:val="center"/>
                </w:tcPr>
                <w:p w14:paraId="272362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设备名称</w:t>
                  </w:r>
                </w:p>
              </w:tc>
              <w:tc>
                <w:tcPr>
                  <w:tcW w:w="380" w:type="pct"/>
                  <w:vAlign w:val="center"/>
                </w:tcPr>
                <w:p w14:paraId="0A23A8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单</w:t>
                  </w:r>
                </w:p>
                <w:p w14:paraId="13724E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位</w:t>
                  </w:r>
                </w:p>
              </w:tc>
              <w:tc>
                <w:tcPr>
                  <w:tcW w:w="380" w:type="pct"/>
                  <w:vAlign w:val="center"/>
                </w:tcPr>
                <w:p w14:paraId="5566FD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w:t>
                  </w:r>
                </w:p>
                <w:p w14:paraId="48504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量</w:t>
                  </w:r>
                </w:p>
              </w:tc>
            </w:tr>
            <w:tr w14:paraId="79A78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3ADE87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059" w:type="pct"/>
                  <w:shd w:val="clear" w:color="auto" w:fill="auto"/>
                  <w:tcMar>
                    <w:top w:w="0" w:type="dxa"/>
                    <w:left w:w="108" w:type="dxa"/>
                    <w:bottom w:w="0" w:type="dxa"/>
                    <w:right w:w="108" w:type="dxa"/>
                  </w:tcMar>
                  <w:vAlign w:val="center"/>
                </w:tcPr>
                <w:p w14:paraId="630133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全数字高档彩色多普勒超声诊断仪器</w:t>
                  </w:r>
                </w:p>
              </w:tc>
              <w:tc>
                <w:tcPr>
                  <w:tcW w:w="425" w:type="pct"/>
                  <w:shd w:val="clear" w:color="auto" w:fill="auto"/>
                  <w:tcMar>
                    <w:top w:w="0" w:type="dxa"/>
                    <w:left w:w="108" w:type="dxa"/>
                    <w:bottom w:w="0" w:type="dxa"/>
                    <w:right w:w="108" w:type="dxa"/>
                  </w:tcMar>
                  <w:vAlign w:val="center"/>
                </w:tcPr>
                <w:p w14:paraId="160817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3B205A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57B6E9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w:t>
                  </w:r>
                </w:p>
              </w:tc>
              <w:tc>
                <w:tcPr>
                  <w:tcW w:w="1327" w:type="pct"/>
                  <w:vAlign w:val="center"/>
                </w:tcPr>
                <w:p w14:paraId="3E740F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超纯水机</w:t>
                  </w:r>
                </w:p>
              </w:tc>
              <w:tc>
                <w:tcPr>
                  <w:tcW w:w="380" w:type="pct"/>
                  <w:vAlign w:val="center"/>
                </w:tcPr>
                <w:p w14:paraId="40A313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380" w:type="pct"/>
                  <w:vAlign w:val="center"/>
                </w:tcPr>
                <w:p w14:paraId="117B19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4D02B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2EB717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059" w:type="pct"/>
                  <w:shd w:val="clear" w:color="auto" w:fill="auto"/>
                  <w:tcMar>
                    <w:top w:w="0" w:type="dxa"/>
                    <w:left w:w="108" w:type="dxa"/>
                    <w:bottom w:w="0" w:type="dxa"/>
                    <w:right w:w="108" w:type="dxa"/>
                  </w:tcMar>
                  <w:vAlign w:val="center"/>
                </w:tcPr>
                <w:p w14:paraId="0E9B04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多道心电图机</w:t>
                  </w:r>
                </w:p>
              </w:tc>
              <w:tc>
                <w:tcPr>
                  <w:tcW w:w="425" w:type="pct"/>
                  <w:shd w:val="clear" w:color="auto" w:fill="auto"/>
                  <w:tcMar>
                    <w:top w:w="0" w:type="dxa"/>
                    <w:left w:w="108" w:type="dxa"/>
                    <w:bottom w:w="0" w:type="dxa"/>
                    <w:right w:w="108" w:type="dxa"/>
                  </w:tcMar>
                  <w:vAlign w:val="center"/>
                </w:tcPr>
                <w:p w14:paraId="6699CE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248E79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0A7B81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31</w:t>
                  </w:r>
                </w:p>
              </w:tc>
              <w:tc>
                <w:tcPr>
                  <w:tcW w:w="1327" w:type="pct"/>
                  <w:vAlign w:val="center"/>
                </w:tcPr>
                <w:p w14:paraId="4533B1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打印复印一体机</w:t>
                  </w:r>
                </w:p>
              </w:tc>
              <w:tc>
                <w:tcPr>
                  <w:tcW w:w="380" w:type="pct"/>
                  <w:vAlign w:val="center"/>
                </w:tcPr>
                <w:p w14:paraId="1EB520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241CE8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r>
            <w:tr w14:paraId="1712C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1CECA4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1059" w:type="pct"/>
                  <w:shd w:val="clear" w:color="auto" w:fill="auto"/>
                  <w:tcMar>
                    <w:top w:w="0" w:type="dxa"/>
                    <w:left w:w="108" w:type="dxa"/>
                    <w:bottom w:w="0" w:type="dxa"/>
                    <w:right w:w="108" w:type="dxa"/>
                  </w:tcMar>
                  <w:vAlign w:val="center"/>
                </w:tcPr>
                <w:p w14:paraId="5AE680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幽门螺杆菌测试仪</w:t>
                  </w:r>
                </w:p>
              </w:tc>
              <w:tc>
                <w:tcPr>
                  <w:tcW w:w="425" w:type="pct"/>
                  <w:shd w:val="clear" w:color="auto" w:fill="auto"/>
                  <w:tcMar>
                    <w:top w:w="0" w:type="dxa"/>
                    <w:left w:w="108" w:type="dxa"/>
                    <w:bottom w:w="0" w:type="dxa"/>
                    <w:right w:w="108" w:type="dxa"/>
                  </w:tcMar>
                  <w:vAlign w:val="center"/>
                </w:tcPr>
                <w:p w14:paraId="7A052C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37E103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3DECD4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w:t>
                  </w:r>
                </w:p>
              </w:tc>
              <w:tc>
                <w:tcPr>
                  <w:tcW w:w="1327" w:type="pct"/>
                  <w:vAlign w:val="center"/>
                </w:tcPr>
                <w:p w14:paraId="4DCF79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档案柜密集架</w:t>
                  </w:r>
                </w:p>
              </w:tc>
              <w:tc>
                <w:tcPr>
                  <w:tcW w:w="380" w:type="pct"/>
                  <w:vAlign w:val="center"/>
                </w:tcPr>
                <w:p w14:paraId="4C5F5C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3F2828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35F93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9" w:hRule="atLeast"/>
              </w:trPr>
              <w:tc>
                <w:tcPr>
                  <w:tcW w:w="527" w:type="pct"/>
                  <w:shd w:val="clear" w:color="auto" w:fill="D7D7D7" w:themeFill="background1" w:themeFillShade="D8"/>
                  <w:tcMar>
                    <w:top w:w="0" w:type="dxa"/>
                    <w:left w:w="108" w:type="dxa"/>
                    <w:bottom w:w="0" w:type="dxa"/>
                    <w:right w:w="108" w:type="dxa"/>
                  </w:tcMar>
                  <w:vAlign w:val="center"/>
                </w:tcPr>
                <w:p w14:paraId="7920C7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059" w:type="pct"/>
                  <w:shd w:val="clear" w:color="auto" w:fill="auto"/>
                  <w:tcMar>
                    <w:top w:w="0" w:type="dxa"/>
                    <w:left w:w="108" w:type="dxa"/>
                    <w:bottom w:w="0" w:type="dxa"/>
                    <w:right w:w="108" w:type="dxa"/>
                  </w:tcMar>
                  <w:vAlign w:val="center"/>
                </w:tcPr>
                <w:p w14:paraId="67F9B2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检验分析用纯水设备</w:t>
                  </w:r>
                </w:p>
              </w:tc>
              <w:tc>
                <w:tcPr>
                  <w:tcW w:w="425" w:type="pct"/>
                  <w:shd w:val="clear" w:color="auto" w:fill="auto"/>
                  <w:tcMar>
                    <w:top w:w="0" w:type="dxa"/>
                    <w:left w:w="108" w:type="dxa"/>
                    <w:bottom w:w="0" w:type="dxa"/>
                    <w:right w:w="108" w:type="dxa"/>
                  </w:tcMar>
                  <w:vAlign w:val="center"/>
                </w:tcPr>
                <w:p w14:paraId="511705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7043C3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30E514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w:t>
                  </w:r>
                </w:p>
              </w:tc>
              <w:tc>
                <w:tcPr>
                  <w:tcW w:w="1327" w:type="pct"/>
                  <w:vAlign w:val="center"/>
                </w:tcPr>
                <w:p w14:paraId="19F5E7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江铃全顺牌救护车</w:t>
                  </w:r>
                </w:p>
              </w:tc>
              <w:tc>
                <w:tcPr>
                  <w:tcW w:w="380" w:type="pct"/>
                  <w:vAlign w:val="center"/>
                </w:tcPr>
                <w:p w14:paraId="1CE3DE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355268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r>
            <w:tr w14:paraId="2D0F3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9" w:hRule="atLeast"/>
              </w:trPr>
              <w:tc>
                <w:tcPr>
                  <w:tcW w:w="527" w:type="pct"/>
                  <w:shd w:val="clear" w:color="auto" w:fill="D7D7D7" w:themeFill="background1" w:themeFillShade="D8"/>
                  <w:tcMar>
                    <w:top w:w="0" w:type="dxa"/>
                    <w:left w:w="108" w:type="dxa"/>
                    <w:bottom w:w="0" w:type="dxa"/>
                    <w:right w:w="108" w:type="dxa"/>
                  </w:tcMar>
                  <w:vAlign w:val="center"/>
                </w:tcPr>
                <w:p w14:paraId="39820E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1059" w:type="pct"/>
                  <w:shd w:val="clear" w:color="auto" w:fill="auto"/>
                  <w:tcMar>
                    <w:top w:w="0" w:type="dxa"/>
                    <w:left w:w="108" w:type="dxa"/>
                    <w:bottom w:w="0" w:type="dxa"/>
                    <w:right w:w="108" w:type="dxa"/>
                  </w:tcMar>
                  <w:vAlign w:val="center"/>
                </w:tcPr>
                <w:p w14:paraId="06FE8C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除颤监护仪</w:t>
                  </w:r>
                </w:p>
              </w:tc>
              <w:tc>
                <w:tcPr>
                  <w:tcW w:w="425" w:type="pct"/>
                  <w:shd w:val="clear" w:color="auto" w:fill="auto"/>
                  <w:tcMar>
                    <w:top w:w="0" w:type="dxa"/>
                    <w:left w:w="108" w:type="dxa"/>
                    <w:bottom w:w="0" w:type="dxa"/>
                    <w:right w:w="108" w:type="dxa"/>
                  </w:tcMar>
                  <w:vAlign w:val="center"/>
                </w:tcPr>
                <w:p w14:paraId="03D451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4E3925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0F4C1D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w:t>
                  </w:r>
                </w:p>
              </w:tc>
              <w:tc>
                <w:tcPr>
                  <w:tcW w:w="1327" w:type="pct"/>
                  <w:vAlign w:val="center"/>
                </w:tcPr>
                <w:p w14:paraId="7D10C8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全数字便携式超声诊断系统</w:t>
                  </w:r>
                </w:p>
              </w:tc>
              <w:tc>
                <w:tcPr>
                  <w:tcW w:w="380" w:type="pct"/>
                  <w:vAlign w:val="center"/>
                </w:tcPr>
                <w:p w14:paraId="3489D1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190089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6DAC8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64123F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1059" w:type="pct"/>
                  <w:shd w:val="clear" w:color="auto" w:fill="auto"/>
                  <w:tcMar>
                    <w:top w:w="0" w:type="dxa"/>
                    <w:left w:w="108" w:type="dxa"/>
                    <w:bottom w:w="0" w:type="dxa"/>
                    <w:right w:w="108" w:type="dxa"/>
                  </w:tcMar>
                  <w:vAlign w:val="center"/>
                </w:tcPr>
                <w:p w14:paraId="1266AD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肺功能仪</w:t>
                  </w:r>
                </w:p>
              </w:tc>
              <w:tc>
                <w:tcPr>
                  <w:tcW w:w="425" w:type="pct"/>
                  <w:shd w:val="clear" w:color="auto" w:fill="auto"/>
                  <w:tcMar>
                    <w:top w:w="0" w:type="dxa"/>
                    <w:left w:w="108" w:type="dxa"/>
                    <w:bottom w:w="0" w:type="dxa"/>
                    <w:right w:w="108" w:type="dxa"/>
                  </w:tcMar>
                  <w:vAlign w:val="center"/>
                </w:tcPr>
                <w:p w14:paraId="0A1159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425" w:type="pct"/>
                  <w:shd w:val="clear" w:color="auto" w:fill="auto"/>
                  <w:tcMar>
                    <w:top w:w="0" w:type="dxa"/>
                    <w:left w:w="108" w:type="dxa"/>
                    <w:bottom w:w="0" w:type="dxa"/>
                    <w:right w:w="108" w:type="dxa"/>
                  </w:tcMar>
                  <w:vAlign w:val="center"/>
                </w:tcPr>
                <w:p w14:paraId="59622B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3D1FEA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1327" w:type="pct"/>
                  <w:vAlign w:val="center"/>
                </w:tcPr>
                <w:p w14:paraId="34C359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数字式十二道心电图机</w:t>
                  </w:r>
                </w:p>
              </w:tc>
              <w:tc>
                <w:tcPr>
                  <w:tcW w:w="380" w:type="pct"/>
                  <w:vAlign w:val="center"/>
                </w:tcPr>
                <w:p w14:paraId="76C32B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380" w:type="pct"/>
                  <w:vAlign w:val="center"/>
                </w:tcPr>
                <w:p w14:paraId="2F9424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2322E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6CA6B3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1059" w:type="pct"/>
                  <w:shd w:val="clear" w:color="auto" w:fill="auto"/>
                  <w:tcMar>
                    <w:top w:w="0" w:type="dxa"/>
                    <w:left w:w="108" w:type="dxa"/>
                    <w:bottom w:w="0" w:type="dxa"/>
                    <w:right w:w="108" w:type="dxa"/>
                  </w:tcMar>
                  <w:vAlign w:val="center"/>
                </w:tcPr>
                <w:p w14:paraId="2414C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心电监护（带呼末二氧化碳和双有创）</w:t>
                  </w:r>
                </w:p>
              </w:tc>
              <w:tc>
                <w:tcPr>
                  <w:tcW w:w="425" w:type="pct"/>
                  <w:shd w:val="clear" w:color="auto" w:fill="auto"/>
                  <w:tcMar>
                    <w:top w:w="0" w:type="dxa"/>
                    <w:left w:w="108" w:type="dxa"/>
                    <w:bottom w:w="0" w:type="dxa"/>
                    <w:right w:w="108" w:type="dxa"/>
                  </w:tcMar>
                  <w:vAlign w:val="center"/>
                </w:tcPr>
                <w:p w14:paraId="503376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425" w:type="pct"/>
                  <w:shd w:val="clear" w:color="auto" w:fill="auto"/>
                  <w:tcMar>
                    <w:top w:w="0" w:type="dxa"/>
                    <w:left w:w="108" w:type="dxa"/>
                    <w:bottom w:w="0" w:type="dxa"/>
                    <w:right w:w="108" w:type="dxa"/>
                  </w:tcMar>
                  <w:vAlign w:val="center"/>
                </w:tcPr>
                <w:p w14:paraId="6570C5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2E648B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36</w:t>
                  </w:r>
                </w:p>
              </w:tc>
              <w:tc>
                <w:tcPr>
                  <w:tcW w:w="1327" w:type="pct"/>
                  <w:vAlign w:val="center"/>
                </w:tcPr>
                <w:p w14:paraId="35E7A9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肺功能检测仪</w:t>
                  </w:r>
                </w:p>
              </w:tc>
              <w:tc>
                <w:tcPr>
                  <w:tcW w:w="380" w:type="pct"/>
                  <w:vAlign w:val="center"/>
                </w:tcPr>
                <w:p w14:paraId="186D57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7F74E4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5E5FE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6386FA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1059" w:type="pct"/>
                  <w:shd w:val="clear" w:color="auto" w:fill="auto"/>
                  <w:tcMar>
                    <w:top w:w="0" w:type="dxa"/>
                    <w:left w:w="108" w:type="dxa"/>
                    <w:bottom w:w="0" w:type="dxa"/>
                    <w:right w:w="108" w:type="dxa"/>
                  </w:tcMar>
                  <w:vAlign w:val="center"/>
                </w:tcPr>
                <w:p w14:paraId="2C8C5A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麻醉机</w:t>
                  </w:r>
                </w:p>
              </w:tc>
              <w:tc>
                <w:tcPr>
                  <w:tcW w:w="425" w:type="pct"/>
                  <w:shd w:val="clear" w:color="auto" w:fill="auto"/>
                  <w:tcMar>
                    <w:top w:w="0" w:type="dxa"/>
                    <w:left w:w="108" w:type="dxa"/>
                    <w:bottom w:w="0" w:type="dxa"/>
                    <w:right w:w="108" w:type="dxa"/>
                  </w:tcMar>
                  <w:vAlign w:val="center"/>
                </w:tcPr>
                <w:p w14:paraId="2319C4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w:t>
                  </w:r>
                </w:p>
              </w:tc>
              <w:tc>
                <w:tcPr>
                  <w:tcW w:w="425" w:type="pct"/>
                  <w:shd w:val="clear" w:color="auto" w:fill="auto"/>
                  <w:tcMar>
                    <w:top w:w="0" w:type="dxa"/>
                    <w:left w:w="108" w:type="dxa"/>
                    <w:bottom w:w="0" w:type="dxa"/>
                    <w:right w:w="108" w:type="dxa"/>
                  </w:tcMar>
                  <w:vAlign w:val="center"/>
                </w:tcPr>
                <w:p w14:paraId="1FF731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123706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w:t>
                  </w:r>
                </w:p>
              </w:tc>
              <w:tc>
                <w:tcPr>
                  <w:tcW w:w="1327" w:type="pct"/>
                  <w:vAlign w:val="center"/>
                </w:tcPr>
                <w:p w14:paraId="6B8712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二氧化碳激光治疗机</w:t>
                  </w:r>
                </w:p>
              </w:tc>
              <w:tc>
                <w:tcPr>
                  <w:tcW w:w="380" w:type="pct"/>
                  <w:vAlign w:val="center"/>
                </w:tcPr>
                <w:p w14:paraId="572273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01245B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5C019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145978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1059" w:type="pct"/>
                  <w:shd w:val="clear" w:color="auto" w:fill="auto"/>
                  <w:tcMar>
                    <w:top w:w="0" w:type="dxa"/>
                    <w:left w:w="108" w:type="dxa"/>
                    <w:bottom w:w="0" w:type="dxa"/>
                    <w:right w:w="108" w:type="dxa"/>
                  </w:tcMar>
                  <w:vAlign w:val="center"/>
                </w:tcPr>
                <w:p w14:paraId="21E7B8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血细胞分析仪（五分类）</w:t>
                  </w:r>
                </w:p>
              </w:tc>
              <w:tc>
                <w:tcPr>
                  <w:tcW w:w="425" w:type="pct"/>
                  <w:shd w:val="clear" w:color="auto" w:fill="auto"/>
                  <w:tcMar>
                    <w:top w:w="0" w:type="dxa"/>
                    <w:left w:w="108" w:type="dxa"/>
                    <w:bottom w:w="0" w:type="dxa"/>
                    <w:right w:w="108" w:type="dxa"/>
                  </w:tcMar>
                  <w:vAlign w:val="center"/>
                </w:tcPr>
                <w:p w14:paraId="3119D7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60</w:t>
                  </w:r>
                </w:p>
              </w:tc>
              <w:tc>
                <w:tcPr>
                  <w:tcW w:w="425" w:type="pct"/>
                  <w:shd w:val="clear" w:color="auto" w:fill="auto"/>
                  <w:tcMar>
                    <w:top w:w="0" w:type="dxa"/>
                    <w:left w:w="108" w:type="dxa"/>
                    <w:bottom w:w="0" w:type="dxa"/>
                    <w:right w:w="108" w:type="dxa"/>
                  </w:tcMar>
                  <w:vAlign w:val="center"/>
                </w:tcPr>
                <w:p w14:paraId="0C7F46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718599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w:t>
                  </w:r>
                </w:p>
              </w:tc>
              <w:tc>
                <w:tcPr>
                  <w:tcW w:w="1327" w:type="pct"/>
                  <w:vAlign w:val="center"/>
                </w:tcPr>
                <w:p w14:paraId="457DE1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呼吸湿化治疗仪</w:t>
                  </w:r>
                </w:p>
              </w:tc>
              <w:tc>
                <w:tcPr>
                  <w:tcW w:w="380" w:type="pct"/>
                  <w:vAlign w:val="center"/>
                </w:tcPr>
                <w:p w14:paraId="084BC0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676D3D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0BD41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4A96E3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1059" w:type="pct"/>
                  <w:shd w:val="clear" w:color="auto" w:fill="auto"/>
                  <w:tcMar>
                    <w:top w:w="0" w:type="dxa"/>
                    <w:left w:w="108" w:type="dxa"/>
                    <w:bottom w:w="0" w:type="dxa"/>
                    <w:right w:w="108" w:type="dxa"/>
                  </w:tcMar>
                  <w:vAlign w:val="center"/>
                </w:tcPr>
                <w:p w14:paraId="0390D4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呼吸机</w:t>
                  </w:r>
                </w:p>
              </w:tc>
              <w:tc>
                <w:tcPr>
                  <w:tcW w:w="425" w:type="pct"/>
                  <w:shd w:val="clear" w:color="auto" w:fill="auto"/>
                  <w:tcMar>
                    <w:top w:w="0" w:type="dxa"/>
                    <w:left w:w="108" w:type="dxa"/>
                    <w:bottom w:w="0" w:type="dxa"/>
                    <w:right w:w="108" w:type="dxa"/>
                  </w:tcMar>
                  <w:vAlign w:val="center"/>
                </w:tcPr>
                <w:p w14:paraId="03CB9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425" w:type="pct"/>
                  <w:shd w:val="clear" w:color="auto" w:fill="auto"/>
                  <w:tcMar>
                    <w:top w:w="0" w:type="dxa"/>
                    <w:left w:w="108" w:type="dxa"/>
                    <w:bottom w:w="0" w:type="dxa"/>
                    <w:right w:w="108" w:type="dxa"/>
                  </w:tcMar>
                  <w:vAlign w:val="center"/>
                </w:tcPr>
                <w:p w14:paraId="649CCF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张</w:t>
                  </w:r>
                </w:p>
              </w:tc>
              <w:tc>
                <w:tcPr>
                  <w:tcW w:w="473" w:type="pct"/>
                  <w:shd w:val="clear" w:color="auto" w:fill="D7D7D7" w:themeFill="background1" w:themeFillShade="D8"/>
                  <w:vAlign w:val="center"/>
                </w:tcPr>
                <w:p w14:paraId="2A266B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1327" w:type="pct"/>
                  <w:vAlign w:val="center"/>
                </w:tcPr>
                <w:p w14:paraId="26869C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超声治疗仪</w:t>
                  </w:r>
                </w:p>
              </w:tc>
              <w:tc>
                <w:tcPr>
                  <w:tcW w:w="380" w:type="pct"/>
                  <w:vAlign w:val="center"/>
                </w:tcPr>
                <w:p w14:paraId="5387A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380" w:type="pct"/>
                  <w:vAlign w:val="center"/>
                </w:tcPr>
                <w:p w14:paraId="65356C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2E07B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041429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p>
              </w:tc>
              <w:tc>
                <w:tcPr>
                  <w:tcW w:w="1059" w:type="pct"/>
                  <w:shd w:val="clear" w:color="auto" w:fill="auto"/>
                  <w:tcMar>
                    <w:top w:w="0" w:type="dxa"/>
                    <w:left w:w="108" w:type="dxa"/>
                    <w:bottom w:w="0" w:type="dxa"/>
                    <w:right w:w="108" w:type="dxa"/>
                  </w:tcMar>
                  <w:vAlign w:val="center"/>
                </w:tcPr>
                <w:p w14:paraId="7EF9C5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全自动血细胞分析仪</w:t>
                  </w:r>
                </w:p>
              </w:tc>
              <w:tc>
                <w:tcPr>
                  <w:tcW w:w="425" w:type="pct"/>
                  <w:shd w:val="clear" w:color="auto" w:fill="auto"/>
                  <w:tcMar>
                    <w:top w:w="0" w:type="dxa"/>
                    <w:left w:w="108" w:type="dxa"/>
                    <w:bottom w:w="0" w:type="dxa"/>
                    <w:right w:w="108" w:type="dxa"/>
                  </w:tcMar>
                  <w:vAlign w:val="center"/>
                </w:tcPr>
                <w:p w14:paraId="3CAFBF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5E3D2E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438773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1327" w:type="pct"/>
                  <w:vAlign w:val="center"/>
                </w:tcPr>
                <w:p w14:paraId="68182A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全数字便携式超声诊断系统</w:t>
                  </w:r>
                </w:p>
              </w:tc>
              <w:tc>
                <w:tcPr>
                  <w:tcW w:w="380" w:type="pct"/>
                  <w:vAlign w:val="center"/>
                </w:tcPr>
                <w:p w14:paraId="42E502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12D1B4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1C06E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29A49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1059" w:type="pct"/>
                  <w:shd w:val="clear" w:color="auto" w:fill="auto"/>
                  <w:tcMar>
                    <w:top w:w="0" w:type="dxa"/>
                    <w:left w:w="108" w:type="dxa"/>
                    <w:bottom w:w="0" w:type="dxa"/>
                    <w:right w:w="108" w:type="dxa"/>
                  </w:tcMar>
                  <w:vAlign w:val="center"/>
                </w:tcPr>
                <w:p w14:paraId="216615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24小时动态血压监测仪</w:t>
                  </w:r>
                </w:p>
              </w:tc>
              <w:tc>
                <w:tcPr>
                  <w:tcW w:w="425" w:type="pct"/>
                  <w:shd w:val="clear" w:color="auto" w:fill="auto"/>
                  <w:tcMar>
                    <w:top w:w="0" w:type="dxa"/>
                    <w:left w:w="108" w:type="dxa"/>
                    <w:bottom w:w="0" w:type="dxa"/>
                    <w:right w:w="108" w:type="dxa"/>
                  </w:tcMar>
                  <w:vAlign w:val="center"/>
                </w:tcPr>
                <w:p w14:paraId="7867CE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425" w:type="pct"/>
                  <w:shd w:val="clear" w:color="auto" w:fill="auto"/>
                  <w:tcMar>
                    <w:top w:w="0" w:type="dxa"/>
                    <w:left w:w="108" w:type="dxa"/>
                    <w:bottom w:w="0" w:type="dxa"/>
                    <w:right w:w="108" w:type="dxa"/>
                  </w:tcMar>
                  <w:vAlign w:val="center"/>
                </w:tcPr>
                <w:p w14:paraId="3F7B08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16FB3E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1327" w:type="pct"/>
                  <w:vAlign w:val="center"/>
                </w:tcPr>
                <w:p w14:paraId="6EE8C9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生物安全柜</w:t>
                  </w:r>
                </w:p>
              </w:tc>
              <w:tc>
                <w:tcPr>
                  <w:tcW w:w="380" w:type="pct"/>
                  <w:vAlign w:val="center"/>
                </w:tcPr>
                <w:p w14:paraId="5EEA49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3CA84F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6F5E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116F4B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w:t>
                  </w:r>
                </w:p>
              </w:tc>
              <w:tc>
                <w:tcPr>
                  <w:tcW w:w="1059" w:type="pct"/>
                  <w:shd w:val="clear" w:color="auto" w:fill="auto"/>
                  <w:tcMar>
                    <w:top w:w="0" w:type="dxa"/>
                    <w:left w:w="108" w:type="dxa"/>
                    <w:bottom w:w="0" w:type="dxa"/>
                    <w:right w:w="108" w:type="dxa"/>
                  </w:tcMar>
                  <w:vAlign w:val="center"/>
                </w:tcPr>
                <w:p w14:paraId="53ACAA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肺功能检测仪</w:t>
                  </w:r>
                </w:p>
              </w:tc>
              <w:tc>
                <w:tcPr>
                  <w:tcW w:w="425" w:type="pct"/>
                  <w:shd w:val="clear" w:color="auto" w:fill="auto"/>
                  <w:tcMar>
                    <w:top w:w="0" w:type="dxa"/>
                    <w:left w:w="108" w:type="dxa"/>
                    <w:bottom w:w="0" w:type="dxa"/>
                    <w:right w:w="108" w:type="dxa"/>
                  </w:tcMar>
                  <w:vAlign w:val="center"/>
                </w:tcPr>
                <w:p w14:paraId="74C7A6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10706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303D29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w:t>
                  </w:r>
                </w:p>
              </w:tc>
              <w:tc>
                <w:tcPr>
                  <w:tcW w:w="1327" w:type="pct"/>
                  <w:vAlign w:val="center"/>
                </w:tcPr>
                <w:p w14:paraId="54393E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数字化预防接种门诊-双屏电脑</w:t>
                  </w:r>
                </w:p>
              </w:tc>
              <w:tc>
                <w:tcPr>
                  <w:tcW w:w="380" w:type="pct"/>
                  <w:vAlign w:val="center"/>
                </w:tcPr>
                <w:p w14:paraId="11F5DD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80" w:type="pct"/>
                  <w:vAlign w:val="center"/>
                </w:tcPr>
                <w:p w14:paraId="16D8CB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23EE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4E7E43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w:t>
                  </w:r>
                </w:p>
              </w:tc>
              <w:tc>
                <w:tcPr>
                  <w:tcW w:w="1059" w:type="pct"/>
                  <w:shd w:val="clear" w:color="auto" w:fill="auto"/>
                  <w:tcMar>
                    <w:top w:w="0" w:type="dxa"/>
                    <w:left w:w="108" w:type="dxa"/>
                    <w:bottom w:w="0" w:type="dxa"/>
                    <w:right w:w="108" w:type="dxa"/>
                  </w:tcMar>
                  <w:vAlign w:val="center"/>
                </w:tcPr>
                <w:p w14:paraId="5FE259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壁挂式诊断系统六合一</w:t>
                  </w:r>
                </w:p>
              </w:tc>
              <w:tc>
                <w:tcPr>
                  <w:tcW w:w="425" w:type="pct"/>
                  <w:shd w:val="clear" w:color="auto" w:fill="auto"/>
                  <w:tcMar>
                    <w:top w:w="0" w:type="dxa"/>
                    <w:left w:w="108" w:type="dxa"/>
                    <w:bottom w:w="0" w:type="dxa"/>
                    <w:right w:w="108" w:type="dxa"/>
                  </w:tcMar>
                  <w:vAlign w:val="center"/>
                </w:tcPr>
                <w:p w14:paraId="75645A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425" w:type="pct"/>
                  <w:shd w:val="clear" w:color="auto" w:fill="auto"/>
                  <w:tcMar>
                    <w:top w:w="0" w:type="dxa"/>
                    <w:left w:w="108" w:type="dxa"/>
                    <w:bottom w:w="0" w:type="dxa"/>
                    <w:right w:w="108" w:type="dxa"/>
                  </w:tcMar>
                  <w:vAlign w:val="center"/>
                </w:tcPr>
                <w:p w14:paraId="5729AD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449B32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1327" w:type="pct"/>
                  <w:vAlign w:val="center"/>
                </w:tcPr>
                <w:p w14:paraId="1F425B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数字化预防接种门诊-取号机、留观机</w:t>
                  </w:r>
                </w:p>
              </w:tc>
              <w:tc>
                <w:tcPr>
                  <w:tcW w:w="380" w:type="pct"/>
                  <w:vAlign w:val="center"/>
                </w:tcPr>
                <w:p w14:paraId="6F1D86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3F4881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73F98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1BF744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1059" w:type="pct"/>
                  <w:shd w:val="clear" w:color="auto" w:fill="auto"/>
                  <w:tcMar>
                    <w:top w:w="0" w:type="dxa"/>
                    <w:left w:w="108" w:type="dxa"/>
                    <w:bottom w:w="0" w:type="dxa"/>
                    <w:right w:w="108" w:type="dxa"/>
                  </w:tcMar>
                  <w:vAlign w:val="center"/>
                </w:tcPr>
                <w:p w14:paraId="622600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健康一体机</w:t>
                  </w:r>
                </w:p>
              </w:tc>
              <w:tc>
                <w:tcPr>
                  <w:tcW w:w="425" w:type="pct"/>
                  <w:shd w:val="clear" w:color="auto" w:fill="auto"/>
                  <w:tcMar>
                    <w:top w:w="0" w:type="dxa"/>
                    <w:left w:w="108" w:type="dxa"/>
                    <w:bottom w:w="0" w:type="dxa"/>
                    <w:right w:w="108" w:type="dxa"/>
                  </w:tcMar>
                  <w:vAlign w:val="center"/>
                </w:tcPr>
                <w:p w14:paraId="67BAE2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425" w:type="pct"/>
                  <w:shd w:val="clear" w:color="auto" w:fill="auto"/>
                  <w:tcMar>
                    <w:top w:w="0" w:type="dxa"/>
                    <w:left w:w="108" w:type="dxa"/>
                    <w:bottom w:w="0" w:type="dxa"/>
                    <w:right w:w="108" w:type="dxa"/>
                  </w:tcMar>
                  <w:vAlign w:val="center"/>
                </w:tcPr>
                <w:p w14:paraId="67C5A9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6378A9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44</w:t>
                  </w:r>
                </w:p>
              </w:tc>
              <w:tc>
                <w:tcPr>
                  <w:tcW w:w="1327" w:type="pct"/>
                  <w:vAlign w:val="center"/>
                </w:tcPr>
                <w:p w14:paraId="521FDB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数字化预防接种门诊-双屏电脑</w:t>
                  </w:r>
                </w:p>
              </w:tc>
              <w:tc>
                <w:tcPr>
                  <w:tcW w:w="380" w:type="pct"/>
                  <w:vAlign w:val="center"/>
                </w:tcPr>
                <w:p w14:paraId="62A012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380" w:type="pct"/>
                  <w:vAlign w:val="center"/>
                </w:tcPr>
                <w:p w14:paraId="444754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0776E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42862C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1059" w:type="pct"/>
                  <w:shd w:val="clear" w:color="auto" w:fill="auto"/>
                  <w:tcMar>
                    <w:top w:w="0" w:type="dxa"/>
                    <w:left w:w="108" w:type="dxa"/>
                    <w:bottom w:w="0" w:type="dxa"/>
                    <w:right w:w="108" w:type="dxa"/>
                  </w:tcMar>
                  <w:vAlign w:val="center"/>
                </w:tcPr>
                <w:p w14:paraId="6CDB44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生物显微镜</w:t>
                  </w:r>
                </w:p>
              </w:tc>
              <w:tc>
                <w:tcPr>
                  <w:tcW w:w="425" w:type="pct"/>
                  <w:shd w:val="clear" w:color="auto" w:fill="auto"/>
                  <w:tcMar>
                    <w:top w:w="0" w:type="dxa"/>
                    <w:left w:w="108" w:type="dxa"/>
                    <w:bottom w:w="0" w:type="dxa"/>
                    <w:right w:w="108" w:type="dxa"/>
                  </w:tcMar>
                  <w:vAlign w:val="center"/>
                </w:tcPr>
                <w:p w14:paraId="638FF7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1FF67C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473" w:type="pct"/>
                  <w:shd w:val="clear" w:color="auto" w:fill="D7D7D7" w:themeFill="background1" w:themeFillShade="D8"/>
                  <w:vAlign w:val="center"/>
                </w:tcPr>
                <w:p w14:paraId="12A525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c>
                <w:tcPr>
                  <w:tcW w:w="1327" w:type="pct"/>
                  <w:vAlign w:val="center"/>
                </w:tcPr>
                <w:p w14:paraId="5B7DAD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柴油发电机组</w:t>
                  </w:r>
                </w:p>
              </w:tc>
              <w:tc>
                <w:tcPr>
                  <w:tcW w:w="380" w:type="pct"/>
                  <w:vAlign w:val="center"/>
                </w:tcPr>
                <w:p w14:paraId="5D4C48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0" w:type="pct"/>
                  <w:vAlign w:val="center"/>
                </w:tcPr>
                <w:p w14:paraId="290E2B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64C2A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334C6E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1059" w:type="pct"/>
                  <w:shd w:val="clear" w:color="auto" w:fill="auto"/>
                  <w:tcMar>
                    <w:top w:w="0" w:type="dxa"/>
                    <w:left w:w="108" w:type="dxa"/>
                    <w:bottom w:w="0" w:type="dxa"/>
                    <w:right w:w="108" w:type="dxa"/>
                  </w:tcMar>
                  <w:vAlign w:val="center"/>
                </w:tcPr>
                <w:p w14:paraId="0F1E43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数字式十二道心电图机</w:t>
                  </w:r>
                </w:p>
              </w:tc>
              <w:tc>
                <w:tcPr>
                  <w:tcW w:w="425" w:type="pct"/>
                  <w:shd w:val="clear" w:color="auto" w:fill="auto"/>
                  <w:tcMar>
                    <w:top w:w="0" w:type="dxa"/>
                    <w:left w:w="108" w:type="dxa"/>
                    <w:bottom w:w="0" w:type="dxa"/>
                    <w:right w:w="108" w:type="dxa"/>
                  </w:tcMar>
                  <w:vAlign w:val="center"/>
                </w:tcPr>
                <w:p w14:paraId="02AC68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58978D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1F1E57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46</w:t>
                  </w:r>
                </w:p>
              </w:tc>
              <w:tc>
                <w:tcPr>
                  <w:tcW w:w="1327" w:type="pct"/>
                  <w:vAlign w:val="center"/>
                </w:tcPr>
                <w:p w14:paraId="0E4AD2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汽油发电机</w:t>
                  </w:r>
                </w:p>
              </w:tc>
              <w:tc>
                <w:tcPr>
                  <w:tcW w:w="380" w:type="pct"/>
                  <w:vAlign w:val="center"/>
                </w:tcPr>
                <w:p w14:paraId="33ACD9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380" w:type="pct"/>
                  <w:vAlign w:val="center"/>
                </w:tcPr>
                <w:p w14:paraId="0DC0C1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r>
            <w:tr w14:paraId="3A3F2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3E1466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1059" w:type="pct"/>
                  <w:shd w:val="clear" w:color="auto" w:fill="auto"/>
                  <w:tcMar>
                    <w:top w:w="0" w:type="dxa"/>
                    <w:left w:w="108" w:type="dxa"/>
                    <w:bottom w:w="0" w:type="dxa"/>
                    <w:right w:w="108" w:type="dxa"/>
                  </w:tcMar>
                  <w:vAlign w:val="center"/>
                </w:tcPr>
                <w:p w14:paraId="6B01F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氧气钢瓶</w:t>
                  </w:r>
                </w:p>
              </w:tc>
              <w:tc>
                <w:tcPr>
                  <w:tcW w:w="425" w:type="pct"/>
                  <w:shd w:val="clear" w:color="auto" w:fill="auto"/>
                  <w:tcMar>
                    <w:top w:w="0" w:type="dxa"/>
                    <w:left w:w="108" w:type="dxa"/>
                    <w:bottom w:w="0" w:type="dxa"/>
                    <w:right w:w="108" w:type="dxa"/>
                  </w:tcMar>
                  <w:vAlign w:val="center"/>
                </w:tcPr>
                <w:p w14:paraId="66E761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53BC5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1361F5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1327" w:type="pct"/>
                  <w:vAlign w:val="center"/>
                </w:tcPr>
                <w:p w14:paraId="49E725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万全服务器</w:t>
                  </w:r>
                </w:p>
              </w:tc>
              <w:tc>
                <w:tcPr>
                  <w:tcW w:w="380" w:type="pct"/>
                  <w:vAlign w:val="center"/>
                </w:tcPr>
                <w:p w14:paraId="73157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229911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2067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22C33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1059" w:type="pct"/>
                  <w:shd w:val="clear" w:color="auto" w:fill="auto"/>
                  <w:tcMar>
                    <w:top w:w="0" w:type="dxa"/>
                    <w:left w:w="108" w:type="dxa"/>
                    <w:bottom w:w="0" w:type="dxa"/>
                    <w:right w:w="108" w:type="dxa"/>
                  </w:tcMar>
                  <w:vAlign w:val="center"/>
                </w:tcPr>
                <w:p w14:paraId="561538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牙科综合治疗椅</w:t>
                  </w:r>
                </w:p>
              </w:tc>
              <w:tc>
                <w:tcPr>
                  <w:tcW w:w="425" w:type="pct"/>
                  <w:shd w:val="clear" w:color="auto" w:fill="auto"/>
                  <w:tcMar>
                    <w:top w:w="0" w:type="dxa"/>
                    <w:left w:w="108" w:type="dxa"/>
                    <w:bottom w:w="0" w:type="dxa"/>
                    <w:right w:w="108" w:type="dxa"/>
                  </w:tcMar>
                  <w:vAlign w:val="center"/>
                </w:tcPr>
                <w:p w14:paraId="5988E9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2E2C6E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473" w:type="pct"/>
                  <w:shd w:val="clear" w:color="auto" w:fill="D7D7D7" w:themeFill="background1" w:themeFillShade="D8"/>
                  <w:vAlign w:val="center"/>
                </w:tcPr>
                <w:p w14:paraId="651143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w:t>
                  </w:r>
                </w:p>
              </w:tc>
              <w:tc>
                <w:tcPr>
                  <w:tcW w:w="1327" w:type="pct"/>
                  <w:vAlign w:val="center"/>
                </w:tcPr>
                <w:p w14:paraId="31EEA7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救护车</w:t>
                  </w:r>
                </w:p>
              </w:tc>
              <w:tc>
                <w:tcPr>
                  <w:tcW w:w="380" w:type="pct"/>
                  <w:vAlign w:val="center"/>
                </w:tcPr>
                <w:p w14:paraId="051F54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4F8760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743B1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983B4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1059" w:type="pct"/>
                  <w:shd w:val="clear" w:color="auto" w:fill="auto"/>
                  <w:tcMar>
                    <w:top w:w="0" w:type="dxa"/>
                    <w:left w:w="108" w:type="dxa"/>
                    <w:bottom w:w="0" w:type="dxa"/>
                    <w:right w:w="108" w:type="dxa"/>
                  </w:tcMar>
                  <w:vAlign w:val="center"/>
                </w:tcPr>
                <w:p w14:paraId="59D32C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牙科X射线机</w:t>
                  </w:r>
                </w:p>
              </w:tc>
              <w:tc>
                <w:tcPr>
                  <w:tcW w:w="425" w:type="pct"/>
                  <w:shd w:val="clear" w:color="auto" w:fill="auto"/>
                  <w:tcMar>
                    <w:top w:w="0" w:type="dxa"/>
                    <w:left w:w="108" w:type="dxa"/>
                    <w:bottom w:w="0" w:type="dxa"/>
                    <w:right w:w="108" w:type="dxa"/>
                  </w:tcMar>
                  <w:vAlign w:val="center"/>
                </w:tcPr>
                <w:p w14:paraId="18347D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091063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6D5D3C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1327" w:type="pct"/>
                  <w:vAlign w:val="center"/>
                </w:tcPr>
                <w:p w14:paraId="06B689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彩超诊断仪</w:t>
                  </w:r>
                </w:p>
              </w:tc>
              <w:tc>
                <w:tcPr>
                  <w:tcW w:w="380" w:type="pct"/>
                  <w:vAlign w:val="center"/>
                </w:tcPr>
                <w:p w14:paraId="2097A3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7F4865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762CE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D0B55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w:t>
                  </w:r>
                </w:p>
              </w:tc>
              <w:tc>
                <w:tcPr>
                  <w:tcW w:w="1059" w:type="pct"/>
                  <w:shd w:val="clear" w:color="auto" w:fill="auto"/>
                  <w:tcMar>
                    <w:top w:w="0" w:type="dxa"/>
                    <w:left w:w="108" w:type="dxa"/>
                    <w:bottom w:w="0" w:type="dxa"/>
                    <w:right w:w="108" w:type="dxa"/>
                  </w:tcMar>
                  <w:vAlign w:val="center"/>
                </w:tcPr>
                <w:p w14:paraId="503AD6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全数字便携式超声显像诊断仪</w:t>
                  </w:r>
                </w:p>
              </w:tc>
              <w:tc>
                <w:tcPr>
                  <w:tcW w:w="425" w:type="pct"/>
                  <w:shd w:val="clear" w:color="auto" w:fill="auto"/>
                  <w:tcMar>
                    <w:top w:w="0" w:type="dxa"/>
                    <w:left w:w="108" w:type="dxa"/>
                    <w:bottom w:w="0" w:type="dxa"/>
                    <w:right w:w="108" w:type="dxa"/>
                  </w:tcMar>
                  <w:vAlign w:val="center"/>
                </w:tcPr>
                <w:p w14:paraId="722C98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79A97B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25BFCE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w:t>
                  </w:r>
                </w:p>
              </w:tc>
              <w:tc>
                <w:tcPr>
                  <w:tcW w:w="1327" w:type="pct"/>
                  <w:vAlign w:val="center"/>
                </w:tcPr>
                <w:p w14:paraId="1E548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长安救护车</w:t>
                  </w:r>
                </w:p>
              </w:tc>
              <w:tc>
                <w:tcPr>
                  <w:tcW w:w="380" w:type="pct"/>
                  <w:vAlign w:val="center"/>
                </w:tcPr>
                <w:p w14:paraId="364C7C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80" w:type="pct"/>
                  <w:vAlign w:val="center"/>
                </w:tcPr>
                <w:p w14:paraId="3B8159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245B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5D18C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w:t>
                  </w:r>
                </w:p>
              </w:tc>
              <w:tc>
                <w:tcPr>
                  <w:tcW w:w="1059" w:type="pct"/>
                  <w:shd w:val="clear" w:color="auto" w:fill="auto"/>
                  <w:tcMar>
                    <w:top w:w="0" w:type="dxa"/>
                    <w:left w:w="108" w:type="dxa"/>
                    <w:bottom w:w="0" w:type="dxa"/>
                    <w:right w:w="108" w:type="dxa"/>
                  </w:tcMar>
                  <w:vAlign w:val="center"/>
                </w:tcPr>
                <w:p w14:paraId="73D513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低周波治疗仪</w:t>
                  </w:r>
                </w:p>
              </w:tc>
              <w:tc>
                <w:tcPr>
                  <w:tcW w:w="425" w:type="pct"/>
                  <w:shd w:val="clear" w:color="auto" w:fill="auto"/>
                  <w:tcMar>
                    <w:top w:w="0" w:type="dxa"/>
                    <w:left w:w="108" w:type="dxa"/>
                    <w:bottom w:w="0" w:type="dxa"/>
                    <w:right w:w="108" w:type="dxa"/>
                  </w:tcMar>
                  <w:vAlign w:val="center"/>
                </w:tcPr>
                <w:p w14:paraId="520088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2AF92A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2561" w:type="pct"/>
                  <w:gridSpan w:val="4"/>
                  <w:shd w:val="clear" w:color="auto" w:fill="D7D7D7" w:themeFill="background1" w:themeFillShade="D8"/>
                  <w:vAlign w:val="center"/>
                </w:tcPr>
                <w:p w14:paraId="75907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本次扩建新增设备</w:t>
                  </w:r>
                </w:p>
              </w:tc>
            </w:tr>
            <w:tr w14:paraId="00944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5" w:hRule="atLeast"/>
              </w:trPr>
              <w:tc>
                <w:tcPr>
                  <w:tcW w:w="527" w:type="pct"/>
                  <w:shd w:val="clear" w:color="auto" w:fill="D7D7D7" w:themeFill="background1" w:themeFillShade="D8"/>
                  <w:tcMar>
                    <w:top w:w="0" w:type="dxa"/>
                    <w:left w:w="108" w:type="dxa"/>
                    <w:bottom w:w="0" w:type="dxa"/>
                    <w:right w:w="108" w:type="dxa"/>
                  </w:tcMar>
                  <w:vAlign w:val="center"/>
                </w:tcPr>
                <w:p w14:paraId="2671F6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w:t>
                  </w:r>
                </w:p>
              </w:tc>
              <w:tc>
                <w:tcPr>
                  <w:tcW w:w="1059" w:type="pct"/>
                  <w:shd w:val="clear" w:color="auto" w:fill="auto"/>
                  <w:tcMar>
                    <w:top w:w="0" w:type="dxa"/>
                    <w:left w:w="108" w:type="dxa"/>
                    <w:bottom w:w="0" w:type="dxa"/>
                    <w:right w:w="108" w:type="dxa"/>
                  </w:tcMar>
                  <w:vAlign w:val="center"/>
                </w:tcPr>
                <w:p w14:paraId="58F419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低周波治疗仪</w:t>
                  </w:r>
                </w:p>
              </w:tc>
              <w:tc>
                <w:tcPr>
                  <w:tcW w:w="425" w:type="pct"/>
                  <w:shd w:val="clear" w:color="auto" w:fill="auto"/>
                  <w:tcMar>
                    <w:top w:w="0" w:type="dxa"/>
                    <w:left w:w="108" w:type="dxa"/>
                    <w:bottom w:w="0" w:type="dxa"/>
                    <w:right w:w="108" w:type="dxa"/>
                  </w:tcMar>
                  <w:vAlign w:val="center"/>
                </w:tcPr>
                <w:p w14:paraId="298A7D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447C14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2510C2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w:t>
                  </w:r>
                </w:p>
              </w:tc>
              <w:tc>
                <w:tcPr>
                  <w:tcW w:w="1327" w:type="pct"/>
                  <w:vAlign w:val="center"/>
                </w:tcPr>
                <w:p w14:paraId="3132D7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计算机断层扫描仪（CT）</w:t>
                  </w:r>
                </w:p>
              </w:tc>
              <w:tc>
                <w:tcPr>
                  <w:tcW w:w="380" w:type="pct"/>
                  <w:vAlign w:val="center"/>
                </w:tcPr>
                <w:p w14:paraId="52E7C0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w:t>
                  </w:r>
                </w:p>
              </w:tc>
              <w:tc>
                <w:tcPr>
                  <w:tcW w:w="380" w:type="pct"/>
                  <w:vAlign w:val="center"/>
                </w:tcPr>
                <w:p w14:paraId="248692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r>
            <w:tr w14:paraId="1F29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228C44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w:t>
                  </w:r>
                </w:p>
              </w:tc>
              <w:tc>
                <w:tcPr>
                  <w:tcW w:w="1059" w:type="pct"/>
                  <w:shd w:val="clear" w:color="auto" w:fill="auto"/>
                  <w:tcMar>
                    <w:top w:w="0" w:type="dxa"/>
                    <w:left w:w="108" w:type="dxa"/>
                    <w:bottom w:w="0" w:type="dxa"/>
                    <w:right w:w="108" w:type="dxa"/>
                  </w:tcMar>
                  <w:vAlign w:val="center"/>
                </w:tcPr>
                <w:p w14:paraId="391928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卧式圆形压力蒸汽灭菌器</w:t>
                  </w:r>
                </w:p>
              </w:tc>
              <w:tc>
                <w:tcPr>
                  <w:tcW w:w="425" w:type="pct"/>
                  <w:shd w:val="clear" w:color="auto" w:fill="auto"/>
                  <w:tcMar>
                    <w:top w:w="0" w:type="dxa"/>
                    <w:left w:w="108" w:type="dxa"/>
                    <w:bottom w:w="0" w:type="dxa"/>
                    <w:right w:w="108" w:type="dxa"/>
                  </w:tcMar>
                  <w:vAlign w:val="center"/>
                </w:tcPr>
                <w:p w14:paraId="5EB6F6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237C6D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63B488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w:t>
                  </w:r>
                </w:p>
              </w:tc>
              <w:tc>
                <w:tcPr>
                  <w:tcW w:w="1327" w:type="pct"/>
                  <w:vAlign w:val="center"/>
                </w:tcPr>
                <w:p w14:paraId="267D1D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腹腔镜系统</w:t>
                  </w:r>
                </w:p>
              </w:tc>
              <w:tc>
                <w:tcPr>
                  <w:tcW w:w="380" w:type="pct"/>
                  <w:vAlign w:val="center"/>
                </w:tcPr>
                <w:p w14:paraId="33935F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w:t>
                  </w:r>
                </w:p>
              </w:tc>
              <w:tc>
                <w:tcPr>
                  <w:tcW w:w="380" w:type="pct"/>
                  <w:vAlign w:val="center"/>
                </w:tcPr>
                <w:p w14:paraId="71F764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套</w:t>
                  </w:r>
                </w:p>
              </w:tc>
            </w:tr>
            <w:tr w14:paraId="71BF3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1F764F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1059" w:type="pct"/>
                  <w:shd w:val="clear" w:color="auto" w:fill="auto"/>
                  <w:tcMar>
                    <w:top w:w="0" w:type="dxa"/>
                    <w:left w:w="108" w:type="dxa"/>
                    <w:bottom w:w="0" w:type="dxa"/>
                    <w:right w:w="108" w:type="dxa"/>
                  </w:tcMar>
                  <w:vAlign w:val="center"/>
                </w:tcPr>
                <w:p w14:paraId="453B2E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四维多功能牵引床</w:t>
                  </w:r>
                </w:p>
              </w:tc>
              <w:tc>
                <w:tcPr>
                  <w:tcW w:w="425" w:type="pct"/>
                  <w:shd w:val="clear" w:color="auto" w:fill="auto"/>
                  <w:tcMar>
                    <w:top w:w="0" w:type="dxa"/>
                    <w:left w:w="108" w:type="dxa"/>
                    <w:bottom w:w="0" w:type="dxa"/>
                    <w:right w:w="108" w:type="dxa"/>
                  </w:tcMar>
                  <w:vAlign w:val="center"/>
                </w:tcPr>
                <w:p w14:paraId="2164FB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425" w:type="pct"/>
                  <w:shd w:val="clear" w:color="auto" w:fill="auto"/>
                  <w:tcMar>
                    <w:top w:w="0" w:type="dxa"/>
                    <w:left w:w="108" w:type="dxa"/>
                    <w:bottom w:w="0" w:type="dxa"/>
                    <w:right w:w="108" w:type="dxa"/>
                  </w:tcMar>
                  <w:vAlign w:val="center"/>
                </w:tcPr>
                <w:p w14:paraId="607A67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支</w:t>
                  </w:r>
                </w:p>
              </w:tc>
              <w:tc>
                <w:tcPr>
                  <w:tcW w:w="473" w:type="pct"/>
                  <w:shd w:val="clear" w:color="auto" w:fill="D7D7D7" w:themeFill="background1" w:themeFillShade="D8"/>
                  <w:vAlign w:val="center"/>
                </w:tcPr>
                <w:p w14:paraId="78DF8F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p>
              </w:tc>
              <w:tc>
                <w:tcPr>
                  <w:tcW w:w="1327" w:type="pct"/>
                  <w:vAlign w:val="center"/>
                </w:tcPr>
                <w:p w14:paraId="01385B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胃肠镜系统</w:t>
                  </w:r>
                </w:p>
              </w:tc>
              <w:tc>
                <w:tcPr>
                  <w:tcW w:w="589" w:type="dxa"/>
                  <w:vAlign w:val="center"/>
                </w:tcPr>
                <w:p w14:paraId="7FD953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w:t>
                  </w:r>
                </w:p>
              </w:tc>
              <w:tc>
                <w:tcPr>
                  <w:tcW w:w="591" w:type="dxa"/>
                  <w:vAlign w:val="center"/>
                </w:tcPr>
                <w:p w14:paraId="517089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套</w:t>
                  </w:r>
                </w:p>
              </w:tc>
            </w:tr>
            <w:tr w14:paraId="1E24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0F529B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w:t>
                  </w:r>
                </w:p>
              </w:tc>
              <w:tc>
                <w:tcPr>
                  <w:tcW w:w="1059" w:type="pct"/>
                  <w:shd w:val="clear" w:color="auto" w:fill="auto"/>
                  <w:tcMar>
                    <w:top w:w="0" w:type="dxa"/>
                    <w:left w:w="108" w:type="dxa"/>
                    <w:bottom w:w="0" w:type="dxa"/>
                    <w:right w:w="108" w:type="dxa"/>
                  </w:tcMar>
                  <w:vAlign w:val="center"/>
                </w:tcPr>
                <w:p w14:paraId="49DC19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中药熏蒸机</w:t>
                  </w:r>
                </w:p>
              </w:tc>
              <w:tc>
                <w:tcPr>
                  <w:tcW w:w="425" w:type="pct"/>
                  <w:shd w:val="clear" w:color="auto" w:fill="auto"/>
                  <w:tcMar>
                    <w:top w:w="0" w:type="dxa"/>
                    <w:left w:w="108" w:type="dxa"/>
                    <w:bottom w:w="0" w:type="dxa"/>
                    <w:right w:w="108" w:type="dxa"/>
                  </w:tcMar>
                  <w:vAlign w:val="center"/>
                </w:tcPr>
                <w:p w14:paraId="548868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02B6EC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0E6DDA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p>
              </w:tc>
              <w:tc>
                <w:tcPr>
                  <w:tcW w:w="1327" w:type="pct"/>
                  <w:vAlign w:val="center"/>
                </w:tcPr>
                <w:p w14:paraId="38CA01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261A04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00B54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r>
            <w:tr w14:paraId="2FB0F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00B977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27</w:t>
                  </w:r>
                </w:p>
              </w:tc>
              <w:tc>
                <w:tcPr>
                  <w:tcW w:w="1059" w:type="pct"/>
                  <w:shd w:val="clear" w:color="auto" w:fill="auto"/>
                  <w:tcMar>
                    <w:top w:w="0" w:type="dxa"/>
                    <w:left w:w="108" w:type="dxa"/>
                    <w:bottom w:w="0" w:type="dxa"/>
                    <w:right w:w="108" w:type="dxa"/>
                  </w:tcMar>
                  <w:vAlign w:val="center"/>
                </w:tcPr>
                <w:p w14:paraId="5A7825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夏普多功能一体机</w:t>
                  </w:r>
                </w:p>
              </w:tc>
              <w:tc>
                <w:tcPr>
                  <w:tcW w:w="425" w:type="pct"/>
                  <w:shd w:val="clear" w:color="auto" w:fill="auto"/>
                  <w:tcMar>
                    <w:top w:w="0" w:type="dxa"/>
                    <w:left w:w="108" w:type="dxa"/>
                    <w:bottom w:w="0" w:type="dxa"/>
                    <w:right w:w="108" w:type="dxa"/>
                  </w:tcMar>
                  <w:vAlign w:val="center"/>
                </w:tcPr>
                <w:p w14:paraId="16272B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4B0EF0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473" w:type="pct"/>
                  <w:shd w:val="clear" w:color="auto" w:fill="D7D7D7" w:themeFill="background1" w:themeFillShade="D8"/>
                  <w:vAlign w:val="center"/>
                </w:tcPr>
                <w:p w14:paraId="55927D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p>
              </w:tc>
              <w:tc>
                <w:tcPr>
                  <w:tcW w:w="1327" w:type="pct"/>
                  <w:vAlign w:val="center"/>
                </w:tcPr>
                <w:p w14:paraId="698D47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74EFAA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74E04D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r>
            <w:tr w14:paraId="425E6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9B04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w:t>
                  </w:r>
                </w:p>
              </w:tc>
              <w:tc>
                <w:tcPr>
                  <w:tcW w:w="1059" w:type="pct"/>
                  <w:shd w:val="clear" w:color="auto" w:fill="auto"/>
                  <w:tcMar>
                    <w:top w:w="0" w:type="dxa"/>
                    <w:left w:w="108" w:type="dxa"/>
                    <w:bottom w:w="0" w:type="dxa"/>
                    <w:right w:w="108" w:type="dxa"/>
                  </w:tcMar>
                  <w:vAlign w:val="center"/>
                </w:tcPr>
                <w:p w14:paraId="3BB589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车载信息终端GPS设备</w:t>
                  </w:r>
                </w:p>
              </w:tc>
              <w:tc>
                <w:tcPr>
                  <w:tcW w:w="425" w:type="pct"/>
                  <w:shd w:val="clear" w:color="auto" w:fill="auto"/>
                  <w:tcMar>
                    <w:top w:w="0" w:type="dxa"/>
                    <w:left w:w="108" w:type="dxa"/>
                    <w:bottom w:w="0" w:type="dxa"/>
                    <w:right w:w="108" w:type="dxa"/>
                  </w:tcMar>
                  <w:vAlign w:val="center"/>
                </w:tcPr>
                <w:p w14:paraId="3D9037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12E13D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473" w:type="pct"/>
                  <w:shd w:val="clear" w:color="auto" w:fill="D7D7D7" w:themeFill="background1" w:themeFillShade="D8"/>
                  <w:vAlign w:val="center"/>
                </w:tcPr>
                <w:p w14:paraId="692C25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p>
              </w:tc>
              <w:tc>
                <w:tcPr>
                  <w:tcW w:w="1327" w:type="pct"/>
                  <w:vAlign w:val="center"/>
                </w:tcPr>
                <w:p w14:paraId="2FF126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12678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77F6E4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r>
            <w:tr w14:paraId="54EAE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3" w:hRule="atLeast"/>
              </w:trPr>
              <w:tc>
                <w:tcPr>
                  <w:tcW w:w="527" w:type="pct"/>
                  <w:shd w:val="clear" w:color="auto" w:fill="D7D7D7" w:themeFill="background1" w:themeFillShade="D8"/>
                  <w:tcMar>
                    <w:top w:w="0" w:type="dxa"/>
                    <w:left w:w="108" w:type="dxa"/>
                    <w:bottom w:w="0" w:type="dxa"/>
                    <w:right w:w="108" w:type="dxa"/>
                  </w:tcMar>
                  <w:vAlign w:val="center"/>
                </w:tcPr>
                <w:p w14:paraId="570657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1059" w:type="pct"/>
                  <w:shd w:val="clear" w:color="auto" w:fill="auto"/>
                  <w:tcMar>
                    <w:top w:w="0" w:type="dxa"/>
                    <w:left w:w="108" w:type="dxa"/>
                    <w:bottom w:w="0" w:type="dxa"/>
                    <w:right w:w="108" w:type="dxa"/>
                  </w:tcMar>
                  <w:vAlign w:val="center"/>
                </w:tcPr>
                <w:p w14:paraId="7C1310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全数字高档彩色多普勒超声诊断仪器</w:t>
                  </w:r>
                </w:p>
              </w:tc>
              <w:tc>
                <w:tcPr>
                  <w:tcW w:w="425" w:type="pct"/>
                  <w:shd w:val="clear" w:color="auto" w:fill="auto"/>
                  <w:tcMar>
                    <w:top w:w="0" w:type="dxa"/>
                    <w:left w:w="108" w:type="dxa"/>
                    <w:bottom w:w="0" w:type="dxa"/>
                    <w:right w:w="108" w:type="dxa"/>
                  </w:tcMar>
                  <w:vAlign w:val="center"/>
                </w:tcPr>
                <w:p w14:paraId="677CCB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25" w:type="pct"/>
                  <w:shd w:val="clear" w:color="auto" w:fill="auto"/>
                  <w:tcMar>
                    <w:top w:w="0" w:type="dxa"/>
                    <w:left w:w="108" w:type="dxa"/>
                    <w:bottom w:w="0" w:type="dxa"/>
                    <w:right w:w="108" w:type="dxa"/>
                  </w:tcMar>
                  <w:vAlign w:val="center"/>
                </w:tcPr>
                <w:p w14:paraId="21BEE1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473" w:type="pct"/>
                  <w:shd w:val="clear" w:color="auto" w:fill="D7D7D7" w:themeFill="background1" w:themeFillShade="D8"/>
                  <w:vAlign w:val="center"/>
                </w:tcPr>
                <w:p w14:paraId="26E071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color w:val="auto"/>
                      <w:sz w:val="21"/>
                      <w:szCs w:val="21"/>
                      <w:highlight w:val="none"/>
                      <w:lang w:val="en-US" w:eastAsia="zh-CN"/>
                    </w:rPr>
                  </w:pPr>
                </w:p>
              </w:tc>
              <w:tc>
                <w:tcPr>
                  <w:tcW w:w="1327" w:type="pct"/>
                  <w:vAlign w:val="center"/>
                </w:tcPr>
                <w:p w14:paraId="4216B6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11FF50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c>
                <w:tcPr>
                  <w:tcW w:w="380" w:type="pct"/>
                  <w:vAlign w:val="center"/>
                </w:tcPr>
                <w:p w14:paraId="6821C6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宋体" w:hAnsi="宋体" w:eastAsia="宋体" w:cs="宋体"/>
                      <w:color w:val="auto"/>
                      <w:sz w:val="21"/>
                      <w:szCs w:val="21"/>
                      <w:highlight w:val="none"/>
                      <w:lang w:val="en-US" w:eastAsia="zh-CN"/>
                    </w:rPr>
                  </w:pPr>
                </w:p>
              </w:tc>
            </w:tr>
          </w:tbl>
          <w:p w14:paraId="17816ADB">
            <w:pPr>
              <w:widowControl/>
              <w:ind w:firstLine="482"/>
              <w:jc w:val="left"/>
              <w:rPr>
                <w:b/>
                <w:bCs/>
                <w:color w:val="auto"/>
                <w:kern w:val="0"/>
                <w:szCs w:val="24"/>
                <w:lang w:bidi="ar"/>
              </w:rPr>
            </w:pPr>
          </w:p>
          <w:p w14:paraId="34BF8156">
            <w:pPr>
              <w:widowControl/>
              <w:ind w:firstLine="482"/>
              <w:jc w:val="left"/>
              <w:rPr>
                <w:b/>
                <w:bCs/>
                <w:color w:val="auto"/>
                <w:kern w:val="0"/>
                <w:szCs w:val="24"/>
                <w:lang w:bidi="ar"/>
              </w:rPr>
            </w:pPr>
            <w:r>
              <w:rPr>
                <w:b/>
                <w:bCs/>
                <w:color w:val="auto"/>
                <w:kern w:val="0"/>
                <w:szCs w:val="24"/>
                <w:lang w:bidi="ar"/>
              </w:rPr>
              <w:t>（4）主要医疗耗材</w:t>
            </w:r>
          </w:p>
          <w:p w14:paraId="7C6BA872">
            <w:pPr>
              <w:widowControl/>
              <w:ind w:firstLine="480"/>
              <w:jc w:val="left"/>
              <w:rPr>
                <w:color w:val="auto"/>
              </w:rPr>
            </w:pPr>
            <w:r>
              <w:rPr>
                <w:color w:val="auto"/>
                <w:kern w:val="0"/>
                <w:szCs w:val="24"/>
                <w:lang w:bidi="ar"/>
              </w:rPr>
              <w:t>项目主要医疗耗材见下表。</w:t>
            </w:r>
          </w:p>
          <w:p w14:paraId="345769B8">
            <w:pPr>
              <w:pStyle w:val="38"/>
              <w:rPr>
                <w:rFonts w:ascii="Times New Roman" w:hAnsi="Times New Roman" w:eastAsia="宋体"/>
                <w:b/>
                <w:bCs/>
                <w:color w:val="auto"/>
                <w:highlight w:val="none"/>
              </w:rPr>
            </w:pPr>
            <w:r>
              <w:rPr>
                <w:rFonts w:ascii="Times New Roman" w:hAnsi="Times New Roman" w:eastAsia="宋体"/>
                <w:b/>
                <w:bCs/>
                <w:color w:val="auto"/>
                <w:highlight w:val="none"/>
              </w:rPr>
              <w:t>表2-</w:t>
            </w:r>
            <w:r>
              <w:rPr>
                <w:rFonts w:hint="eastAsia" w:ascii="Times New Roman" w:hAnsi="Times New Roman" w:eastAsia="宋体"/>
                <w:b/>
                <w:bCs/>
                <w:color w:val="auto"/>
                <w:highlight w:val="none"/>
                <w:lang w:val="en-US" w:eastAsia="zh-CN"/>
              </w:rPr>
              <w:t>8江川区医共体总医院</w:t>
            </w:r>
            <w:r>
              <w:rPr>
                <w:rFonts w:ascii="Times New Roman" w:hAnsi="Times New Roman" w:eastAsia="宋体"/>
                <w:b/>
                <w:bCs/>
                <w:color w:val="auto"/>
                <w:highlight w:val="none"/>
              </w:rPr>
              <w:t>项目原辅料情况表</w:t>
            </w:r>
          </w:p>
          <w:tbl>
            <w:tblPr>
              <w:tblStyle w:val="19"/>
              <w:tblW w:w="4943" w:type="pct"/>
              <w:tblInd w:w="0" w:type="dxa"/>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
            <w:tblGrid>
              <w:gridCol w:w="418"/>
              <w:gridCol w:w="1384"/>
              <w:gridCol w:w="793"/>
              <w:gridCol w:w="1599"/>
              <w:gridCol w:w="419"/>
              <w:gridCol w:w="848"/>
              <w:gridCol w:w="840"/>
              <w:gridCol w:w="617"/>
              <w:gridCol w:w="478"/>
            </w:tblGrid>
            <w:tr w14:paraId="14EA6D20">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63"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79C82E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936" w:type="pct"/>
                  <w:tcBorders>
                    <w:top w:val="single" w:color="auto" w:sz="4" w:space="0"/>
                    <w:left w:val="nil"/>
                    <w:bottom w:val="single" w:color="auto" w:sz="4" w:space="0"/>
                    <w:right w:val="single" w:color="auto" w:sz="4" w:space="0"/>
                  </w:tcBorders>
                  <w:shd w:val="clear" w:color="auto" w:fill="auto"/>
                  <w:noWrap/>
                  <w:vAlign w:val="center"/>
                </w:tcPr>
                <w:p w14:paraId="11F77FA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品名</w:t>
                  </w:r>
                </w:p>
              </w:tc>
              <w:tc>
                <w:tcPr>
                  <w:tcW w:w="536" w:type="pct"/>
                  <w:tcBorders>
                    <w:top w:val="single" w:color="auto" w:sz="4" w:space="0"/>
                    <w:left w:val="nil"/>
                    <w:bottom w:val="single" w:color="auto" w:sz="4" w:space="0"/>
                    <w:right w:val="single" w:color="auto" w:sz="4" w:space="0"/>
                  </w:tcBorders>
                  <w:shd w:val="clear" w:color="auto" w:fill="auto"/>
                  <w:noWrap/>
                  <w:vAlign w:val="center"/>
                </w:tcPr>
                <w:p w14:paraId="322D8B0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规格</w:t>
                  </w:r>
                </w:p>
              </w:tc>
              <w:tc>
                <w:tcPr>
                  <w:tcW w:w="1081" w:type="pct"/>
                  <w:tcBorders>
                    <w:top w:val="single" w:color="auto" w:sz="4" w:space="0"/>
                    <w:left w:val="nil"/>
                    <w:bottom w:val="single" w:color="auto" w:sz="4" w:space="0"/>
                    <w:right w:val="single" w:color="auto" w:sz="4" w:space="0"/>
                  </w:tcBorders>
                  <w:shd w:val="clear" w:color="auto" w:fill="auto"/>
                  <w:noWrap/>
                  <w:vAlign w:val="center"/>
                </w:tcPr>
                <w:p w14:paraId="296729C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产地</w:t>
                  </w:r>
                </w:p>
              </w:tc>
              <w:tc>
                <w:tcPr>
                  <w:tcW w:w="283" w:type="pct"/>
                  <w:tcBorders>
                    <w:top w:val="single" w:color="auto" w:sz="4" w:space="0"/>
                    <w:left w:val="nil"/>
                    <w:bottom w:val="single" w:color="auto" w:sz="4" w:space="0"/>
                    <w:right w:val="single" w:color="auto" w:sz="4" w:space="0"/>
                  </w:tcBorders>
                  <w:shd w:val="clear" w:color="auto" w:fill="auto"/>
                  <w:noWrap/>
                  <w:vAlign w:val="center"/>
                </w:tcPr>
                <w:p w14:paraId="3BEE1DC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单位</w:t>
                  </w:r>
                </w:p>
              </w:tc>
              <w:tc>
                <w:tcPr>
                  <w:tcW w:w="573" w:type="pct"/>
                  <w:tcBorders>
                    <w:top w:val="single" w:color="auto" w:sz="4" w:space="0"/>
                    <w:left w:val="nil"/>
                    <w:bottom w:val="single" w:color="auto" w:sz="4" w:space="0"/>
                    <w:right w:val="single" w:color="auto" w:sz="4" w:space="0"/>
                  </w:tcBorders>
                  <w:shd w:val="clear" w:color="auto" w:fill="auto"/>
                  <w:noWrap/>
                  <w:vAlign w:val="center"/>
                </w:tcPr>
                <w:p w14:paraId="1B1A64A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库存量（现）</w:t>
                  </w:r>
                </w:p>
              </w:tc>
              <w:tc>
                <w:tcPr>
                  <w:tcW w:w="568" w:type="pct"/>
                  <w:tcBorders>
                    <w:top w:val="single" w:color="auto" w:sz="4" w:space="0"/>
                    <w:left w:val="nil"/>
                    <w:bottom w:val="single" w:color="auto" w:sz="4" w:space="0"/>
                    <w:right w:val="single" w:color="auto" w:sz="4" w:space="0"/>
                  </w:tcBorders>
                  <w:shd w:val="clear" w:color="auto" w:fill="auto"/>
                  <w:noWrap/>
                  <w:vAlign w:val="center"/>
                </w:tcPr>
                <w:p w14:paraId="038161E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月使用量（现）</w:t>
                  </w:r>
                </w:p>
              </w:tc>
              <w:tc>
                <w:tcPr>
                  <w:tcW w:w="417" w:type="pct"/>
                  <w:tcBorders>
                    <w:top w:val="single" w:color="auto" w:sz="4" w:space="0"/>
                    <w:left w:val="nil"/>
                    <w:bottom w:val="single" w:color="auto" w:sz="4" w:space="0"/>
                    <w:right w:val="single" w:color="auto" w:sz="4" w:space="0"/>
                  </w:tcBorders>
                  <w:vAlign w:val="center"/>
                </w:tcPr>
                <w:p w14:paraId="399DB7B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库存量（预计）</w:t>
                  </w:r>
                </w:p>
              </w:tc>
              <w:tc>
                <w:tcPr>
                  <w:tcW w:w="319" w:type="pct"/>
                  <w:tcBorders>
                    <w:top w:val="single" w:color="auto" w:sz="4" w:space="0"/>
                    <w:left w:val="nil"/>
                    <w:bottom w:val="single" w:color="auto" w:sz="4" w:space="0"/>
                    <w:right w:val="single" w:color="auto" w:sz="4" w:space="0"/>
                  </w:tcBorders>
                  <w:vAlign w:val="center"/>
                </w:tcPr>
                <w:p w14:paraId="176D715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月使用量（预计）</w:t>
                  </w:r>
                </w:p>
              </w:tc>
            </w:tr>
            <w:tr w14:paraId="51B8A87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0D7F057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936" w:type="pct"/>
                  <w:tcBorders>
                    <w:top w:val="nil"/>
                    <w:left w:val="nil"/>
                    <w:bottom w:val="single" w:color="auto" w:sz="4" w:space="0"/>
                    <w:right w:val="single" w:color="auto" w:sz="4" w:space="0"/>
                  </w:tcBorders>
                  <w:shd w:val="clear" w:color="auto" w:fill="auto"/>
                  <w:noWrap/>
                  <w:vAlign w:val="center"/>
                </w:tcPr>
                <w:p w14:paraId="7B883B1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纱布块</w:t>
                  </w:r>
                </w:p>
              </w:tc>
              <w:tc>
                <w:tcPr>
                  <w:tcW w:w="536" w:type="pct"/>
                  <w:tcBorders>
                    <w:top w:val="nil"/>
                    <w:left w:val="nil"/>
                    <w:bottom w:val="single" w:color="auto" w:sz="4" w:space="0"/>
                    <w:right w:val="single" w:color="auto" w:sz="4" w:space="0"/>
                  </w:tcBorders>
                  <w:shd w:val="clear" w:color="auto" w:fill="auto"/>
                  <w:noWrap/>
                  <w:vAlign w:val="center"/>
                </w:tcPr>
                <w:p w14:paraId="4FDACD9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6*8*8</w:t>
                  </w:r>
                </w:p>
              </w:tc>
              <w:tc>
                <w:tcPr>
                  <w:tcW w:w="1081" w:type="pct"/>
                  <w:tcBorders>
                    <w:top w:val="nil"/>
                    <w:left w:val="nil"/>
                    <w:bottom w:val="single" w:color="auto" w:sz="4" w:space="0"/>
                    <w:right w:val="single" w:color="auto" w:sz="4" w:space="0"/>
                  </w:tcBorders>
                  <w:shd w:val="clear" w:color="auto" w:fill="auto"/>
                  <w:noWrap/>
                  <w:vAlign w:val="center"/>
                </w:tcPr>
                <w:p w14:paraId="79751FB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昆明康业医疗器械有限公司</w:t>
                  </w:r>
                </w:p>
              </w:tc>
              <w:tc>
                <w:tcPr>
                  <w:tcW w:w="283" w:type="pct"/>
                  <w:tcBorders>
                    <w:top w:val="nil"/>
                    <w:left w:val="nil"/>
                    <w:bottom w:val="single" w:color="auto" w:sz="4" w:space="0"/>
                    <w:right w:val="single" w:color="auto" w:sz="4" w:space="0"/>
                  </w:tcBorders>
                  <w:shd w:val="clear" w:color="auto" w:fill="auto"/>
                  <w:noWrap/>
                  <w:vAlign w:val="center"/>
                </w:tcPr>
                <w:p w14:paraId="1980F92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块</w:t>
                  </w:r>
                </w:p>
              </w:tc>
              <w:tc>
                <w:tcPr>
                  <w:tcW w:w="573" w:type="pct"/>
                  <w:tcBorders>
                    <w:top w:val="nil"/>
                    <w:left w:val="nil"/>
                    <w:bottom w:val="single" w:color="auto" w:sz="4" w:space="0"/>
                    <w:right w:val="single" w:color="auto" w:sz="4" w:space="0"/>
                  </w:tcBorders>
                  <w:shd w:val="clear" w:color="auto" w:fill="auto"/>
                  <w:noWrap/>
                  <w:vAlign w:val="center"/>
                </w:tcPr>
                <w:p w14:paraId="5226CBF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9450</w:t>
                  </w:r>
                </w:p>
              </w:tc>
              <w:tc>
                <w:tcPr>
                  <w:tcW w:w="568" w:type="pct"/>
                  <w:tcBorders>
                    <w:top w:val="nil"/>
                    <w:left w:val="nil"/>
                    <w:bottom w:val="single" w:color="auto" w:sz="4" w:space="0"/>
                    <w:right w:val="single" w:color="auto" w:sz="4" w:space="0"/>
                  </w:tcBorders>
                  <w:shd w:val="clear" w:color="auto" w:fill="auto"/>
                  <w:noWrap/>
                  <w:vAlign w:val="center"/>
                </w:tcPr>
                <w:p w14:paraId="7234AFB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1200</w:t>
                  </w:r>
                </w:p>
              </w:tc>
              <w:tc>
                <w:tcPr>
                  <w:tcW w:w="417" w:type="pct"/>
                  <w:tcBorders>
                    <w:top w:val="nil"/>
                    <w:left w:val="nil"/>
                    <w:bottom w:val="single" w:color="auto" w:sz="4" w:space="0"/>
                    <w:right w:val="single" w:color="auto" w:sz="4" w:space="0"/>
                  </w:tcBorders>
                  <w:vAlign w:val="center"/>
                </w:tcPr>
                <w:p w14:paraId="4DD072D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12285</w:t>
                  </w:r>
                </w:p>
              </w:tc>
              <w:tc>
                <w:tcPr>
                  <w:tcW w:w="319" w:type="pct"/>
                  <w:tcBorders>
                    <w:top w:val="nil"/>
                    <w:left w:val="nil"/>
                    <w:bottom w:val="single" w:color="auto" w:sz="4" w:space="0"/>
                    <w:right w:val="single" w:color="auto" w:sz="4" w:space="0"/>
                  </w:tcBorders>
                  <w:vAlign w:val="center"/>
                </w:tcPr>
                <w:p w14:paraId="3672D3C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1560</w:t>
                  </w:r>
                </w:p>
              </w:tc>
            </w:tr>
            <w:tr w14:paraId="291483C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0EF23DE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936" w:type="pct"/>
                  <w:tcBorders>
                    <w:top w:val="nil"/>
                    <w:left w:val="nil"/>
                    <w:bottom w:val="single" w:color="auto" w:sz="4" w:space="0"/>
                    <w:right w:val="single" w:color="auto" w:sz="4" w:space="0"/>
                  </w:tcBorders>
                  <w:shd w:val="clear" w:color="auto" w:fill="auto"/>
                  <w:noWrap/>
                  <w:vAlign w:val="center"/>
                </w:tcPr>
                <w:p w14:paraId="0C32277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纱布块</w:t>
                  </w:r>
                </w:p>
              </w:tc>
              <w:tc>
                <w:tcPr>
                  <w:tcW w:w="536" w:type="pct"/>
                  <w:tcBorders>
                    <w:top w:val="nil"/>
                    <w:left w:val="nil"/>
                    <w:bottom w:val="single" w:color="auto" w:sz="4" w:space="0"/>
                    <w:right w:val="single" w:color="auto" w:sz="4" w:space="0"/>
                  </w:tcBorders>
                  <w:shd w:val="clear" w:color="auto" w:fill="auto"/>
                  <w:noWrap/>
                  <w:vAlign w:val="center"/>
                </w:tcPr>
                <w:p w14:paraId="5AE71A6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8*12*8</w:t>
                  </w:r>
                </w:p>
              </w:tc>
              <w:tc>
                <w:tcPr>
                  <w:tcW w:w="1081" w:type="pct"/>
                  <w:tcBorders>
                    <w:top w:val="nil"/>
                    <w:left w:val="nil"/>
                    <w:bottom w:val="single" w:color="auto" w:sz="4" w:space="0"/>
                    <w:right w:val="single" w:color="auto" w:sz="4" w:space="0"/>
                  </w:tcBorders>
                  <w:shd w:val="clear" w:color="auto" w:fill="auto"/>
                  <w:noWrap/>
                  <w:vAlign w:val="center"/>
                </w:tcPr>
                <w:p w14:paraId="10E9A95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昆明康业医疗器械有限公司</w:t>
                  </w:r>
                </w:p>
              </w:tc>
              <w:tc>
                <w:tcPr>
                  <w:tcW w:w="283" w:type="pct"/>
                  <w:tcBorders>
                    <w:top w:val="nil"/>
                    <w:left w:val="nil"/>
                    <w:bottom w:val="single" w:color="auto" w:sz="4" w:space="0"/>
                    <w:right w:val="single" w:color="auto" w:sz="4" w:space="0"/>
                  </w:tcBorders>
                  <w:shd w:val="clear" w:color="auto" w:fill="auto"/>
                  <w:noWrap/>
                  <w:vAlign w:val="center"/>
                </w:tcPr>
                <w:p w14:paraId="618C431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块</w:t>
                  </w:r>
                </w:p>
              </w:tc>
              <w:tc>
                <w:tcPr>
                  <w:tcW w:w="573" w:type="pct"/>
                  <w:tcBorders>
                    <w:top w:val="nil"/>
                    <w:left w:val="nil"/>
                    <w:bottom w:val="single" w:color="auto" w:sz="4" w:space="0"/>
                    <w:right w:val="single" w:color="auto" w:sz="4" w:space="0"/>
                  </w:tcBorders>
                  <w:shd w:val="clear" w:color="auto" w:fill="auto"/>
                  <w:noWrap/>
                  <w:vAlign w:val="center"/>
                </w:tcPr>
                <w:p w14:paraId="6B2F865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9300</w:t>
                  </w:r>
                </w:p>
              </w:tc>
              <w:tc>
                <w:tcPr>
                  <w:tcW w:w="568" w:type="pct"/>
                  <w:tcBorders>
                    <w:top w:val="nil"/>
                    <w:left w:val="nil"/>
                    <w:bottom w:val="single" w:color="auto" w:sz="4" w:space="0"/>
                    <w:right w:val="single" w:color="auto" w:sz="4" w:space="0"/>
                  </w:tcBorders>
                  <w:shd w:val="clear" w:color="auto" w:fill="auto"/>
                  <w:noWrap/>
                  <w:vAlign w:val="center"/>
                </w:tcPr>
                <w:p w14:paraId="7FFFDEB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2880</w:t>
                  </w:r>
                </w:p>
              </w:tc>
              <w:tc>
                <w:tcPr>
                  <w:tcW w:w="417" w:type="pct"/>
                  <w:tcBorders>
                    <w:top w:val="nil"/>
                    <w:left w:val="nil"/>
                    <w:bottom w:val="single" w:color="auto" w:sz="4" w:space="0"/>
                    <w:right w:val="single" w:color="auto" w:sz="4" w:space="0"/>
                  </w:tcBorders>
                  <w:vAlign w:val="center"/>
                </w:tcPr>
                <w:p w14:paraId="5C975D8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12090</w:t>
                  </w:r>
                </w:p>
              </w:tc>
              <w:tc>
                <w:tcPr>
                  <w:tcW w:w="319" w:type="pct"/>
                  <w:tcBorders>
                    <w:top w:val="nil"/>
                    <w:left w:val="nil"/>
                    <w:bottom w:val="single" w:color="auto" w:sz="4" w:space="0"/>
                    <w:right w:val="single" w:color="auto" w:sz="4" w:space="0"/>
                  </w:tcBorders>
                  <w:vAlign w:val="center"/>
                </w:tcPr>
                <w:p w14:paraId="01FE7DC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3744</w:t>
                  </w:r>
                </w:p>
              </w:tc>
            </w:tr>
            <w:tr w14:paraId="1114512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7E0D70B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w:t>
                  </w:r>
                </w:p>
              </w:tc>
              <w:tc>
                <w:tcPr>
                  <w:tcW w:w="936" w:type="pct"/>
                  <w:tcBorders>
                    <w:top w:val="nil"/>
                    <w:left w:val="nil"/>
                    <w:bottom w:val="single" w:color="auto" w:sz="4" w:space="0"/>
                    <w:right w:val="single" w:color="auto" w:sz="4" w:space="0"/>
                  </w:tcBorders>
                  <w:shd w:val="clear" w:color="auto" w:fill="auto"/>
                  <w:noWrap/>
                  <w:vAlign w:val="center"/>
                </w:tcPr>
                <w:p w14:paraId="0C0B275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纱布块</w:t>
                  </w:r>
                </w:p>
              </w:tc>
              <w:tc>
                <w:tcPr>
                  <w:tcW w:w="536" w:type="pct"/>
                  <w:tcBorders>
                    <w:top w:val="nil"/>
                    <w:left w:val="nil"/>
                    <w:bottom w:val="single" w:color="auto" w:sz="4" w:space="0"/>
                    <w:right w:val="single" w:color="auto" w:sz="4" w:space="0"/>
                  </w:tcBorders>
                  <w:shd w:val="clear" w:color="auto" w:fill="auto"/>
                  <w:noWrap/>
                  <w:vAlign w:val="center"/>
                </w:tcPr>
                <w:p w14:paraId="0C08932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5*7*8</w:t>
                  </w:r>
                </w:p>
              </w:tc>
              <w:tc>
                <w:tcPr>
                  <w:tcW w:w="1081" w:type="pct"/>
                  <w:tcBorders>
                    <w:top w:val="nil"/>
                    <w:left w:val="nil"/>
                    <w:bottom w:val="single" w:color="auto" w:sz="4" w:space="0"/>
                    <w:right w:val="single" w:color="auto" w:sz="4" w:space="0"/>
                  </w:tcBorders>
                  <w:shd w:val="clear" w:color="auto" w:fill="auto"/>
                  <w:noWrap/>
                  <w:vAlign w:val="center"/>
                </w:tcPr>
                <w:p w14:paraId="61AB4F2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昆明康业医疗器械有限公司</w:t>
                  </w:r>
                </w:p>
              </w:tc>
              <w:tc>
                <w:tcPr>
                  <w:tcW w:w="283" w:type="pct"/>
                  <w:tcBorders>
                    <w:top w:val="nil"/>
                    <w:left w:val="nil"/>
                    <w:bottom w:val="single" w:color="auto" w:sz="4" w:space="0"/>
                    <w:right w:val="single" w:color="auto" w:sz="4" w:space="0"/>
                  </w:tcBorders>
                  <w:shd w:val="clear" w:color="auto" w:fill="auto"/>
                  <w:noWrap/>
                  <w:vAlign w:val="center"/>
                </w:tcPr>
                <w:p w14:paraId="022D337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块</w:t>
                  </w:r>
                </w:p>
              </w:tc>
              <w:tc>
                <w:tcPr>
                  <w:tcW w:w="573" w:type="pct"/>
                  <w:tcBorders>
                    <w:top w:val="nil"/>
                    <w:left w:val="nil"/>
                    <w:bottom w:val="single" w:color="auto" w:sz="4" w:space="0"/>
                    <w:right w:val="single" w:color="auto" w:sz="4" w:space="0"/>
                  </w:tcBorders>
                  <w:shd w:val="clear" w:color="auto" w:fill="auto"/>
                  <w:noWrap/>
                  <w:vAlign w:val="center"/>
                </w:tcPr>
                <w:p w14:paraId="0813784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22300</w:t>
                  </w:r>
                </w:p>
              </w:tc>
              <w:tc>
                <w:tcPr>
                  <w:tcW w:w="568" w:type="pct"/>
                  <w:tcBorders>
                    <w:top w:val="nil"/>
                    <w:left w:val="nil"/>
                    <w:bottom w:val="single" w:color="auto" w:sz="4" w:space="0"/>
                    <w:right w:val="single" w:color="auto" w:sz="4" w:space="0"/>
                  </w:tcBorders>
                  <w:shd w:val="clear" w:color="auto" w:fill="auto"/>
                  <w:noWrap/>
                  <w:vAlign w:val="center"/>
                </w:tcPr>
                <w:p w14:paraId="1D00A3F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10950</w:t>
                  </w:r>
                </w:p>
              </w:tc>
              <w:tc>
                <w:tcPr>
                  <w:tcW w:w="417" w:type="pct"/>
                  <w:tcBorders>
                    <w:top w:val="nil"/>
                    <w:left w:val="nil"/>
                    <w:bottom w:val="single" w:color="auto" w:sz="4" w:space="0"/>
                    <w:right w:val="single" w:color="auto" w:sz="4" w:space="0"/>
                  </w:tcBorders>
                  <w:vAlign w:val="center"/>
                </w:tcPr>
                <w:p w14:paraId="4BF5942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28990</w:t>
                  </w:r>
                </w:p>
              </w:tc>
              <w:tc>
                <w:tcPr>
                  <w:tcW w:w="319" w:type="pct"/>
                  <w:tcBorders>
                    <w:top w:val="nil"/>
                    <w:left w:val="nil"/>
                    <w:bottom w:val="single" w:color="auto" w:sz="4" w:space="0"/>
                    <w:right w:val="single" w:color="auto" w:sz="4" w:space="0"/>
                  </w:tcBorders>
                  <w:vAlign w:val="center"/>
                </w:tcPr>
                <w:p w14:paraId="4942A3C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14235</w:t>
                  </w:r>
                </w:p>
              </w:tc>
            </w:tr>
            <w:tr w14:paraId="50CAD63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1CDB250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w:t>
                  </w:r>
                </w:p>
              </w:tc>
              <w:tc>
                <w:tcPr>
                  <w:tcW w:w="936" w:type="pct"/>
                  <w:tcBorders>
                    <w:top w:val="nil"/>
                    <w:left w:val="nil"/>
                    <w:bottom w:val="single" w:color="auto" w:sz="4" w:space="0"/>
                    <w:right w:val="single" w:color="auto" w:sz="4" w:space="0"/>
                  </w:tcBorders>
                  <w:shd w:val="clear" w:color="auto" w:fill="auto"/>
                  <w:noWrap/>
                  <w:vAlign w:val="center"/>
                </w:tcPr>
                <w:p w14:paraId="6B1442B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一次性医用灭菌棉签</w:t>
                  </w:r>
                </w:p>
              </w:tc>
              <w:tc>
                <w:tcPr>
                  <w:tcW w:w="536" w:type="pct"/>
                  <w:tcBorders>
                    <w:top w:val="nil"/>
                    <w:left w:val="nil"/>
                    <w:bottom w:val="single" w:color="auto" w:sz="4" w:space="0"/>
                    <w:right w:val="single" w:color="auto" w:sz="4" w:space="0"/>
                  </w:tcBorders>
                  <w:shd w:val="clear" w:color="auto" w:fill="auto"/>
                  <w:noWrap/>
                  <w:vAlign w:val="center"/>
                </w:tcPr>
                <w:p w14:paraId="0356BF4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200支/包</w:t>
                  </w:r>
                </w:p>
              </w:tc>
              <w:tc>
                <w:tcPr>
                  <w:tcW w:w="1081" w:type="pct"/>
                  <w:tcBorders>
                    <w:top w:val="nil"/>
                    <w:left w:val="nil"/>
                    <w:bottom w:val="single" w:color="auto" w:sz="4" w:space="0"/>
                    <w:right w:val="single" w:color="auto" w:sz="4" w:space="0"/>
                  </w:tcBorders>
                  <w:shd w:val="clear" w:color="auto" w:fill="auto"/>
                  <w:noWrap/>
                  <w:vAlign w:val="center"/>
                </w:tcPr>
                <w:p w14:paraId="52F7241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昆明康业医疗器械有限公司</w:t>
                  </w:r>
                </w:p>
              </w:tc>
              <w:tc>
                <w:tcPr>
                  <w:tcW w:w="283" w:type="pct"/>
                  <w:tcBorders>
                    <w:top w:val="nil"/>
                    <w:left w:val="nil"/>
                    <w:bottom w:val="single" w:color="auto" w:sz="4" w:space="0"/>
                    <w:right w:val="single" w:color="auto" w:sz="4" w:space="0"/>
                  </w:tcBorders>
                  <w:shd w:val="clear" w:color="auto" w:fill="auto"/>
                  <w:noWrap/>
                  <w:vAlign w:val="center"/>
                </w:tcPr>
                <w:p w14:paraId="018263B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包</w:t>
                  </w:r>
                </w:p>
              </w:tc>
              <w:tc>
                <w:tcPr>
                  <w:tcW w:w="573" w:type="pct"/>
                  <w:tcBorders>
                    <w:top w:val="nil"/>
                    <w:left w:val="nil"/>
                    <w:bottom w:val="single" w:color="auto" w:sz="4" w:space="0"/>
                    <w:right w:val="single" w:color="auto" w:sz="4" w:space="0"/>
                  </w:tcBorders>
                  <w:shd w:val="clear" w:color="auto" w:fill="auto"/>
                  <w:noWrap/>
                  <w:vAlign w:val="center"/>
                </w:tcPr>
                <w:p w14:paraId="300561D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155</w:t>
                  </w:r>
                </w:p>
              </w:tc>
              <w:tc>
                <w:tcPr>
                  <w:tcW w:w="568" w:type="pct"/>
                  <w:tcBorders>
                    <w:top w:val="nil"/>
                    <w:left w:val="nil"/>
                    <w:bottom w:val="single" w:color="auto" w:sz="4" w:space="0"/>
                    <w:right w:val="single" w:color="auto" w:sz="4" w:space="0"/>
                  </w:tcBorders>
                  <w:shd w:val="clear" w:color="auto" w:fill="auto"/>
                  <w:noWrap/>
                  <w:vAlign w:val="center"/>
                </w:tcPr>
                <w:p w14:paraId="70FE5C1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103</w:t>
                  </w:r>
                </w:p>
              </w:tc>
              <w:tc>
                <w:tcPr>
                  <w:tcW w:w="417" w:type="pct"/>
                  <w:tcBorders>
                    <w:top w:val="nil"/>
                    <w:left w:val="nil"/>
                    <w:bottom w:val="single" w:color="auto" w:sz="4" w:space="0"/>
                    <w:right w:val="single" w:color="auto" w:sz="4" w:space="0"/>
                  </w:tcBorders>
                  <w:vAlign w:val="center"/>
                </w:tcPr>
                <w:p w14:paraId="0150942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202</w:t>
                  </w:r>
                </w:p>
              </w:tc>
              <w:tc>
                <w:tcPr>
                  <w:tcW w:w="319" w:type="pct"/>
                  <w:tcBorders>
                    <w:top w:val="nil"/>
                    <w:left w:val="nil"/>
                    <w:bottom w:val="single" w:color="auto" w:sz="4" w:space="0"/>
                    <w:right w:val="single" w:color="auto" w:sz="4" w:space="0"/>
                  </w:tcBorders>
                  <w:vAlign w:val="center"/>
                </w:tcPr>
                <w:p w14:paraId="5725079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134</w:t>
                  </w:r>
                </w:p>
              </w:tc>
            </w:tr>
            <w:tr w14:paraId="6F04D8A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648A08E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w:t>
                  </w:r>
                </w:p>
              </w:tc>
              <w:tc>
                <w:tcPr>
                  <w:tcW w:w="936" w:type="pct"/>
                  <w:tcBorders>
                    <w:top w:val="nil"/>
                    <w:left w:val="nil"/>
                    <w:bottom w:val="single" w:color="auto" w:sz="4" w:space="0"/>
                    <w:right w:val="single" w:color="auto" w:sz="4" w:space="0"/>
                  </w:tcBorders>
                  <w:shd w:val="clear" w:color="auto" w:fill="auto"/>
                  <w:noWrap/>
                  <w:vAlign w:val="center"/>
                </w:tcPr>
                <w:p w14:paraId="49ECDAB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碘伏</w:t>
                  </w:r>
                </w:p>
              </w:tc>
              <w:tc>
                <w:tcPr>
                  <w:tcW w:w="536" w:type="pct"/>
                  <w:tcBorders>
                    <w:top w:val="nil"/>
                    <w:left w:val="nil"/>
                    <w:bottom w:val="single" w:color="auto" w:sz="4" w:space="0"/>
                    <w:right w:val="single" w:color="auto" w:sz="4" w:space="0"/>
                  </w:tcBorders>
                  <w:shd w:val="clear" w:color="auto" w:fill="auto"/>
                  <w:noWrap/>
                  <w:vAlign w:val="center"/>
                </w:tcPr>
                <w:p w14:paraId="6DEEEB8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500ml</w:t>
                  </w:r>
                </w:p>
              </w:tc>
              <w:tc>
                <w:tcPr>
                  <w:tcW w:w="1081" w:type="pct"/>
                  <w:tcBorders>
                    <w:top w:val="nil"/>
                    <w:left w:val="nil"/>
                    <w:bottom w:val="single" w:color="auto" w:sz="4" w:space="0"/>
                    <w:right w:val="single" w:color="auto" w:sz="4" w:space="0"/>
                  </w:tcBorders>
                  <w:shd w:val="clear" w:color="auto" w:fill="auto"/>
                  <w:noWrap/>
                  <w:vAlign w:val="center"/>
                </w:tcPr>
                <w:p w14:paraId="2F0D3DE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江西健宝杨路科技有限公司瓶</w:t>
                  </w:r>
                </w:p>
              </w:tc>
              <w:tc>
                <w:tcPr>
                  <w:tcW w:w="283" w:type="pct"/>
                  <w:tcBorders>
                    <w:top w:val="nil"/>
                    <w:left w:val="nil"/>
                    <w:bottom w:val="single" w:color="auto" w:sz="4" w:space="0"/>
                    <w:right w:val="single" w:color="auto" w:sz="4" w:space="0"/>
                  </w:tcBorders>
                  <w:shd w:val="clear" w:color="auto" w:fill="auto"/>
                  <w:noWrap/>
                  <w:vAlign w:val="center"/>
                </w:tcPr>
                <w:p w14:paraId="4CE71FC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瓶　</w:t>
                  </w:r>
                </w:p>
              </w:tc>
              <w:tc>
                <w:tcPr>
                  <w:tcW w:w="573" w:type="pct"/>
                  <w:tcBorders>
                    <w:top w:val="nil"/>
                    <w:left w:val="nil"/>
                    <w:bottom w:val="single" w:color="auto" w:sz="4" w:space="0"/>
                    <w:right w:val="single" w:color="auto" w:sz="4" w:space="0"/>
                  </w:tcBorders>
                  <w:shd w:val="clear" w:color="auto" w:fill="auto"/>
                  <w:noWrap/>
                  <w:vAlign w:val="center"/>
                </w:tcPr>
                <w:p w14:paraId="2F2C0EA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124</w:t>
                  </w:r>
                </w:p>
              </w:tc>
              <w:tc>
                <w:tcPr>
                  <w:tcW w:w="568" w:type="pct"/>
                  <w:tcBorders>
                    <w:top w:val="nil"/>
                    <w:left w:val="nil"/>
                    <w:bottom w:val="single" w:color="auto" w:sz="4" w:space="0"/>
                    <w:right w:val="single" w:color="auto" w:sz="4" w:space="0"/>
                  </w:tcBorders>
                  <w:shd w:val="clear" w:color="auto" w:fill="auto"/>
                  <w:noWrap/>
                  <w:vAlign w:val="center"/>
                </w:tcPr>
                <w:p w14:paraId="659DEB5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150</w:t>
                  </w:r>
                </w:p>
              </w:tc>
              <w:tc>
                <w:tcPr>
                  <w:tcW w:w="417" w:type="pct"/>
                  <w:tcBorders>
                    <w:top w:val="nil"/>
                    <w:left w:val="nil"/>
                    <w:bottom w:val="single" w:color="auto" w:sz="4" w:space="0"/>
                    <w:right w:val="single" w:color="auto" w:sz="4" w:space="0"/>
                  </w:tcBorders>
                  <w:vAlign w:val="center"/>
                </w:tcPr>
                <w:p w14:paraId="6C39D51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161</w:t>
                  </w:r>
                </w:p>
              </w:tc>
              <w:tc>
                <w:tcPr>
                  <w:tcW w:w="319" w:type="pct"/>
                  <w:tcBorders>
                    <w:top w:val="nil"/>
                    <w:left w:val="nil"/>
                    <w:bottom w:val="single" w:color="auto" w:sz="4" w:space="0"/>
                    <w:right w:val="single" w:color="auto" w:sz="4" w:space="0"/>
                  </w:tcBorders>
                  <w:vAlign w:val="center"/>
                </w:tcPr>
                <w:p w14:paraId="2805B4D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195</w:t>
                  </w:r>
                </w:p>
              </w:tc>
            </w:tr>
            <w:tr w14:paraId="32A99A6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3B39AA6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w:t>
                  </w:r>
                </w:p>
              </w:tc>
              <w:tc>
                <w:tcPr>
                  <w:tcW w:w="936" w:type="pct"/>
                  <w:tcBorders>
                    <w:top w:val="nil"/>
                    <w:left w:val="nil"/>
                    <w:bottom w:val="single" w:color="auto" w:sz="4" w:space="0"/>
                    <w:right w:val="single" w:color="auto" w:sz="4" w:space="0"/>
                  </w:tcBorders>
                  <w:shd w:val="clear" w:color="auto" w:fill="auto"/>
                  <w:noWrap/>
                  <w:vAlign w:val="center"/>
                </w:tcPr>
                <w:p w14:paraId="6E1A99D2">
                  <w:pPr>
                    <w:spacing w:line="240" w:lineRule="auto"/>
                    <w:ind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碘伏</w:t>
                  </w:r>
                </w:p>
              </w:tc>
              <w:tc>
                <w:tcPr>
                  <w:tcW w:w="536" w:type="pct"/>
                  <w:tcBorders>
                    <w:top w:val="nil"/>
                    <w:left w:val="nil"/>
                    <w:bottom w:val="single" w:color="auto" w:sz="4" w:space="0"/>
                    <w:right w:val="single" w:color="auto" w:sz="4" w:space="0"/>
                  </w:tcBorders>
                  <w:shd w:val="clear" w:color="auto" w:fill="auto"/>
                  <w:noWrap/>
                  <w:vAlign w:val="center"/>
                </w:tcPr>
                <w:p w14:paraId="606E160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60ml</w:t>
                  </w:r>
                </w:p>
              </w:tc>
              <w:tc>
                <w:tcPr>
                  <w:tcW w:w="1081" w:type="pct"/>
                  <w:tcBorders>
                    <w:top w:val="nil"/>
                    <w:left w:val="nil"/>
                    <w:bottom w:val="single" w:color="auto" w:sz="4" w:space="0"/>
                    <w:right w:val="single" w:color="auto" w:sz="4" w:space="0"/>
                  </w:tcBorders>
                  <w:shd w:val="clear" w:color="auto" w:fill="auto"/>
                  <w:noWrap/>
                  <w:vAlign w:val="center"/>
                </w:tcPr>
                <w:p w14:paraId="294627B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江西健宝杨路科技有限公司瓶</w:t>
                  </w:r>
                </w:p>
              </w:tc>
              <w:tc>
                <w:tcPr>
                  <w:tcW w:w="283" w:type="pct"/>
                  <w:tcBorders>
                    <w:top w:val="nil"/>
                    <w:left w:val="nil"/>
                    <w:bottom w:val="single" w:color="auto" w:sz="4" w:space="0"/>
                    <w:right w:val="single" w:color="auto" w:sz="4" w:space="0"/>
                  </w:tcBorders>
                  <w:shd w:val="clear" w:color="auto" w:fill="auto"/>
                  <w:noWrap/>
                  <w:vAlign w:val="center"/>
                </w:tcPr>
                <w:p w14:paraId="048C085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瓶</w:t>
                  </w:r>
                </w:p>
              </w:tc>
              <w:tc>
                <w:tcPr>
                  <w:tcW w:w="573" w:type="pct"/>
                  <w:tcBorders>
                    <w:top w:val="nil"/>
                    <w:left w:val="nil"/>
                    <w:bottom w:val="single" w:color="auto" w:sz="4" w:space="0"/>
                    <w:right w:val="single" w:color="auto" w:sz="4" w:space="0"/>
                  </w:tcBorders>
                  <w:shd w:val="clear" w:color="auto" w:fill="auto"/>
                  <w:noWrap/>
                  <w:vAlign w:val="center"/>
                </w:tcPr>
                <w:p w14:paraId="5D60F0A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361</w:t>
                  </w:r>
                </w:p>
              </w:tc>
              <w:tc>
                <w:tcPr>
                  <w:tcW w:w="568" w:type="pct"/>
                  <w:tcBorders>
                    <w:top w:val="nil"/>
                    <w:left w:val="nil"/>
                    <w:bottom w:val="single" w:color="auto" w:sz="4" w:space="0"/>
                    <w:right w:val="single" w:color="auto" w:sz="4" w:space="0"/>
                  </w:tcBorders>
                  <w:shd w:val="clear" w:color="auto" w:fill="auto"/>
                  <w:noWrap/>
                  <w:vAlign w:val="center"/>
                </w:tcPr>
                <w:p w14:paraId="74514C1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327</w:t>
                  </w:r>
                </w:p>
              </w:tc>
              <w:tc>
                <w:tcPr>
                  <w:tcW w:w="417" w:type="pct"/>
                  <w:tcBorders>
                    <w:top w:val="nil"/>
                    <w:left w:val="nil"/>
                    <w:bottom w:val="single" w:color="auto" w:sz="4" w:space="0"/>
                    <w:right w:val="single" w:color="auto" w:sz="4" w:space="0"/>
                  </w:tcBorders>
                  <w:vAlign w:val="center"/>
                </w:tcPr>
                <w:p w14:paraId="5DF902B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469</w:t>
                  </w:r>
                </w:p>
              </w:tc>
              <w:tc>
                <w:tcPr>
                  <w:tcW w:w="319" w:type="pct"/>
                  <w:tcBorders>
                    <w:top w:val="nil"/>
                    <w:left w:val="nil"/>
                    <w:bottom w:val="single" w:color="auto" w:sz="4" w:space="0"/>
                    <w:right w:val="single" w:color="auto" w:sz="4" w:space="0"/>
                  </w:tcBorders>
                  <w:vAlign w:val="center"/>
                </w:tcPr>
                <w:p w14:paraId="425F230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425</w:t>
                  </w:r>
                </w:p>
              </w:tc>
            </w:tr>
            <w:tr w14:paraId="0C9D213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2140442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7</w:t>
                  </w:r>
                </w:p>
              </w:tc>
              <w:tc>
                <w:tcPr>
                  <w:tcW w:w="936" w:type="pct"/>
                  <w:tcBorders>
                    <w:top w:val="nil"/>
                    <w:left w:val="nil"/>
                    <w:bottom w:val="single" w:color="auto" w:sz="4" w:space="0"/>
                    <w:right w:val="single" w:color="auto" w:sz="4" w:space="0"/>
                  </w:tcBorders>
                  <w:shd w:val="clear" w:color="auto" w:fill="auto"/>
                  <w:noWrap/>
                  <w:vAlign w:val="center"/>
                </w:tcPr>
                <w:p w14:paraId="38F73F1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注射针</w:t>
                  </w:r>
                </w:p>
              </w:tc>
              <w:tc>
                <w:tcPr>
                  <w:tcW w:w="536" w:type="pct"/>
                  <w:tcBorders>
                    <w:top w:val="nil"/>
                    <w:left w:val="nil"/>
                    <w:bottom w:val="single" w:color="auto" w:sz="4" w:space="0"/>
                    <w:right w:val="single" w:color="auto" w:sz="4" w:space="0"/>
                  </w:tcBorders>
                  <w:shd w:val="clear" w:color="auto" w:fill="auto"/>
                  <w:noWrap/>
                  <w:vAlign w:val="center"/>
                </w:tcPr>
                <w:p w14:paraId="6DD02DA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0.45*15</w:t>
                  </w:r>
                </w:p>
              </w:tc>
              <w:tc>
                <w:tcPr>
                  <w:tcW w:w="1081" w:type="pct"/>
                  <w:tcBorders>
                    <w:top w:val="nil"/>
                    <w:left w:val="nil"/>
                    <w:bottom w:val="single" w:color="auto" w:sz="4" w:space="0"/>
                    <w:right w:val="single" w:color="auto" w:sz="4" w:space="0"/>
                  </w:tcBorders>
                  <w:shd w:val="clear" w:color="auto" w:fill="auto"/>
                  <w:noWrap/>
                  <w:vAlign w:val="center"/>
                </w:tcPr>
                <w:p w14:paraId="67D7E49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武汉王冠</w:t>
                  </w:r>
                </w:p>
              </w:tc>
              <w:tc>
                <w:tcPr>
                  <w:tcW w:w="283" w:type="pct"/>
                  <w:tcBorders>
                    <w:top w:val="nil"/>
                    <w:left w:val="nil"/>
                    <w:bottom w:val="single" w:color="auto" w:sz="4" w:space="0"/>
                    <w:right w:val="single" w:color="auto" w:sz="4" w:space="0"/>
                  </w:tcBorders>
                  <w:shd w:val="clear" w:color="auto" w:fill="auto"/>
                  <w:noWrap/>
                  <w:vAlign w:val="center"/>
                </w:tcPr>
                <w:p w14:paraId="316B563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支</w:t>
                  </w:r>
                </w:p>
              </w:tc>
              <w:tc>
                <w:tcPr>
                  <w:tcW w:w="573" w:type="pct"/>
                  <w:tcBorders>
                    <w:top w:val="nil"/>
                    <w:left w:val="nil"/>
                    <w:bottom w:val="single" w:color="auto" w:sz="4" w:space="0"/>
                    <w:right w:val="single" w:color="auto" w:sz="4" w:space="0"/>
                  </w:tcBorders>
                  <w:shd w:val="clear" w:color="auto" w:fill="auto"/>
                  <w:noWrap/>
                  <w:vAlign w:val="center"/>
                </w:tcPr>
                <w:p w14:paraId="24FE367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12100</w:t>
                  </w:r>
                </w:p>
              </w:tc>
              <w:tc>
                <w:tcPr>
                  <w:tcW w:w="568" w:type="pct"/>
                  <w:tcBorders>
                    <w:top w:val="nil"/>
                    <w:left w:val="nil"/>
                    <w:bottom w:val="single" w:color="auto" w:sz="4" w:space="0"/>
                    <w:right w:val="single" w:color="auto" w:sz="4" w:space="0"/>
                  </w:tcBorders>
                  <w:shd w:val="clear" w:color="auto" w:fill="auto"/>
                  <w:noWrap/>
                  <w:vAlign w:val="center"/>
                </w:tcPr>
                <w:p w14:paraId="4FB6B44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500</w:t>
                  </w:r>
                </w:p>
              </w:tc>
              <w:tc>
                <w:tcPr>
                  <w:tcW w:w="417" w:type="pct"/>
                  <w:tcBorders>
                    <w:top w:val="nil"/>
                    <w:left w:val="nil"/>
                    <w:bottom w:val="single" w:color="auto" w:sz="4" w:space="0"/>
                    <w:right w:val="single" w:color="auto" w:sz="4" w:space="0"/>
                  </w:tcBorders>
                  <w:vAlign w:val="center"/>
                </w:tcPr>
                <w:p w14:paraId="14F8836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15730</w:t>
                  </w:r>
                </w:p>
              </w:tc>
              <w:tc>
                <w:tcPr>
                  <w:tcW w:w="319" w:type="pct"/>
                  <w:tcBorders>
                    <w:top w:val="nil"/>
                    <w:left w:val="nil"/>
                    <w:bottom w:val="single" w:color="auto" w:sz="4" w:space="0"/>
                    <w:right w:val="single" w:color="auto" w:sz="4" w:space="0"/>
                  </w:tcBorders>
                  <w:vAlign w:val="center"/>
                </w:tcPr>
                <w:p w14:paraId="4B8D6F1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650</w:t>
                  </w:r>
                </w:p>
              </w:tc>
            </w:tr>
            <w:tr w14:paraId="1A42D37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502B89F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w:t>
                  </w:r>
                </w:p>
              </w:tc>
              <w:tc>
                <w:tcPr>
                  <w:tcW w:w="936" w:type="pct"/>
                  <w:tcBorders>
                    <w:top w:val="nil"/>
                    <w:left w:val="nil"/>
                    <w:bottom w:val="single" w:color="auto" w:sz="4" w:space="0"/>
                    <w:right w:val="single" w:color="auto" w:sz="4" w:space="0"/>
                  </w:tcBorders>
                  <w:shd w:val="clear" w:color="auto" w:fill="auto"/>
                  <w:noWrap/>
                  <w:vAlign w:val="center"/>
                </w:tcPr>
                <w:p w14:paraId="69F43ED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一次性灭菌橡胶外科手套</w:t>
                  </w:r>
                </w:p>
              </w:tc>
              <w:tc>
                <w:tcPr>
                  <w:tcW w:w="536" w:type="pct"/>
                  <w:tcBorders>
                    <w:top w:val="nil"/>
                    <w:left w:val="nil"/>
                    <w:bottom w:val="single" w:color="auto" w:sz="4" w:space="0"/>
                    <w:right w:val="single" w:color="auto" w:sz="4" w:space="0"/>
                  </w:tcBorders>
                  <w:shd w:val="clear" w:color="auto" w:fill="auto"/>
                  <w:noWrap/>
                  <w:vAlign w:val="center"/>
                </w:tcPr>
                <w:p w14:paraId="5350E09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　</w:t>
                  </w:r>
                </w:p>
              </w:tc>
              <w:tc>
                <w:tcPr>
                  <w:tcW w:w="1081" w:type="pct"/>
                  <w:tcBorders>
                    <w:top w:val="nil"/>
                    <w:left w:val="nil"/>
                    <w:bottom w:val="single" w:color="auto" w:sz="4" w:space="0"/>
                    <w:right w:val="single" w:color="auto" w:sz="4" w:space="0"/>
                  </w:tcBorders>
                  <w:shd w:val="clear" w:color="auto" w:fill="auto"/>
                  <w:noWrap/>
                  <w:vAlign w:val="center"/>
                </w:tcPr>
                <w:p w14:paraId="18E52C5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江苏瑞京科技发展有限公司</w:t>
                  </w:r>
                </w:p>
              </w:tc>
              <w:tc>
                <w:tcPr>
                  <w:tcW w:w="283" w:type="pct"/>
                  <w:tcBorders>
                    <w:top w:val="nil"/>
                    <w:left w:val="nil"/>
                    <w:bottom w:val="single" w:color="auto" w:sz="4" w:space="0"/>
                    <w:right w:val="single" w:color="auto" w:sz="4" w:space="0"/>
                  </w:tcBorders>
                  <w:shd w:val="clear" w:color="auto" w:fill="auto"/>
                  <w:noWrap/>
                  <w:vAlign w:val="center"/>
                </w:tcPr>
                <w:p w14:paraId="0DED0E1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双</w:t>
                  </w:r>
                </w:p>
              </w:tc>
              <w:tc>
                <w:tcPr>
                  <w:tcW w:w="573" w:type="pct"/>
                  <w:tcBorders>
                    <w:top w:val="nil"/>
                    <w:left w:val="nil"/>
                    <w:bottom w:val="single" w:color="auto" w:sz="4" w:space="0"/>
                    <w:right w:val="single" w:color="auto" w:sz="4" w:space="0"/>
                  </w:tcBorders>
                  <w:shd w:val="clear" w:color="auto" w:fill="auto"/>
                  <w:noWrap/>
                  <w:vAlign w:val="center"/>
                </w:tcPr>
                <w:p w14:paraId="49D0520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5309</w:t>
                  </w:r>
                </w:p>
              </w:tc>
              <w:tc>
                <w:tcPr>
                  <w:tcW w:w="568" w:type="pct"/>
                  <w:tcBorders>
                    <w:top w:val="nil"/>
                    <w:left w:val="nil"/>
                    <w:bottom w:val="single" w:color="auto" w:sz="4" w:space="0"/>
                    <w:right w:val="single" w:color="auto" w:sz="4" w:space="0"/>
                  </w:tcBorders>
                  <w:shd w:val="clear" w:color="auto" w:fill="auto"/>
                  <w:noWrap/>
                  <w:vAlign w:val="center"/>
                </w:tcPr>
                <w:p w14:paraId="1439DFE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8570</w:t>
                  </w:r>
                </w:p>
              </w:tc>
              <w:tc>
                <w:tcPr>
                  <w:tcW w:w="417" w:type="pct"/>
                  <w:tcBorders>
                    <w:top w:val="nil"/>
                    <w:left w:val="nil"/>
                    <w:bottom w:val="single" w:color="auto" w:sz="4" w:space="0"/>
                    <w:right w:val="single" w:color="auto" w:sz="4" w:space="0"/>
                  </w:tcBorders>
                  <w:vAlign w:val="center"/>
                </w:tcPr>
                <w:p w14:paraId="3BEAD90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6902</w:t>
                  </w:r>
                </w:p>
              </w:tc>
              <w:tc>
                <w:tcPr>
                  <w:tcW w:w="319" w:type="pct"/>
                  <w:tcBorders>
                    <w:top w:val="nil"/>
                    <w:left w:val="nil"/>
                    <w:bottom w:val="single" w:color="auto" w:sz="4" w:space="0"/>
                    <w:right w:val="single" w:color="auto" w:sz="4" w:space="0"/>
                  </w:tcBorders>
                  <w:vAlign w:val="center"/>
                </w:tcPr>
                <w:p w14:paraId="6AA9FC3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11141</w:t>
                  </w:r>
                </w:p>
              </w:tc>
            </w:tr>
            <w:tr w14:paraId="4BD2070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7352C7E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9</w:t>
                  </w:r>
                </w:p>
              </w:tc>
              <w:tc>
                <w:tcPr>
                  <w:tcW w:w="936" w:type="pct"/>
                  <w:tcBorders>
                    <w:top w:val="nil"/>
                    <w:left w:val="nil"/>
                    <w:bottom w:val="single" w:color="auto" w:sz="4" w:space="0"/>
                    <w:right w:val="single" w:color="auto" w:sz="4" w:space="0"/>
                  </w:tcBorders>
                  <w:shd w:val="clear" w:color="auto" w:fill="auto"/>
                  <w:noWrap/>
                  <w:vAlign w:val="center"/>
                </w:tcPr>
                <w:p w14:paraId="35C545E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一次性薄膜手套</w:t>
                  </w:r>
                </w:p>
              </w:tc>
              <w:tc>
                <w:tcPr>
                  <w:tcW w:w="536" w:type="pct"/>
                  <w:tcBorders>
                    <w:top w:val="nil"/>
                    <w:left w:val="nil"/>
                    <w:bottom w:val="single" w:color="auto" w:sz="4" w:space="0"/>
                    <w:right w:val="single" w:color="auto" w:sz="4" w:space="0"/>
                  </w:tcBorders>
                  <w:shd w:val="clear" w:color="auto" w:fill="auto"/>
                  <w:noWrap/>
                  <w:vAlign w:val="center"/>
                </w:tcPr>
                <w:p w14:paraId="6F89119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　</w:t>
                  </w:r>
                </w:p>
              </w:tc>
              <w:tc>
                <w:tcPr>
                  <w:tcW w:w="1081" w:type="pct"/>
                  <w:tcBorders>
                    <w:top w:val="nil"/>
                    <w:left w:val="nil"/>
                    <w:bottom w:val="single" w:color="auto" w:sz="4" w:space="0"/>
                    <w:right w:val="single" w:color="auto" w:sz="4" w:space="0"/>
                  </w:tcBorders>
                  <w:shd w:val="clear" w:color="auto" w:fill="auto"/>
                  <w:noWrap/>
                  <w:vAlign w:val="center"/>
                </w:tcPr>
                <w:p w14:paraId="5EBDE5F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扬州市振兴医疗器械厂</w:t>
                  </w:r>
                </w:p>
              </w:tc>
              <w:tc>
                <w:tcPr>
                  <w:tcW w:w="283" w:type="pct"/>
                  <w:tcBorders>
                    <w:top w:val="nil"/>
                    <w:left w:val="nil"/>
                    <w:bottom w:val="single" w:color="auto" w:sz="4" w:space="0"/>
                    <w:right w:val="single" w:color="auto" w:sz="4" w:space="0"/>
                  </w:tcBorders>
                  <w:shd w:val="clear" w:color="auto" w:fill="auto"/>
                  <w:noWrap/>
                  <w:vAlign w:val="center"/>
                </w:tcPr>
                <w:p w14:paraId="0FA78EE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双</w:t>
                  </w:r>
                </w:p>
              </w:tc>
              <w:tc>
                <w:tcPr>
                  <w:tcW w:w="573" w:type="pct"/>
                  <w:tcBorders>
                    <w:top w:val="nil"/>
                    <w:left w:val="nil"/>
                    <w:bottom w:val="single" w:color="auto" w:sz="4" w:space="0"/>
                    <w:right w:val="single" w:color="auto" w:sz="4" w:space="0"/>
                  </w:tcBorders>
                  <w:shd w:val="clear" w:color="auto" w:fill="auto"/>
                  <w:noWrap/>
                  <w:vAlign w:val="center"/>
                </w:tcPr>
                <w:p w14:paraId="3A4F9A5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11000</w:t>
                  </w:r>
                </w:p>
              </w:tc>
              <w:tc>
                <w:tcPr>
                  <w:tcW w:w="568" w:type="pct"/>
                  <w:tcBorders>
                    <w:top w:val="nil"/>
                    <w:left w:val="nil"/>
                    <w:bottom w:val="single" w:color="auto" w:sz="4" w:space="0"/>
                    <w:right w:val="single" w:color="auto" w:sz="4" w:space="0"/>
                  </w:tcBorders>
                  <w:shd w:val="clear" w:color="auto" w:fill="auto"/>
                  <w:noWrap/>
                  <w:vAlign w:val="center"/>
                </w:tcPr>
                <w:p w14:paraId="2C3AF94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23000</w:t>
                  </w:r>
                </w:p>
              </w:tc>
              <w:tc>
                <w:tcPr>
                  <w:tcW w:w="417" w:type="pct"/>
                  <w:tcBorders>
                    <w:top w:val="nil"/>
                    <w:left w:val="nil"/>
                    <w:bottom w:val="single" w:color="auto" w:sz="4" w:space="0"/>
                    <w:right w:val="single" w:color="auto" w:sz="4" w:space="0"/>
                  </w:tcBorders>
                  <w:vAlign w:val="center"/>
                </w:tcPr>
                <w:p w14:paraId="2EA429D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14300</w:t>
                  </w:r>
                </w:p>
              </w:tc>
              <w:tc>
                <w:tcPr>
                  <w:tcW w:w="319" w:type="pct"/>
                  <w:tcBorders>
                    <w:top w:val="nil"/>
                    <w:left w:val="nil"/>
                    <w:bottom w:val="single" w:color="auto" w:sz="4" w:space="0"/>
                    <w:right w:val="single" w:color="auto" w:sz="4" w:space="0"/>
                  </w:tcBorders>
                  <w:vAlign w:val="center"/>
                </w:tcPr>
                <w:p w14:paraId="7063062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29900</w:t>
                  </w:r>
                </w:p>
              </w:tc>
            </w:tr>
            <w:tr w14:paraId="71068D1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1B8C01D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10</w:t>
                  </w:r>
                </w:p>
              </w:tc>
              <w:tc>
                <w:tcPr>
                  <w:tcW w:w="936" w:type="pct"/>
                  <w:tcBorders>
                    <w:top w:val="nil"/>
                    <w:left w:val="nil"/>
                    <w:bottom w:val="single" w:color="auto" w:sz="4" w:space="0"/>
                    <w:right w:val="single" w:color="auto" w:sz="4" w:space="0"/>
                  </w:tcBorders>
                  <w:shd w:val="clear" w:color="auto" w:fill="auto"/>
                  <w:noWrap/>
                  <w:vAlign w:val="center"/>
                </w:tcPr>
                <w:p w14:paraId="4D2AEF0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酒精</w:t>
                  </w:r>
                </w:p>
              </w:tc>
              <w:tc>
                <w:tcPr>
                  <w:tcW w:w="536" w:type="pct"/>
                  <w:tcBorders>
                    <w:top w:val="nil"/>
                    <w:left w:val="nil"/>
                    <w:bottom w:val="single" w:color="auto" w:sz="4" w:space="0"/>
                    <w:right w:val="single" w:color="auto" w:sz="4" w:space="0"/>
                  </w:tcBorders>
                  <w:shd w:val="clear" w:color="auto" w:fill="auto"/>
                  <w:noWrap/>
                  <w:vAlign w:val="center"/>
                </w:tcPr>
                <w:p w14:paraId="7C63BAC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500ml</w:t>
                  </w:r>
                </w:p>
              </w:tc>
              <w:tc>
                <w:tcPr>
                  <w:tcW w:w="1081" w:type="pct"/>
                  <w:tcBorders>
                    <w:top w:val="nil"/>
                    <w:left w:val="nil"/>
                    <w:bottom w:val="single" w:color="auto" w:sz="4" w:space="0"/>
                    <w:right w:val="single" w:color="auto" w:sz="4" w:space="0"/>
                  </w:tcBorders>
                  <w:shd w:val="clear" w:color="auto" w:fill="auto"/>
                  <w:noWrap/>
                  <w:vAlign w:val="center"/>
                </w:tcPr>
                <w:p w14:paraId="31A344E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山东德新康杨路公司</w:t>
                  </w:r>
                </w:p>
              </w:tc>
              <w:tc>
                <w:tcPr>
                  <w:tcW w:w="283" w:type="pct"/>
                  <w:tcBorders>
                    <w:top w:val="nil"/>
                    <w:left w:val="nil"/>
                    <w:bottom w:val="single" w:color="auto" w:sz="4" w:space="0"/>
                    <w:right w:val="single" w:color="auto" w:sz="4" w:space="0"/>
                  </w:tcBorders>
                  <w:shd w:val="clear" w:color="auto" w:fill="auto"/>
                  <w:noWrap/>
                  <w:vAlign w:val="center"/>
                </w:tcPr>
                <w:p w14:paraId="4CA7AD9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瓶</w:t>
                  </w:r>
                </w:p>
              </w:tc>
              <w:tc>
                <w:tcPr>
                  <w:tcW w:w="573" w:type="pct"/>
                  <w:tcBorders>
                    <w:top w:val="nil"/>
                    <w:left w:val="nil"/>
                    <w:bottom w:val="single" w:color="auto" w:sz="4" w:space="0"/>
                    <w:right w:val="single" w:color="auto" w:sz="4" w:space="0"/>
                  </w:tcBorders>
                  <w:shd w:val="clear" w:color="auto" w:fill="auto"/>
                  <w:noWrap/>
                  <w:vAlign w:val="center"/>
                </w:tcPr>
                <w:p w14:paraId="2B3BD7E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266</w:t>
                  </w:r>
                </w:p>
              </w:tc>
              <w:tc>
                <w:tcPr>
                  <w:tcW w:w="568" w:type="pct"/>
                  <w:tcBorders>
                    <w:top w:val="nil"/>
                    <w:left w:val="nil"/>
                    <w:bottom w:val="single" w:color="auto" w:sz="4" w:space="0"/>
                    <w:right w:val="single" w:color="auto" w:sz="4" w:space="0"/>
                  </w:tcBorders>
                  <w:shd w:val="clear" w:color="auto" w:fill="auto"/>
                  <w:noWrap/>
                  <w:vAlign w:val="center"/>
                </w:tcPr>
                <w:p w14:paraId="1ED15AC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127</w:t>
                  </w:r>
                </w:p>
              </w:tc>
              <w:tc>
                <w:tcPr>
                  <w:tcW w:w="417" w:type="pct"/>
                  <w:tcBorders>
                    <w:top w:val="nil"/>
                    <w:left w:val="nil"/>
                    <w:bottom w:val="single" w:color="auto" w:sz="4" w:space="0"/>
                    <w:right w:val="single" w:color="auto" w:sz="4" w:space="0"/>
                  </w:tcBorders>
                  <w:vAlign w:val="center"/>
                </w:tcPr>
                <w:p w14:paraId="3A623AE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346</w:t>
                  </w:r>
                </w:p>
              </w:tc>
              <w:tc>
                <w:tcPr>
                  <w:tcW w:w="319" w:type="pct"/>
                  <w:tcBorders>
                    <w:top w:val="nil"/>
                    <w:left w:val="nil"/>
                    <w:bottom w:val="single" w:color="auto" w:sz="4" w:space="0"/>
                    <w:right w:val="single" w:color="auto" w:sz="4" w:space="0"/>
                  </w:tcBorders>
                  <w:vAlign w:val="center"/>
                </w:tcPr>
                <w:p w14:paraId="2775317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165</w:t>
                  </w:r>
                </w:p>
              </w:tc>
            </w:tr>
            <w:tr w14:paraId="3A27BAD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nil"/>
                    <w:left w:val="single" w:color="auto" w:sz="4" w:space="0"/>
                    <w:bottom w:val="single" w:color="auto" w:sz="4" w:space="0"/>
                    <w:right w:val="single" w:color="auto" w:sz="4" w:space="0"/>
                  </w:tcBorders>
                  <w:shd w:val="clear" w:color="auto" w:fill="auto"/>
                  <w:noWrap/>
                  <w:vAlign w:val="center"/>
                </w:tcPr>
                <w:p w14:paraId="6DD2F5C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11</w:t>
                  </w:r>
                </w:p>
              </w:tc>
              <w:tc>
                <w:tcPr>
                  <w:tcW w:w="936" w:type="pct"/>
                  <w:tcBorders>
                    <w:top w:val="nil"/>
                    <w:left w:val="nil"/>
                    <w:bottom w:val="single" w:color="auto" w:sz="4" w:space="0"/>
                    <w:right w:val="single" w:color="auto" w:sz="4" w:space="0"/>
                  </w:tcBorders>
                  <w:shd w:val="clear" w:color="auto" w:fill="auto"/>
                  <w:noWrap/>
                  <w:vAlign w:val="center"/>
                </w:tcPr>
                <w:p w14:paraId="4D740AB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含氯消毒片</w:t>
                  </w:r>
                </w:p>
              </w:tc>
              <w:tc>
                <w:tcPr>
                  <w:tcW w:w="536" w:type="pct"/>
                  <w:tcBorders>
                    <w:top w:val="nil"/>
                    <w:left w:val="nil"/>
                    <w:bottom w:val="single" w:color="auto" w:sz="4" w:space="0"/>
                    <w:right w:val="single" w:color="auto" w:sz="4" w:space="0"/>
                  </w:tcBorders>
                  <w:shd w:val="clear" w:color="auto" w:fill="auto"/>
                  <w:noWrap/>
                  <w:vAlign w:val="center"/>
                </w:tcPr>
                <w:p w14:paraId="13EFF02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100片/瓶</w:t>
                  </w:r>
                </w:p>
              </w:tc>
              <w:tc>
                <w:tcPr>
                  <w:tcW w:w="1081" w:type="pct"/>
                  <w:tcBorders>
                    <w:top w:val="nil"/>
                    <w:left w:val="nil"/>
                    <w:bottom w:val="single" w:color="auto" w:sz="4" w:space="0"/>
                    <w:right w:val="single" w:color="auto" w:sz="4" w:space="0"/>
                  </w:tcBorders>
                  <w:shd w:val="clear" w:color="auto" w:fill="auto"/>
                  <w:noWrap/>
                  <w:vAlign w:val="center"/>
                </w:tcPr>
                <w:p w14:paraId="41A8374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　</w:t>
                  </w:r>
                </w:p>
              </w:tc>
              <w:tc>
                <w:tcPr>
                  <w:tcW w:w="283" w:type="pct"/>
                  <w:tcBorders>
                    <w:top w:val="nil"/>
                    <w:left w:val="nil"/>
                    <w:bottom w:val="single" w:color="auto" w:sz="4" w:space="0"/>
                    <w:right w:val="single" w:color="auto" w:sz="4" w:space="0"/>
                  </w:tcBorders>
                  <w:shd w:val="clear" w:color="auto" w:fill="auto"/>
                  <w:noWrap/>
                  <w:vAlign w:val="center"/>
                </w:tcPr>
                <w:p w14:paraId="4A33259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瓶</w:t>
                  </w:r>
                </w:p>
              </w:tc>
              <w:tc>
                <w:tcPr>
                  <w:tcW w:w="573" w:type="pct"/>
                  <w:tcBorders>
                    <w:top w:val="nil"/>
                    <w:left w:val="nil"/>
                    <w:bottom w:val="single" w:color="auto" w:sz="4" w:space="0"/>
                    <w:right w:val="single" w:color="auto" w:sz="4" w:space="0"/>
                  </w:tcBorders>
                  <w:shd w:val="clear" w:color="auto" w:fill="auto"/>
                  <w:noWrap/>
                  <w:vAlign w:val="center"/>
                </w:tcPr>
                <w:p w14:paraId="5F9ABCD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150</w:t>
                  </w:r>
                </w:p>
              </w:tc>
              <w:tc>
                <w:tcPr>
                  <w:tcW w:w="568" w:type="pct"/>
                  <w:tcBorders>
                    <w:top w:val="nil"/>
                    <w:left w:val="nil"/>
                    <w:bottom w:val="single" w:color="auto" w:sz="4" w:space="0"/>
                    <w:right w:val="single" w:color="auto" w:sz="4" w:space="0"/>
                  </w:tcBorders>
                  <w:shd w:val="clear" w:color="auto" w:fill="auto"/>
                  <w:noWrap/>
                  <w:vAlign w:val="center"/>
                </w:tcPr>
                <w:p w14:paraId="2F4A072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66</w:t>
                  </w:r>
                </w:p>
              </w:tc>
              <w:tc>
                <w:tcPr>
                  <w:tcW w:w="417" w:type="pct"/>
                  <w:tcBorders>
                    <w:top w:val="nil"/>
                    <w:left w:val="nil"/>
                    <w:bottom w:val="single" w:color="auto" w:sz="4" w:space="0"/>
                    <w:right w:val="single" w:color="auto" w:sz="4" w:space="0"/>
                  </w:tcBorders>
                  <w:vAlign w:val="center"/>
                </w:tcPr>
                <w:p w14:paraId="5D430D0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195</w:t>
                  </w:r>
                </w:p>
              </w:tc>
              <w:tc>
                <w:tcPr>
                  <w:tcW w:w="319" w:type="pct"/>
                  <w:tcBorders>
                    <w:top w:val="nil"/>
                    <w:left w:val="nil"/>
                    <w:bottom w:val="single" w:color="auto" w:sz="4" w:space="0"/>
                    <w:right w:val="single" w:color="auto" w:sz="4" w:space="0"/>
                  </w:tcBorders>
                  <w:vAlign w:val="center"/>
                </w:tcPr>
                <w:p w14:paraId="0695975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86</w:t>
                  </w:r>
                </w:p>
              </w:tc>
            </w:tr>
            <w:tr w14:paraId="3C5D5EF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5000" w:type="pct"/>
                  <w:gridSpan w:val="9"/>
                  <w:tcBorders>
                    <w:top w:val="single" w:color="auto" w:sz="4" w:space="0"/>
                    <w:left w:val="single" w:color="auto" w:sz="4" w:space="0"/>
                    <w:bottom w:val="single" w:color="auto" w:sz="4" w:space="0"/>
                    <w:right w:val="single" w:color="auto" w:sz="4" w:space="0"/>
                  </w:tcBorders>
                  <w:shd w:val="clear" w:color="auto" w:fill="auto"/>
                  <w:noWrap/>
                  <w:vAlign w:val="center"/>
                </w:tcPr>
                <w:p w14:paraId="7D94056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新增原辅料从此行开始</w:t>
                  </w:r>
                </w:p>
              </w:tc>
            </w:tr>
            <w:tr w14:paraId="37DFD0B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285681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ED3ECF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品名</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0C3D06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规格</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643AB3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产地</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3AF464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单位</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67410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库存量（现）</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0269A3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月使用量（现）</w:t>
                  </w:r>
                </w:p>
              </w:tc>
              <w:tc>
                <w:tcPr>
                  <w:tcW w:w="417" w:type="pct"/>
                  <w:tcBorders>
                    <w:top w:val="single" w:color="auto" w:sz="4" w:space="0"/>
                    <w:left w:val="single" w:color="auto" w:sz="4" w:space="0"/>
                    <w:bottom w:val="single" w:color="auto" w:sz="4" w:space="0"/>
                    <w:right w:val="single" w:color="auto" w:sz="4" w:space="0"/>
                  </w:tcBorders>
                  <w:vAlign w:val="center"/>
                </w:tcPr>
                <w:p w14:paraId="2A96F32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库存量（预计）</w:t>
                  </w:r>
                </w:p>
              </w:tc>
              <w:tc>
                <w:tcPr>
                  <w:tcW w:w="319" w:type="pct"/>
                  <w:tcBorders>
                    <w:top w:val="single" w:color="auto" w:sz="4" w:space="0"/>
                    <w:left w:val="single" w:color="auto" w:sz="4" w:space="0"/>
                    <w:bottom w:val="single" w:color="auto" w:sz="4" w:space="0"/>
                    <w:right w:val="single" w:color="auto" w:sz="4" w:space="0"/>
                  </w:tcBorders>
                  <w:vAlign w:val="center"/>
                </w:tcPr>
                <w:p w14:paraId="27431EF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月使用量（预计）</w:t>
                  </w:r>
                </w:p>
              </w:tc>
            </w:tr>
            <w:tr w14:paraId="2A10912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E2B16A7">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822068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甲醛</w:t>
                  </w:r>
                  <w:r>
                    <w:rPr>
                      <w:rFonts w:hint="eastAsia" w:ascii="宋体" w:hAnsi="宋体" w:eastAsia="宋体" w:cs="宋体"/>
                      <w:color w:val="auto"/>
                      <w:sz w:val="21"/>
                      <w:szCs w:val="21"/>
                    </w:rPr>
                    <w:t>灭菌化学指示卡</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C0751C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100片/盒</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E90109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12328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盒</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25C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9226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59A165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84E1B5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p>
              </w:tc>
            </w:tr>
            <w:tr w14:paraId="1DC691F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D0D9A3">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2</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EC2128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甲醛</w:t>
                  </w:r>
                  <w:r>
                    <w:rPr>
                      <w:rFonts w:hint="eastAsia" w:ascii="宋体" w:hAnsi="宋体" w:eastAsia="宋体" w:cs="宋体"/>
                      <w:color w:val="auto"/>
                      <w:sz w:val="21"/>
                      <w:szCs w:val="21"/>
                    </w:rPr>
                    <w:t>灭菌包装袋</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33022D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200mm*100m</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81180F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6F7F35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卷</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CDCD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1FEC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7BA7E2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49E06A0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p>
              </w:tc>
            </w:tr>
            <w:tr w14:paraId="71A8F88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E79A7D">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3</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8D1AB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甲醛</w:t>
                  </w:r>
                  <w:r>
                    <w:rPr>
                      <w:rFonts w:hint="eastAsia" w:ascii="宋体" w:hAnsi="宋体" w:eastAsia="宋体" w:cs="宋体"/>
                      <w:color w:val="auto"/>
                      <w:sz w:val="21"/>
                      <w:szCs w:val="21"/>
                    </w:rPr>
                    <w:t>灭菌过程指示胶带</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EF6B9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35米/卷</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18DB4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9926826">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卷</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08CD9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D756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71B3B0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166915B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w:t>
                  </w:r>
                </w:p>
              </w:tc>
            </w:tr>
            <w:tr w14:paraId="3B8682A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9B5DFC">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4</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48B87C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甲醛</w:t>
                  </w:r>
                  <w:r>
                    <w:rPr>
                      <w:rFonts w:hint="eastAsia" w:ascii="宋体" w:hAnsi="宋体" w:eastAsia="宋体" w:cs="宋体"/>
                      <w:color w:val="auto"/>
                      <w:sz w:val="21"/>
                      <w:szCs w:val="21"/>
                    </w:rPr>
                    <w:t>过程指示标签</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7719F3">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900片/包</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F1AC5D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5643DF8">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片</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001E1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4F9B9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1168C3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3E815B3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3600</w:t>
                  </w:r>
                </w:p>
              </w:tc>
            </w:tr>
            <w:tr w14:paraId="7CAC72A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D724F1">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5</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B1AE97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压力蒸汽灭菌化学指示标签</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166ECD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840片/包</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86F9CF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B82DEF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片</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AC402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983F2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1E978C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3FBE09C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8400</w:t>
                  </w:r>
                </w:p>
              </w:tc>
            </w:tr>
            <w:tr w14:paraId="4708A9C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EF5F115">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6</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CC84F8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医疗器械除锈剂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F71568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2.5L/桶</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1F0C74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45CCF1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桶</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D8C85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D9286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600A13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51C5DE49">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w:t>
                  </w:r>
                </w:p>
              </w:tc>
            </w:tr>
            <w:tr w14:paraId="2A289140">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6FFFB25">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7</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36C95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多效柔亮型润滑防锈剂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7C1959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2.5L/桶</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DFB0E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640D3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桶</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C061C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C467C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5E53E1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45A7553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p>
              </w:tc>
            </w:tr>
            <w:tr w14:paraId="5B0F8CA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8A9A438">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8</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43DEB1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医疗器械中性多酶清洗剂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8697ED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2.5L/桶</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CFCDA8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58216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桶</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0343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31BBA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0E06D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3207FDC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w:t>
                  </w:r>
                </w:p>
              </w:tc>
            </w:tr>
            <w:tr w14:paraId="236BA08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9DD967E">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9</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08E45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医用灭菌包装无纺布</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54384F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600mm*600mm</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C5CB955">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E377FC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张</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CF69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CD27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7D52F2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A6A8CA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2000</w:t>
                  </w:r>
                </w:p>
              </w:tc>
            </w:tr>
            <w:tr w14:paraId="0BD640B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FE5C2B3">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10</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A712B4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134°C压力蒸汽灭菌化学指示卡</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13EA9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200片/盒</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68DD6E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BD6E21C">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盒</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2C853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FBF7A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514A9B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7FF4AF2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w:t>
                  </w:r>
                </w:p>
              </w:tc>
            </w:tr>
            <w:tr w14:paraId="3461B57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45209AE">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11</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4FCFA07">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2%甲醛灭菌剂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D6EB56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5L/袋</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D31A13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D5AC4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袋</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30362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BF6F6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4A54D3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94F2C2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10</w:t>
                  </w:r>
                </w:p>
              </w:tc>
            </w:tr>
            <w:tr w14:paraId="4A18A9A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01712F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02276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甲醛</w:t>
                  </w:r>
                  <w:r>
                    <w:rPr>
                      <w:rFonts w:hint="eastAsia" w:ascii="宋体" w:hAnsi="宋体" w:eastAsia="宋体" w:cs="宋体"/>
                      <w:color w:val="auto"/>
                      <w:sz w:val="21"/>
                      <w:szCs w:val="21"/>
                    </w:rPr>
                    <w:t>灭菌1小时极速生物指示剂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26D51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30支/支</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21D9DF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648ECF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E66E3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7AA7E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2EF871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6B85299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30</w:t>
                  </w:r>
                </w:p>
              </w:tc>
            </w:tr>
            <w:tr w14:paraId="1ABE091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3478E8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9ADF194">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B-D预警测试包</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F09B33">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40个/箱</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D35B88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367BBE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个</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8B6F0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89740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764DDD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5C1D6A4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60</w:t>
                  </w:r>
                </w:p>
              </w:tc>
            </w:tr>
            <w:tr w14:paraId="5182FFEF">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46A1633">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70C00EE">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封口测试纸</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92AADE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100片/盒</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F3EBA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A207F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盒</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98E90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F0C18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58E799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173DF53D">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0.5</w:t>
                  </w:r>
                </w:p>
              </w:tc>
            </w:tr>
            <w:tr w14:paraId="11772B10">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B724F9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BD4A92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灭菌包装材料</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8FDDCE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200mm*100m</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77A99E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E388B92">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卷</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A8FEB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F770B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05B8F1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3491130F">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10</w:t>
                  </w:r>
                </w:p>
              </w:tc>
            </w:tr>
            <w:tr w14:paraId="05FE751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73A549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26823A">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压力蒸汽灭菌1小时极速生物指示剂</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BE86C57">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30支/支</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5FEA076">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67B4406">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7F50D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16AB0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42506E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3C6558E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10</w:t>
                  </w:r>
                </w:p>
              </w:tc>
            </w:tr>
            <w:tr w14:paraId="02B74F4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BB36FD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B729C8">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压力蒸汽灭菌封包胶粘带</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772E37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50米/卷</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5D1BB30">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484E0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卷</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D506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5A9E4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32C51B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C0F7832">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w:t>
                  </w:r>
                </w:p>
              </w:tc>
            </w:tr>
            <w:tr w14:paraId="4609334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241875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33C58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压力蒸汽灭菌化学测试包</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836790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30个/箱</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38699D6">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9E1598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个</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BE547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2FE5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5848A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89F7261">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120</w:t>
                  </w:r>
                </w:p>
              </w:tc>
            </w:tr>
            <w:tr w14:paraId="400AED0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6C5E2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2E2E7C3">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压力蒸汽灭菌</w:t>
                  </w:r>
                  <w:r>
                    <w:rPr>
                      <w:rFonts w:hint="eastAsia" w:ascii="宋体" w:hAnsi="宋体" w:eastAsia="宋体" w:cs="宋体"/>
                      <w:color w:val="auto"/>
                      <w:sz w:val="21"/>
                      <w:szCs w:val="21"/>
                      <w:lang w:val="en-US" w:eastAsia="zh-CN"/>
                    </w:rPr>
                    <w:t>爬行式</w:t>
                  </w:r>
                  <w:r>
                    <w:rPr>
                      <w:rFonts w:hint="eastAsia" w:ascii="宋体" w:hAnsi="宋体" w:eastAsia="宋体" w:cs="宋体"/>
                      <w:color w:val="auto"/>
                      <w:sz w:val="21"/>
                      <w:szCs w:val="21"/>
                    </w:rPr>
                    <w:t>化学指示卡</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797BA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200片/包</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94DA52F">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BAA165">
                  <w:pPr>
                    <w:spacing w:line="240" w:lineRule="auto"/>
                    <w:ind w:firstLine="0" w:firstLineChars="0"/>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片</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81B1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CA371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445409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01C3FFC">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1500</w:t>
                  </w:r>
                </w:p>
              </w:tc>
            </w:tr>
            <w:tr w14:paraId="3B2CF82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277" w:hRule="atLeast"/>
              </w:trPr>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0F04F8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9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90E02E8">
                  <w:pPr>
                    <w:keepNext w:val="0"/>
                    <w:keepLines w:val="0"/>
                    <w:widowControl/>
                    <w:suppressLineNumbers w:val="0"/>
                    <w:ind w:left="0" w:leftChars="0" w:firstLine="0" w:firstLineChars="0"/>
                    <w:jc w:val="left"/>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2"/>
                      <w:szCs w:val="22"/>
                      <w:u w:val="none"/>
                      <w:lang w:val="en-US" w:eastAsia="zh-CN" w:bidi="ar"/>
                    </w:rPr>
                    <w:t>邻苯二甲醛消毒液</w:t>
                  </w:r>
                </w:p>
              </w:tc>
              <w:tc>
                <w:tcPr>
                  <w:tcW w:w="53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C3753B">
                  <w:pPr>
                    <w:keepNext w:val="0"/>
                    <w:keepLines w:val="0"/>
                    <w:widowControl/>
                    <w:suppressLineNumbers w:val="0"/>
                    <w:ind w:left="0" w:leftChars="0" w:firstLine="0" w:firstLineChars="0"/>
                    <w:jc w:val="left"/>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2"/>
                      <w:szCs w:val="22"/>
                      <w:u w:val="none"/>
                      <w:lang w:val="en-US" w:eastAsia="zh-CN" w:bidi="ar"/>
                    </w:rPr>
                    <w:t>5L/桶</w:t>
                  </w:r>
                </w:p>
              </w:tc>
              <w:tc>
                <w:tcPr>
                  <w:tcW w:w="10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CD99624">
                  <w:pPr>
                    <w:spacing w:line="240" w:lineRule="auto"/>
                    <w:ind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山东新华医疗器械股份有限公司</w:t>
                  </w:r>
                </w:p>
              </w:tc>
              <w:tc>
                <w:tcPr>
                  <w:tcW w:w="28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9256EF7">
                  <w:pPr>
                    <w:spacing w:line="240" w:lineRule="auto"/>
                    <w:ind w:firstLine="0" w:firstLineChars="0"/>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桶</w:t>
                  </w:r>
                </w:p>
              </w:tc>
              <w:tc>
                <w:tcPr>
                  <w:tcW w:w="57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AF05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56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6AAF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417" w:type="pct"/>
                  <w:tcBorders>
                    <w:top w:val="single" w:color="auto" w:sz="4" w:space="0"/>
                    <w:left w:val="single" w:color="auto" w:sz="4" w:space="0"/>
                    <w:bottom w:val="single" w:color="auto" w:sz="4" w:space="0"/>
                    <w:right w:val="single" w:color="auto" w:sz="4" w:space="0"/>
                  </w:tcBorders>
                  <w:vAlign w:val="center"/>
                </w:tcPr>
                <w:p w14:paraId="67EEF5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cs="宋体"/>
                      <w:color w:val="auto"/>
                      <w:sz w:val="21"/>
                      <w:szCs w:val="21"/>
                      <w:lang w:val="en-US" w:eastAsia="zh-CN"/>
                    </w:rPr>
                    <w:t>/</w:t>
                  </w:r>
                </w:p>
              </w:tc>
              <w:tc>
                <w:tcPr>
                  <w:tcW w:w="319" w:type="pct"/>
                  <w:tcBorders>
                    <w:top w:val="single" w:color="auto" w:sz="4" w:space="0"/>
                    <w:left w:val="single" w:color="auto" w:sz="4" w:space="0"/>
                    <w:bottom w:val="single" w:color="auto" w:sz="4" w:space="0"/>
                    <w:right w:val="single" w:color="auto" w:sz="4" w:space="0"/>
                  </w:tcBorders>
                  <w:vAlign w:val="center"/>
                </w:tcPr>
                <w:p w14:paraId="2BF2253B">
                  <w:pPr>
                    <w:spacing w:line="24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p>
              </w:tc>
            </w:tr>
          </w:tbl>
          <w:p w14:paraId="36FB4B6E">
            <w:pPr>
              <w:pStyle w:val="38"/>
              <w:rPr>
                <w:rFonts w:ascii="Times New Roman" w:hAnsi="Times New Roman" w:eastAsia="宋体"/>
                <w:b/>
                <w:bCs/>
                <w:color w:val="auto"/>
                <w:highlight w:val="none"/>
              </w:rPr>
            </w:pPr>
            <w:r>
              <w:rPr>
                <w:rFonts w:ascii="Times New Roman" w:hAnsi="Times New Roman" w:eastAsia="宋体"/>
                <w:b/>
                <w:bCs/>
                <w:color w:val="auto"/>
                <w:highlight w:val="none"/>
              </w:rPr>
              <w:t>表2</w:t>
            </w:r>
            <w:r>
              <w:rPr>
                <w:rFonts w:hint="eastAsia" w:ascii="Times New Roman" w:hAnsi="Times New Roman" w:eastAsia="宋体"/>
                <w:b/>
                <w:bCs/>
                <w:color w:val="auto"/>
                <w:highlight w:val="none"/>
                <w:lang w:val="en-US" w:eastAsia="zh-CN"/>
              </w:rPr>
              <w:t>-9江城卫生院</w:t>
            </w:r>
            <w:r>
              <w:rPr>
                <w:rFonts w:ascii="Times New Roman" w:hAnsi="Times New Roman" w:eastAsia="宋体"/>
                <w:b/>
                <w:bCs/>
                <w:color w:val="auto"/>
                <w:highlight w:val="none"/>
              </w:rPr>
              <w:t>项目原辅料情况表</w:t>
            </w:r>
          </w:p>
          <w:tbl>
            <w:tblPr>
              <w:tblStyle w:val="19"/>
              <w:tblW w:w="7659" w:type="dxa"/>
              <w:tblInd w:w="0" w:type="dxa"/>
              <w:tblLayout w:type="fixed"/>
              <w:tblCellMar>
                <w:top w:w="0" w:type="dxa"/>
                <w:left w:w="108" w:type="dxa"/>
                <w:bottom w:w="0" w:type="dxa"/>
                <w:right w:w="108" w:type="dxa"/>
              </w:tblCellMar>
            </w:tblPr>
            <w:tblGrid>
              <w:gridCol w:w="548"/>
              <w:gridCol w:w="1009"/>
              <w:gridCol w:w="851"/>
              <w:gridCol w:w="1559"/>
              <w:gridCol w:w="475"/>
              <w:gridCol w:w="801"/>
              <w:gridCol w:w="709"/>
              <w:gridCol w:w="850"/>
              <w:gridCol w:w="857"/>
            </w:tblGrid>
            <w:tr w14:paraId="00B049C8">
              <w:tblPrEx>
                <w:tblCellMar>
                  <w:top w:w="0" w:type="dxa"/>
                  <w:left w:w="108" w:type="dxa"/>
                  <w:bottom w:w="0" w:type="dxa"/>
                  <w:right w:w="108" w:type="dxa"/>
                </w:tblCellMar>
              </w:tblPrEx>
              <w:trPr>
                <w:trHeight w:val="263" w:hRule="atLeast"/>
              </w:trPr>
              <w:tc>
                <w:tcPr>
                  <w:tcW w:w="54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927EBE">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序号</w:t>
                  </w:r>
                </w:p>
              </w:tc>
              <w:tc>
                <w:tcPr>
                  <w:tcW w:w="1009" w:type="dxa"/>
                  <w:tcBorders>
                    <w:top w:val="single" w:color="auto" w:sz="4" w:space="0"/>
                    <w:left w:val="nil"/>
                    <w:bottom w:val="single" w:color="auto" w:sz="4" w:space="0"/>
                    <w:right w:val="single" w:color="auto" w:sz="4" w:space="0"/>
                  </w:tcBorders>
                  <w:shd w:val="clear" w:color="auto" w:fill="auto"/>
                  <w:noWrap/>
                  <w:vAlign w:val="center"/>
                </w:tcPr>
                <w:p w14:paraId="644D5F5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品名</w:t>
                  </w: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2DB6849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规格</w:t>
                  </w:r>
                </w:p>
              </w:tc>
              <w:tc>
                <w:tcPr>
                  <w:tcW w:w="1559" w:type="dxa"/>
                  <w:tcBorders>
                    <w:top w:val="single" w:color="auto" w:sz="4" w:space="0"/>
                    <w:left w:val="nil"/>
                    <w:bottom w:val="single" w:color="auto" w:sz="4" w:space="0"/>
                    <w:right w:val="single" w:color="auto" w:sz="4" w:space="0"/>
                  </w:tcBorders>
                  <w:shd w:val="clear" w:color="auto" w:fill="auto"/>
                  <w:noWrap/>
                  <w:vAlign w:val="center"/>
                </w:tcPr>
                <w:p w14:paraId="569C5B2C">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产地</w:t>
                  </w:r>
                </w:p>
              </w:tc>
              <w:tc>
                <w:tcPr>
                  <w:tcW w:w="475" w:type="dxa"/>
                  <w:tcBorders>
                    <w:top w:val="single" w:color="auto" w:sz="4" w:space="0"/>
                    <w:left w:val="nil"/>
                    <w:bottom w:val="single" w:color="auto" w:sz="4" w:space="0"/>
                    <w:right w:val="single" w:color="auto" w:sz="4" w:space="0"/>
                  </w:tcBorders>
                  <w:shd w:val="clear" w:color="auto" w:fill="auto"/>
                  <w:noWrap/>
                  <w:vAlign w:val="center"/>
                </w:tcPr>
                <w:p w14:paraId="2A8529D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单位</w:t>
                  </w:r>
                </w:p>
              </w:tc>
              <w:tc>
                <w:tcPr>
                  <w:tcW w:w="801" w:type="dxa"/>
                  <w:tcBorders>
                    <w:top w:val="single" w:color="auto" w:sz="4" w:space="0"/>
                    <w:left w:val="nil"/>
                    <w:bottom w:val="single" w:color="auto" w:sz="4" w:space="0"/>
                    <w:right w:val="single" w:color="auto" w:sz="4" w:space="0"/>
                  </w:tcBorders>
                  <w:shd w:val="clear" w:color="auto" w:fill="auto"/>
                  <w:noWrap/>
                  <w:vAlign w:val="center"/>
                </w:tcPr>
                <w:p w14:paraId="1C1E96F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库存量（现）</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4890DF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月使用量（现）</w:t>
                  </w:r>
                </w:p>
              </w:tc>
              <w:tc>
                <w:tcPr>
                  <w:tcW w:w="850" w:type="dxa"/>
                  <w:tcBorders>
                    <w:top w:val="single" w:color="auto" w:sz="4" w:space="0"/>
                    <w:left w:val="nil"/>
                    <w:bottom w:val="single" w:color="auto" w:sz="4" w:space="0"/>
                    <w:right w:val="single" w:color="auto" w:sz="4" w:space="0"/>
                  </w:tcBorders>
                  <w:vAlign w:val="center"/>
                </w:tcPr>
                <w:p w14:paraId="6188B4B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库存量（预计）</w:t>
                  </w:r>
                </w:p>
              </w:tc>
              <w:tc>
                <w:tcPr>
                  <w:tcW w:w="857" w:type="dxa"/>
                  <w:tcBorders>
                    <w:top w:val="single" w:color="auto" w:sz="4" w:space="0"/>
                    <w:left w:val="nil"/>
                    <w:bottom w:val="single" w:color="auto" w:sz="4" w:space="0"/>
                    <w:right w:val="single" w:color="auto" w:sz="4" w:space="0"/>
                  </w:tcBorders>
                  <w:vAlign w:val="center"/>
                </w:tcPr>
                <w:p w14:paraId="6DB7F79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月使用量（预计）</w:t>
                  </w:r>
                </w:p>
              </w:tc>
            </w:tr>
            <w:tr w14:paraId="57ECEF58">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68D7108">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1009" w:type="dxa"/>
                  <w:tcBorders>
                    <w:top w:val="nil"/>
                    <w:left w:val="nil"/>
                    <w:bottom w:val="single" w:color="auto" w:sz="4" w:space="0"/>
                    <w:right w:val="single" w:color="auto" w:sz="4" w:space="0"/>
                  </w:tcBorders>
                  <w:shd w:val="clear" w:color="auto" w:fill="auto"/>
                  <w:noWrap/>
                  <w:vAlign w:val="center"/>
                </w:tcPr>
                <w:p w14:paraId="49BBEC7E">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凡士林纱布</w:t>
                  </w:r>
                </w:p>
              </w:tc>
              <w:tc>
                <w:tcPr>
                  <w:tcW w:w="851" w:type="dxa"/>
                  <w:tcBorders>
                    <w:top w:val="nil"/>
                    <w:left w:val="nil"/>
                    <w:bottom w:val="single" w:color="auto" w:sz="4" w:space="0"/>
                    <w:right w:val="single" w:color="auto" w:sz="4" w:space="0"/>
                  </w:tcBorders>
                  <w:shd w:val="clear" w:color="auto" w:fill="auto"/>
                  <w:noWrap/>
                  <w:vAlign w:val="center"/>
                </w:tcPr>
                <w:p w14:paraId="348440C6">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6*8*8/片</w:t>
                  </w:r>
                </w:p>
              </w:tc>
              <w:tc>
                <w:tcPr>
                  <w:tcW w:w="1559" w:type="dxa"/>
                  <w:tcBorders>
                    <w:top w:val="nil"/>
                    <w:left w:val="nil"/>
                    <w:bottom w:val="single" w:color="auto" w:sz="4" w:space="0"/>
                    <w:right w:val="single" w:color="auto" w:sz="4" w:space="0"/>
                  </w:tcBorders>
                  <w:shd w:val="clear" w:color="auto" w:fill="auto"/>
                  <w:noWrap/>
                  <w:vAlign w:val="center"/>
                </w:tcPr>
                <w:p w14:paraId="6C6B684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河南省安邦卫材有限公司</w:t>
                  </w:r>
                </w:p>
              </w:tc>
              <w:tc>
                <w:tcPr>
                  <w:tcW w:w="475" w:type="dxa"/>
                  <w:tcBorders>
                    <w:top w:val="nil"/>
                    <w:left w:val="nil"/>
                    <w:bottom w:val="single" w:color="auto" w:sz="4" w:space="0"/>
                    <w:right w:val="single" w:color="auto" w:sz="4" w:space="0"/>
                  </w:tcBorders>
                  <w:shd w:val="clear" w:color="auto" w:fill="auto"/>
                  <w:noWrap/>
                  <w:vAlign w:val="center"/>
                </w:tcPr>
                <w:p w14:paraId="4685946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块</w:t>
                  </w:r>
                </w:p>
              </w:tc>
              <w:tc>
                <w:tcPr>
                  <w:tcW w:w="801" w:type="dxa"/>
                  <w:tcBorders>
                    <w:top w:val="nil"/>
                    <w:left w:val="nil"/>
                    <w:bottom w:val="single" w:color="auto" w:sz="4" w:space="0"/>
                    <w:right w:val="single" w:color="auto" w:sz="4" w:space="0"/>
                  </w:tcBorders>
                  <w:shd w:val="clear" w:color="auto" w:fill="auto"/>
                  <w:noWrap/>
                  <w:vAlign w:val="center"/>
                </w:tcPr>
                <w:p w14:paraId="72415FD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300</w:t>
                  </w:r>
                </w:p>
              </w:tc>
              <w:tc>
                <w:tcPr>
                  <w:tcW w:w="709" w:type="dxa"/>
                  <w:tcBorders>
                    <w:top w:val="nil"/>
                    <w:left w:val="nil"/>
                    <w:bottom w:val="single" w:color="auto" w:sz="4" w:space="0"/>
                    <w:right w:val="single" w:color="auto" w:sz="4" w:space="0"/>
                  </w:tcBorders>
                  <w:shd w:val="clear" w:color="auto" w:fill="auto"/>
                  <w:noWrap/>
                  <w:vAlign w:val="center"/>
                </w:tcPr>
                <w:p w14:paraId="3731E2D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50" w:type="dxa"/>
                  <w:tcBorders>
                    <w:top w:val="nil"/>
                    <w:left w:val="nil"/>
                    <w:bottom w:val="single" w:color="auto" w:sz="4" w:space="0"/>
                    <w:right w:val="single" w:color="auto" w:sz="4" w:space="0"/>
                  </w:tcBorders>
                  <w:vAlign w:val="center"/>
                </w:tcPr>
                <w:p w14:paraId="4EF6A0F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400</w:t>
                  </w:r>
                </w:p>
              </w:tc>
              <w:tc>
                <w:tcPr>
                  <w:tcW w:w="857" w:type="dxa"/>
                  <w:tcBorders>
                    <w:top w:val="nil"/>
                    <w:left w:val="nil"/>
                    <w:bottom w:val="single" w:color="auto" w:sz="4" w:space="0"/>
                    <w:right w:val="single" w:color="auto" w:sz="4" w:space="0"/>
                  </w:tcBorders>
                  <w:vAlign w:val="center"/>
                </w:tcPr>
                <w:p w14:paraId="21EF873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r>
            <w:tr w14:paraId="2AD57896">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5AA05D4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1009" w:type="dxa"/>
                  <w:tcBorders>
                    <w:top w:val="nil"/>
                    <w:left w:val="nil"/>
                    <w:bottom w:val="single" w:color="auto" w:sz="4" w:space="0"/>
                    <w:right w:val="single" w:color="auto" w:sz="4" w:space="0"/>
                  </w:tcBorders>
                  <w:shd w:val="clear" w:color="auto" w:fill="auto"/>
                  <w:noWrap/>
                  <w:vAlign w:val="center"/>
                </w:tcPr>
                <w:p w14:paraId="7FF38E4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医用脱脂棉纱布块</w:t>
                  </w:r>
                </w:p>
              </w:tc>
              <w:tc>
                <w:tcPr>
                  <w:tcW w:w="851" w:type="dxa"/>
                  <w:tcBorders>
                    <w:top w:val="nil"/>
                    <w:left w:val="nil"/>
                    <w:bottom w:val="single" w:color="auto" w:sz="4" w:space="0"/>
                    <w:right w:val="single" w:color="auto" w:sz="4" w:space="0"/>
                  </w:tcBorders>
                  <w:shd w:val="clear" w:color="auto" w:fill="auto"/>
                  <w:noWrap/>
                  <w:vAlign w:val="center"/>
                </w:tcPr>
                <w:p w14:paraId="7E539B9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I型6cm*8cm*8 2块/包</w:t>
                  </w:r>
                </w:p>
              </w:tc>
              <w:tc>
                <w:tcPr>
                  <w:tcW w:w="1559" w:type="dxa"/>
                  <w:tcBorders>
                    <w:top w:val="nil"/>
                    <w:left w:val="nil"/>
                    <w:bottom w:val="single" w:color="auto" w:sz="4" w:space="0"/>
                    <w:right w:val="single" w:color="auto" w:sz="4" w:space="0"/>
                  </w:tcBorders>
                  <w:shd w:val="clear" w:color="auto" w:fill="auto"/>
                  <w:noWrap/>
                  <w:vAlign w:val="center"/>
                </w:tcPr>
                <w:p w14:paraId="7E78724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河南省安邦卫材有限公司</w:t>
                  </w:r>
                </w:p>
              </w:tc>
              <w:tc>
                <w:tcPr>
                  <w:tcW w:w="475" w:type="dxa"/>
                  <w:tcBorders>
                    <w:top w:val="nil"/>
                    <w:left w:val="nil"/>
                    <w:bottom w:val="single" w:color="auto" w:sz="4" w:space="0"/>
                    <w:right w:val="single" w:color="auto" w:sz="4" w:space="0"/>
                  </w:tcBorders>
                  <w:shd w:val="clear" w:color="auto" w:fill="auto"/>
                  <w:noWrap/>
                  <w:vAlign w:val="center"/>
                </w:tcPr>
                <w:p w14:paraId="25E2001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块</w:t>
                  </w:r>
                </w:p>
              </w:tc>
              <w:tc>
                <w:tcPr>
                  <w:tcW w:w="801" w:type="dxa"/>
                  <w:tcBorders>
                    <w:top w:val="nil"/>
                    <w:left w:val="nil"/>
                    <w:bottom w:val="single" w:color="auto" w:sz="4" w:space="0"/>
                    <w:right w:val="single" w:color="auto" w:sz="4" w:space="0"/>
                  </w:tcBorders>
                  <w:shd w:val="clear" w:color="auto" w:fill="auto"/>
                  <w:noWrap/>
                  <w:vAlign w:val="center"/>
                </w:tcPr>
                <w:p w14:paraId="249A9BB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2500</w:t>
                  </w:r>
                </w:p>
              </w:tc>
              <w:tc>
                <w:tcPr>
                  <w:tcW w:w="709" w:type="dxa"/>
                  <w:tcBorders>
                    <w:top w:val="nil"/>
                    <w:left w:val="nil"/>
                    <w:bottom w:val="single" w:color="auto" w:sz="4" w:space="0"/>
                    <w:right w:val="single" w:color="auto" w:sz="4" w:space="0"/>
                  </w:tcBorders>
                  <w:shd w:val="clear" w:color="auto" w:fill="auto"/>
                  <w:noWrap/>
                  <w:vAlign w:val="center"/>
                </w:tcPr>
                <w:p w14:paraId="53DC02B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2266</w:t>
                  </w:r>
                </w:p>
              </w:tc>
              <w:tc>
                <w:tcPr>
                  <w:tcW w:w="850" w:type="dxa"/>
                  <w:tcBorders>
                    <w:top w:val="nil"/>
                    <w:left w:val="nil"/>
                    <w:bottom w:val="single" w:color="auto" w:sz="4" w:space="0"/>
                    <w:right w:val="single" w:color="auto" w:sz="4" w:space="0"/>
                  </w:tcBorders>
                  <w:vAlign w:val="center"/>
                </w:tcPr>
                <w:p w14:paraId="2E6BC8F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2800</w:t>
                  </w:r>
                </w:p>
              </w:tc>
              <w:tc>
                <w:tcPr>
                  <w:tcW w:w="857" w:type="dxa"/>
                  <w:tcBorders>
                    <w:top w:val="nil"/>
                    <w:left w:val="nil"/>
                    <w:bottom w:val="single" w:color="auto" w:sz="4" w:space="0"/>
                    <w:right w:val="single" w:color="auto" w:sz="4" w:space="0"/>
                  </w:tcBorders>
                  <w:vAlign w:val="center"/>
                </w:tcPr>
                <w:p w14:paraId="41E0D48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2500</w:t>
                  </w:r>
                </w:p>
              </w:tc>
            </w:tr>
            <w:tr w14:paraId="5AD615B7">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C53174C">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tc>
              <w:tc>
                <w:tcPr>
                  <w:tcW w:w="1009" w:type="dxa"/>
                  <w:tcBorders>
                    <w:top w:val="nil"/>
                    <w:left w:val="nil"/>
                    <w:bottom w:val="single" w:color="auto" w:sz="4" w:space="0"/>
                    <w:right w:val="single" w:color="auto" w:sz="4" w:space="0"/>
                  </w:tcBorders>
                  <w:shd w:val="clear" w:color="auto" w:fill="auto"/>
                  <w:noWrap/>
                  <w:vAlign w:val="center"/>
                </w:tcPr>
                <w:p w14:paraId="5AED1D1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医用脱脂纱布块</w:t>
                  </w:r>
                </w:p>
              </w:tc>
              <w:tc>
                <w:tcPr>
                  <w:tcW w:w="851" w:type="dxa"/>
                  <w:tcBorders>
                    <w:top w:val="nil"/>
                    <w:left w:val="nil"/>
                    <w:bottom w:val="single" w:color="auto" w:sz="4" w:space="0"/>
                    <w:right w:val="single" w:color="auto" w:sz="4" w:space="0"/>
                  </w:tcBorders>
                  <w:shd w:val="clear" w:color="auto" w:fill="auto"/>
                  <w:noWrap/>
                  <w:vAlign w:val="center"/>
                </w:tcPr>
                <w:p w14:paraId="3C8C55CE">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I型6cm*8cm*8（400块/包）</w:t>
                  </w:r>
                </w:p>
              </w:tc>
              <w:tc>
                <w:tcPr>
                  <w:tcW w:w="1559" w:type="dxa"/>
                  <w:tcBorders>
                    <w:top w:val="nil"/>
                    <w:left w:val="nil"/>
                    <w:bottom w:val="single" w:color="auto" w:sz="4" w:space="0"/>
                    <w:right w:val="single" w:color="auto" w:sz="4" w:space="0"/>
                  </w:tcBorders>
                  <w:shd w:val="clear" w:color="auto" w:fill="auto"/>
                  <w:noWrap/>
                  <w:vAlign w:val="center"/>
                </w:tcPr>
                <w:p w14:paraId="0E272E2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河南省安邦卫材有限公司</w:t>
                  </w:r>
                </w:p>
              </w:tc>
              <w:tc>
                <w:tcPr>
                  <w:tcW w:w="475" w:type="dxa"/>
                  <w:tcBorders>
                    <w:top w:val="nil"/>
                    <w:left w:val="nil"/>
                    <w:bottom w:val="single" w:color="auto" w:sz="4" w:space="0"/>
                    <w:right w:val="single" w:color="auto" w:sz="4" w:space="0"/>
                  </w:tcBorders>
                  <w:shd w:val="clear" w:color="auto" w:fill="auto"/>
                  <w:noWrap/>
                  <w:vAlign w:val="center"/>
                </w:tcPr>
                <w:p w14:paraId="4832E0B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块</w:t>
                  </w:r>
                </w:p>
              </w:tc>
              <w:tc>
                <w:tcPr>
                  <w:tcW w:w="801" w:type="dxa"/>
                  <w:tcBorders>
                    <w:top w:val="nil"/>
                    <w:left w:val="nil"/>
                    <w:bottom w:val="single" w:color="auto" w:sz="4" w:space="0"/>
                    <w:right w:val="single" w:color="auto" w:sz="4" w:space="0"/>
                  </w:tcBorders>
                  <w:shd w:val="clear" w:color="auto" w:fill="auto"/>
                  <w:noWrap/>
                  <w:vAlign w:val="center"/>
                </w:tcPr>
                <w:p w14:paraId="70D4754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3500</w:t>
                  </w:r>
                </w:p>
              </w:tc>
              <w:tc>
                <w:tcPr>
                  <w:tcW w:w="709" w:type="dxa"/>
                  <w:tcBorders>
                    <w:top w:val="nil"/>
                    <w:left w:val="nil"/>
                    <w:bottom w:val="single" w:color="auto" w:sz="4" w:space="0"/>
                    <w:right w:val="single" w:color="auto" w:sz="4" w:space="0"/>
                  </w:tcBorders>
                  <w:shd w:val="clear" w:color="auto" w:fill="auto"/>
                  <w:noWrap/>
                  <w:vAlign w:val="center"/>
                </w:tcPr>
                <w:p w14:paraId="469A21B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1670</w:t>
                  </w:r>
                </w:p>
              </w:tc>
              <w:tc>
                <w:tcPr>
                  <w:tcW w:w="850" w:type="dxa"/>
                  <w:tcBorders>
                    <w:top w:val="nil"/>
                    <w:left w:val="nil"/>
                    <w:bottom w:val="single" w:color="auto" w:sz="4" w:space="0"/>
                    <w:right w:val="single" w:color="auto" w:sz="4" w:space="0"/>
                  </w:tcBorders>
                  <w:vAlign w:val="center"/>
                </w:tcPr>
                <w:p w14:paraId="63D9FE4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4000</w:t>
                  </w:r>
                </w:p>
              </w:tc>
              <w:tc>
                <w:tcPr>
                  <w:tcW w:w="857" w:type="dxa"/>
                  <w:tcBorders>
                    <w:top w:val="nil"/>
                    <w:left w:val="nil"/>
                    <w:bottom w:val="single" w:color="auto" w:sz="4" w:space="0"/>
                    <w:right w:val="single" w:color="auto" w:sz="4" w:space="0"/>
                  </w:tcBorders>
                  <w:vAlign w:val="center"/>
                </w:tcPr>
                <w:p w14:paraId="6B27FFF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1800</w:t>
                  </w:r>
                </w:p>
              </w:tc>
            </w:tr>
            <w:tr w14:paraId="5832FC80">
              <w:tblPrEx>
                <w:tblCellMar>
                  <w:top w:w="0" w:type="dxa"/>
                  <w:left w:w="108" w:type="dxa"/>
                  <w:bottom w:w="0" w:type="dxa"/>
                  <w:right w:w="108" w:type="dxa"/>
                </w:tblCellMar>
              </w:tblPrEx>
              <w:trPr>
                <w:trHeight w:val="912"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2778926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w:t>
                  </w:r>
                </w:p>
              </w:tc>
              <w:tc>
                <w:tcPr>
                  <w:tcW w:w="1009" w:type="dxa"/>
                  <w:tcBorders>
                    <w:top w:val="nil"/>
                    <w:left w:val="nil"/>
                    <w:bottom w:val="single" w:color="auto" w:sz="4" w:space="0"/>
                    <w:right w:val="single" w:color="auto" w:sz="4" w:space="0"/>
                  </w:tcBorders>
                  <w:shd w:val="clear" w:color="auto" w:fill="auto"/>
                  <w:noWrap/>
                  <w:vAlign w:val="center"/>
                </w:tcPr>
                <w:p w14:paraId="4650F33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医用脱脂纱布块</w:t>
                  </w:r>
                </w:p>
              </w:tc>
              <w:tc>
                <w:tcPr>
                  <w:tcW w:w="851" w:type="dxa"/>
                  <w:tcBorders>
                    <w:top w:val="nil"/>
                    <w:left w:val="nil"/>
                    <w:bottom w:val="single" w:color="auto" w:sz="4" w:space="0"/>
                    <w:right w:val="single" w:color="auto" w:sz="4" w:space="0"/>
                  </w:tcBorders>
                  <w:shd w:val="clear" w:color="auto" w:fill="auto"/>
                  <w:noWrap/>
                  <w:vAlign w:val="center"/>
                </w:tcPr>
                <w:p w14:paraId="01A656E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I型8cm*10cm*8cm（400块/包）</w:t>
                  </w:r>
                </w:p>
              </w:tc>
              <w:tc>
                <w:tcPr>
                  <w:tcW w:w="1559" w:type="dxa"/>
                  <w:tcBorders>
                    <w:top w:val="nil"/>
                    <w:left w:val="nil"/>
                    <w:bottom w:val="single" w:color="auto" w:sz="4" w:space="0"/>
                    <w:right w:val="single" w:color="auto" w:sz="4" w:space="0"/>
                  </w:tcBorders>
                  <w:shd w:val="clear" w:color="auto" w:fill="auto"/>
                  <w:noWrap/>
                  <w:vAlign w:val="center"/>
                </w:tcPr>
                <w:p w14:paraId="23577A7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河南省安邦卫材有限公司</w:t>
                  </w:r>
                </w:p>
              </w:tc>
              <w:tc>
                <w:tcPr>
                  <w:tcW w:w="475" w:type="dxa"/>
                  <w:tcBorders>
                    <w:top w:val="nil"/>
                    <w:left w:val="nil"/>
                    <w:bottom w:val="single" w:color="auto" w:sz="4" w:space="0"/>
                    <w:right w:val="single" w:color="auto" w:sz="4" w:space="0"/>
                  </w:tcBorders>
                  <w:shd w:val="clear" w:color="auto" w:fill="auto"/>
                  <w:noWrap/>
                  <w:vAlign w:val="center"/>
                </w:tcPr>
                <w:p w14:paraId="78C4F268">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块</w:t>
                  </w:r>
                </w:p>
              </w:tc>
              <w:tc>
                <w:tcPr>
                  <w:tcW w:w="801" w:type="dxa"/>
                  <w:tcBorders>
                    <w:top w:val="nil"/>
                    <w:left w:val="nil"/>
                    <w:bottom w:val="single" w:color="auto" w:sz="4" w:space="0"/>
                    <w:right w:val="single" w:color="auto" w:sz="4" w:space="0"/>
                  </w:tcBorders>
                  <w:shd w:val="clear" w:color="auto" w:fill="auto"/>
                  <w:noWrap/>
                  <w:vAlign w:val="center"/>
                </w:tcPr>
                <w:p w14:paraId="6FC0BEE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500</w:t>
                  </w:r>
                </w:p>
              </w:tc>
              <w:tc>
                <w:tcPr>
                  <w:tcW w:w="709" w:type="dxa"/>
                  <w:tcBorders>
                    <w:top w:val="nil"/>
                    <w:left w:val="nil"/>
                    <w:bottom w:val="single" w:color="auto" w:sz="4" w:space="0"/>
                    <w:right w:val="single" w:color="auto" w:sz="4" w:space="0"/>
                  </w:tcBorders>
                  <w:shd w:val="clear" w:color="auto" w:fill="auto"/>
                  <w:noWrap/>
                  <w:vAlign w:val="center"/>
                </w:tcPr>
                <w:p w14:paraId="6382F59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366</w:t>
                  </w:r>
                </w:p>
              </w:tc>
              <w:tc>
                <w:tcPr>
                  <w:tcW w:w="850" w:type="dxa"/>
                  <w:tcBorders>
                    <w:top w:val="nil"/>
                    <w:left w:val="nil"/>
                    <w:bottom w:val="single" w:color="auto" w:sz="4" w:space="0"/>
                    <w:right w:val="single" w:color="auto" w:sz="4" w:space="0"/>
                  </w:tcBorders>
                  <w:vAlign w:val="center"/>
                </w:tcPr>
                <w:p w14:paraId="6FC0279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700</w:t>
                  </w:r>
                </w:p>
              </w:tc>
              <w:tc>
                <w:tcPr>
                  <w:tcW w:w="857" w:type="dxa"/>
                  <w:tcBorders>
                    <w:top w:val="nil"/>
                    <w:left w:val="nil"/>
                    <w:bottom w:val="single" w:color="auto" w:sz="4" w:space="0"/>
                    <w:right w:val="single" w:color="auto" w:sz="4" w:space="0"/>
                  </w:tcBorders>
                  <w:vAlign w:val="center"/>
                </w:tcPr>
                <w:p w14:paraId="307611F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500</w:t>
                  </w:r>
                </w:p>
              </w:tc>
            </w:tr>
            <w:tr w14:paraId="5A191746">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0D0D292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w:t>
                  </w:r>
                </w:p>
              </w:tc>
              <w:tc>
                <w:tcPr>
                  <w:tcW w:w="1009" w:type="dxa"/>
                  <w:tcBorders>
                    <w:top w:val="nil"/>
                    <w:left w:val="nil"/>
                    <w:bottom w:val="single" w:color="auto" w:sz="4" w:space="0"/>
                    <w:right w:val="single" w:color="auto" w:sz="4" w:space="0"/>
                  </w:tcBorders>
                  <w:shd w:val="clear" w:color="auto" w:fill="auto"/>
                  <w:noWrap/>
                  <w:vAlign w:val="center"/>
                </w:tcPr>
                <w:p w14:paraId="79B102E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一次性医用灭菌棉签</w:t>
                  </w:r>
                </w:p>
              </w:tc>
              <w:tc>
                <w:tcPr>
                  <w:tcW w:w="851" w:type="dxa"/>
                  <w:tcBorders>
                    <w:top w:val="nil"/>
                    <w:left w:val="nil"/>
                    <w:bottom w:val="single" w:color="auto" w:sz="4" w:space="0"/>
                    <w:right w:val="single" w:color="auto" w:sz="4" w:space="0"/>
                  </w:tcBorders>
                  <w:shd w:val="clear" w:color="auto" w:fill="auto"/>
                  <w:noWrap/>
                  <w:vAlign w:val="center"/>
                </w:tcPr>
                <w:p w14:paraId="4FB1893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1500支/包</w:t>
                  </w:r>
                </w:p>
              </w:tc>
              <w:tc>
                <w:tcPr>
                  <w:tcW w:w="1559" w:type="dxa"/>
                  <w:tcBorders>
                    <w:top w:val="nil"/>
                    <w:left w:val="nil"/>
                    <w:bottom w:val="single" w:color="auto" w:sz="4" w:space="0"/>
                    <w:right w:val="single" w:color="auto" w:sz="4" w:space="0"/>
                  </w:tcBorders>
                  <w:shd w:val="clear" w:color="auto" w:fill="auto"/>
                  <w:noWrap/>
                  <w:vAlign w:val="center"/>
                </w:tcPr>
                <w:p w14:paraId="7C46282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昆明康业医疗器械有限公司</w:t>
                  </w:r>
                </w:p>
              </w:tc>
              <w:tc>
                <w:tcPr>
                  <w:tcW w:w="475" w:type="dxa"/>
                  <w:tcBorders>
                    <w:top w:val="nil"/>
                    <w:left w:val="nil"/>
                    <w:bottom w:val="single" w:color="auto" w:sz="4" w:space="0"/>
                    <w:right w:val="single" w:color="auto" w:sz="4" w:space="0"/>
                  </w:tcBorders>
                  <w:shd w:val="clear" w:color="auto" w:fill="auto"/>
                  <w:noWrap/>
                  <w:vAlign w:val="center"/>
                </w:tcPr>
                <w:p w14:paraId="172C4A0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包</w:t>
                  </w:r>
                </w:p>
              </w:tc>
              <w:tc>
                <w:tcPr>
                  <w:tcW w:w="801" w:type="dxa"/>
                  <w:tcBorders>
                    <w:top w:val="nil"/>
                    <w:left w:val="nil"/>
                    <w:bottom w:val="single" w:color="auto" w:sz="4" w:space="0"/>
                    <w:right w:val="single" w:color="auto" w:sz="4" w:space="0"/>
                  </w:tcBorders>
                  <w:shd w:val="clear" w:color="auto" w:fill="auto"/>
                  <w:noWrap/>
                  <w:vAlign w:val="center"/>
                </w:tcPr>
                <w:p w14:paraId="5C69184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22</w:t>
                  </w:r>
                </w:p>
              </w:tc>
              <w:tc>
                <w:tcPr>
                  <w:tcW w:w="709" w:type="dxa"/>
                  <w:tcBorders>
                    <w:top w:val="nil"/>
                    <w:left w:val="nil"/>
                    <w:bottom w:val="single" w:color="auto" w:sz="4" w:space="0"/>
                    <w:right w:val="single" w:color="auto" w:sz="4" w:space="0"/>
                  </w:tcBorders>
                  <w:shd w:val="clear" w:color="auto" w:fill="auto"/>
                  <w:noWrap/>
                  <w:vAlign w:val="center"/>
                </w:tcPr>
                <w:p w14:paraId="1F083B8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w:t>
                  </w:r>
                </w:p>
              </w:tc>
              <w:tc>
                <w:tcPr>
                  <w:tcW w:w="850" w:type="dxa"/>
                  <w:tcBorders>
                    <w:top w:val="nil"/>
                    <w:left w:val="nil"/>
                    <w:bottom w:val="single" w:color="auto" w:sz="4" w:space="0"/>
                    <w:right w:val="single" w:color="auto" w:sz="4" w:space="0"/>
                  </w:tcBorders>
                  <w:vAlign w:val="center"/>
                </w:tcPr>
                <w:p w14:paraId="31C2FBC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w:t>
                  </w:r>
                </w:p>
              </w:tc>
              <w:tc>
                <w:tcPr>
                  <w:tcW w:w="857" w:type="dxa"/>
                  <w:tcBorders>
                    <w:top w:val="nil"/>
                    <w:left w:val="nil"/>
                    <w:bottom w:val="single" w:color="auto" w:sz="4" w:space="0"/>
                    <w:right w:val="single" w:color="auto" w:sz="4" w:space="0"/>
                  </w:tcBorders>
                  <w:vAlign w:val="center"/>
                </w:tcPr>
                <w:p w14:paraId="71FBF95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25</w:t>
                  </w:r>
                </w:p>
              </w:tc>
            </w:tr>
            <w:tr w14:paraId="2C8519F7">
              <w:tblPrEx>
                <w:tblCellMar>
                  <w:top w:w="0" w:type="dxa"/>
                  <w:left w:w="108" w:type="dxa"/>
                  <w:bottom w:w="0" w:type="dxa"/>
                  <w:right w:w="108" w:type="dxa"/>
                </w:tblCellMar>
              </w:tblPrEx>
              <w:trPr>
                <w:trHeight w:val="71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69B4F90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p>
              </w:tc>
              <w:tc>
                <w:tcPr>
                  <w:tcW w:w="1009" w:type="dxa"/>
                  <w:tcBorders>
                    <w:top w:val="nil"/>
                    <w:left w:val="nil"/>
                    <w:bottom w:val="single" w:color="auto" w:sz="4" w:space="0"/>
                    <w:right w:val="single" w:color="auto" w:sz="4" w:space="0"/>
                  </w:tcBorders>
                  <w:shd w:val="clear" w:color="auto" w:fill="auto"/>
                  <w:noWrap/>
                  <w:vAlign w:val="center"/>
                </w:tcPr>
                <w:p w14:paraId="39A4B62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一次性医用灭菌棉签</w:t>
                  </w:r>
                </w:p>
              </w:tc>
              <w:tc>
                <w:tcPr>
                  <w:tcW w:w="851" w:type="dxa"/>
                  <w:tcBorders>
                    <w:top w:val="nil"/>
                    <w:left w:val="nil"/>
                    <w:bottom w:val="single" w:color="auto" w:sz="4" w:space="0"/>
                    <w:right w:val="single" w:color="auto" w:sz="4" w:space="0"/>
                  </w:tcBorders>
                  <w:shd w:val="clear" w:color="auto" w:fill="auto"/>
                  <w:noWrap/>
                  <w:vAlign w:val="center"/>
                </w:tcPr>
                <w:p w14:paraId="39C5DB1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20cm*20根*15袋/包</w:t>
                  </w:r>
                </w:p>
              </w:tc>
              <w:tc>
                <w:tcPr>
                  <w:tcW w:w="1559" w:type="dxa"/>
                  <w:tcBorders>
                    <w:top w:val="nil"/>
                    <w:left w:val="nil"/>
                    <w:bottom w:val="single" w:color="auto" w:sz="4" w:space="0"/>
                    <w:right w:val="single" w:color="auto" w:sz="4" w:space="0"/>
                  </w:tcBorders>
                  <w:shd w:val="clear" w:color="auto" w:fill="auto"/>
                  <w:noWrap/>
                  <w:vAlign w:val="center"/>
                </w:tcPr>
                <w:p w14:paraId="0436A524">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河南省安邦卫材有限公司</w:t>
                  </w:r>
                </w:p>
              </w:tc>
              <w:tc>
                <w:tcPr>
                  <w:tcW w:w="475" w:type="dxa"/>
                  <w:tcBorders>
                    <w:top w:val="nil"/>
                    <w:left w:val="nil"/>
                    <w:bottom w:val="single" w:color="auto" w:sz="4" w:space="0"/>
                    <w:right w:val="single" w:color="auto" w:sz="4" w:space="0"/>
                  </w:tcBorders>
                  <w:shd w:val="clear" w:color="auto" w:fill="auto"/>
                  <w:noWrap/>
                  <w:vAlign w:val="center"/>
                </w:tcPr>
                <w:p w14:paraId="726278D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包</w:t>
                  </w:r>
                </w:p>
              </w:tc>
              <w:tc>
                <w:tcPr>
                  <w:tcW w:w="801" w:type="dxa"/>
                  <w:tcBorders>
                    <w:top w:val="nil"/>
                    <w:left w:val="nil"/>
                    <w:bottom w:val="single" w:color="auto" w:sz="4" w:space="0"/>
                    <w:right w:val="single" w:color="auto" w:sz="4" w:space="0"/>
                  </w:tcBorders>
                  <w:shd w:val="clear" w:color="auto" w:fill="auto"/>
                  <w:noWrap/>
                  <w:vAlign w:val="center"/>
                </w:tcPr>
                <w:p w14:paraId="15EB6E7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709" w:type="dxa"/>
                  <w:tcBorders>
                    <w:top w:val="nil"/>
                    <w:left w:val="nil"/>
                    <w:bottom w:val="single" w:color="auto" w:sz="4" w:space="0"/>
                    <w:right w:val="single" w:color="auto" w:sz="4" w:space="0"/>
                  </w:tcBorders>
                  <w:shd w:val="clear" w:color="auto" w:fill="auto"/>
                  <w:noWrap/>
                  <w:vAlign w:val="center"/>
                </w:tcPr>
                <w:p w14:paraId="62AAF7A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850" w:type="dxa"/>
                  <w:tcBorders>
                    <w:top w:val="nil"/>
                    <w:left w:val="nil"/>
                    <w:bottom w:val="single" w:color="auto" w:sz="4" w:space="0"/>
                    <w:right w:val="single" w:color="auto" w:sz="4" w:space="0"/>
                  </w:tcBorders>
                  <w:vAlign w:val="center"/>
                </w:tcPr>
                <w:p w14:paraId="08FE470E">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tc>
              <w:tc>
                <w:tcPr>
                  <w:tcW w:w="857" w:type="dxa"/>
                  <w:tcBorders>
                    <w:top w:val="nil"/>
                    <w:left w:val="nil"/>
                    <w:bottom w:val="single" w:color="auto" w:sz="4" w:space="0"/>
                    <w:right w:val="single" w:color="auto" w:sz="4" w:space="0"/>
                  </w:tcBorders>
                  <w:vAlign w:val="center"/>
                </w:tcPr>
                <w:p w14:paraId="628AFBE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r>
            <w:tr w14:paraId="1BB42674">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3A70EC82">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w:t>
                  </w:r>
                </w:p>
              </w:tc>
              <w:tc>
                <w:tcPr>
                  <w:tcW w:w="1009" w:type="dxa"/>
                  <w:tcBorders>
                    <w:top w:val="nil"/>
                    <w:left w:val="nil"/>
                    <w:bottom w:val="single" w:color="auto" w:sz="4" w:space="0"/>
                    <w:right w:val="single" w:color="auto" w:sz="4" w:space="0"/>
                  </w:tcBorders>
                  <w:shd w:val="clear" w:color="auto" w:fill="auto"/>
                  <w:noWrap/>
                  <w:vAlign w:val="center"/>
                </w:tcPr>
                <w:p w14:paraId="1693126C">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碘伏</w:t>
                  </w:r>
                </w:p>
              </w:tc>
              <w:tc>
                <w:tcPr>
                  <w:tcW w:w="851" w:type="dxa"/>
                  <w:tcBorders>
                    <w:top w:val="nil"/>
                    <w:left w:val="nil"/>
                    <w:bottom w:val="single" w:color="auto" w:sz="4" w:space="0"/>
                    <w:right w:val="single" w:color="auto" w:sz="4" w:space="0"/>
                  </w:tcBorders>
                  <w:shd w:val="clear" w:color="auto" w:fill="auto"/>
                  <w:noWrap/>
                  <w:vAlign w:val="center"/>
                </w:tcPr>
                <w:p w14:paraId="6EC2DA6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100ml</w:t>
                  </w:r>
                </w:p>
              </w:tc>
              <w:tc>
                <w:tcPr>
                  <w:tcW w:w="1559" w:type="dxa"/>
                  <w:tcBorders>
                    <w:top w:val="nil"/>
                    <w:left w:val="nil"/>
                    <w:bottom w:val="single" w:color="auto" w:sz="4" w:space="0"/>
                    <w:right w:val="single" w:color="auto" w:sz="4" w:space="0"/>
                  </w:tcBorders>
                  <w:shd w:val="clear" w:color="auto" w:fill="auto"/>
                  <w:noWrap/>
                  <w:vAlign w:val="center"/>
                </w:tcPr>
                <w:p w14:paraId="04C801B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山东德新康医疗科技有限公司</w:t>
                  </w:r>
                </w:p>
              </w:tc>
              <w:tc>
                <w:tcPr>
                  <w:tcW w:w="475" w:type="dxa"/>
                  <w:tcBorders>
                    <w:top w:val="nil"/>
                    <w:left w:val="nil"/>
                    <w:bottom w:val="single" w:color="auto" w:sz="4" w:space="0"/>
                    <w:right w:val="single" w:color="auto" w:sz="4" w:space="0"/>
                  </w:tcBorders>
                  <w:shd w:val="clear" w:color="auto" w:fill="auto"/>
                  <w:noWrap/>
                  <w:vAlign w:val="center"/>
                </w:tcPr>
                <w:p w14:paraId="51F8AB6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　</w:t>
                  </w:r>
                </w:p>
              </w:tc>
              <w:tc>
                <w:tcPr>
                  <w:tcW w:w="801" w:type="dxa"/>
                  <w:tcBorders>
                    <w:top w:val="nil"/>
                    <w:left w:val="nil"/>
                    <w:bottom w:val="single" w:color="auto" w:sz="4" w:space="0"/>
                    <w:right w:val="single" w:color="auto" w:sz="4" w:space="0"/>
                  </w:tcBorders>
                  <w:shd w:val="clear" w:color="auto" w:fill="auto"/>
                  <w:noWrap/>
                  <w:vAlign w:val="center"/>
                </w:tcPr>
                <w:p w14:paraId="470C049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w:t>
                  </w:r>
                </w:p>
              </w:tc>
              <w:tc>
                <w:tcPr>
                  <w:tcW w:w="709" w:type="dxa"/>
                  <w:tcBorders>
                    <w:top w:val="nil"/>
                    <w:left w:val="nil"/>
                    <w:bottom w:val="single" w:color="auto" w:sz="4" w:space="0"/>
                    <w:right w:val="single" w:color="auto" w:sz="4" w:space="0"/>
                  </w:tcBorders>
                  <w:shd w:val="clear" w:color="auto" w:fill="auto"/>
                  <w:noWrap/>
                  <w:vAlign w:val="center"/>
                </w:tcPr>
                <w:p w14:paraId="4A702C2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850" w:type="dxa"/>
                  <w:tcBorders>
                    <w:top w:val="nil"/>
                    <w:left w:val="nil"/>
                    <w:bottom w:val="single" w:color="auto" w:sz="4" w:space="0"/>
                    <w:right w:val="single" w:color="auto" w:sz="4" w:space="0"/>
                  </w:tcBorders>
                  <w:vAlign w:val="center"/>
                </w:tcPr>
                <w:p w14:paraId="64D698C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w:t>
                  </w:r>
                </w:p>
              </w:tc>
              <w:tc>
                <w:tcPr>
                  <w:tcW w:w="857" w:type="dxa"/>
                  <w:tcBorders>
                    <w:top w:val="nil"/>
                    <w:left w:val="nil"/>
                    <w:bottom w:val="single" w:color="auto" w:sz="4" w:space="0"/>
                    <w:right w:val="single" w:color="auto" w:sz="4" w:space="0"/>
                  </w:tcBorders>
                  <w:vAlign w:val="center"/>
                </w:tcPr>
                <w:p w14:paraId="6CF84ED5">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w:t>
                  </w:r>
                </w:p>
              </w:tc>
            </w:tr>
            <w:tr w14:paraId="14813079">
              <w:tblPrEx>
                <w:tblCellMar>
                  <w:top w:w="0" w:type="dxa"/>
                  <w:left w:w="108" w:type="dxa"/>
                  <w:bottom w:w="0" w:type="dxa"/>
                  <w:right w:w="108" w:type="dxa"/>
                </w:tblCellMar>
              </w:tblPrEx>
              <w:trPr>
                <w:trHeight w:val="86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71253BF0">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p>
              </w:tc>
              <w:tc>
                <w:tcPr>
                  <w:tcW w:w="1009" w:type="dxa"/>
                  <w:tcBorders>
                    <w:top w:val="nil"/>
                    <w:left w:val="nil"/>
                    <w:bottom w:val="single" w:color="auto" w:sz="4" w:space="0"/>
                    <w:right w:val="single" w:color="auto" w:sz="4" w:space="0"/>
                  </w:tcBorders>
                  <w:shd w:val="clear" w:color="auto" w:fill="auto"/>
                  <w:noWrap/>
                  <w:vAlign w:val="center"/>
                </w:tcPr>
                <w:p w14:paraId="599AD73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碘伏</w:t>
                  </w:r>
                </w:p>
              </w:tc>
              <w:tc>
                <w:tcPr>
                  <w:tcW w:w="851" w:type="dxa"/>
                  <w:tcBorders>
                    <w:top w:val="nil"/>
                    <w:left w:val="nil"/>
                    <w:bottom w:val="single" w:color="auto" w:sz="4" w:space="0"/>
                    <w:right w:val="single" w:color="auto" w:sz="4" w:space="0"/>
                  </w:tcBorders>
                  <w:shd w:val="clear" w:color="auto" w:fill="auto"/>
                  <w:noWrap/>
                  <w:vAlign w:val="center"/>
                </w:tcPr>
                <w:p w14:paraId="14D5922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500ml</w:t>
                  </w:r>
                </w:p>
              </w:tc>
              <w:tc>
                <w:tcPr>
                  <w:tcW w:w="1559" w:type="dxa"/>
                  <w:tcBorders>
                    <w:top w:val="nil"/>
                    <w:left w:val="nil"/>
                    <w:bottom w:val="single" w:color="auto" w:sz="4" w:space="0"/>
                    <w:right w:val="single" w:color="auto" w:sz="4" w:space="0"/>
                  </w:tcBorders>
                  <w:shd w:val="clear" w:color="auto" w:fill="auto"/>
                  <w:noWrap/>
                  <w:vAlign w:val="center"/>
                </w:tcPr>
                <w:p w14:paraId="3EC728B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云南利健消毒制品有限公司</w:t>
                  </w:r>
                </w:p>
              </w:tc>
              <w:tc>
                <w:tcPr>
                  <w:tcW w:w="475" w:type="dxa"/>
                  <w:tcBorders>
                    <w:top w:val="nil"/>
                    <w:left w:val="nil"/>
                    <w:bottom w:val="single" w:color="auto" w:sz="4" w:space="0"/>
                    <w:right w:val="single" w:color="auto" w:sz="4" w:space="0"/>
                  </w:tcBorders>
                  <w:shd w:val="clear" w:color="auto" w:fill="auto"/>
                  <w:noWrap/>
                  <w:vAlign w:val="center"/>
                </w:tcPr>
                <w:p w14:paraId="28C8BDA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w:t>
                  </w:r>
                </w:p>
              </w:tc>
              <w:tc>
                <w:tcPr>
                  <w:tcW w:w="801" w:type="dxa"/>
                  <w:tcBorders>
                    <w:top w:val="nil"/>
                    <w:left w:val="nil"/>
                    <w:bottom w:val="single" w:color="auto" w:sz="4" w:space="0"/>
                    <w:right w:val="single" w:color="auto" w:sz="4" w:space="0"/>
                  </w:tcBorders>
                  <w:shd w:val="clear" w:color="auto" w:fill="auto"/>
                  <w:noWrap/>
                  <w:vAlign w:val="center"/>
                </w:tcPr>
                <w:p w14:paraId="422F1A8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w:t>
                  </w:r>
                </w:p>
              </w:tc>
              <w:tc>
                <w:tcPr>
                  <w:tcW w:w="709" w:type="dxa"/>
                  <w:tcBorders>
                    <w:top w:val="nil"/>
                    <w:left w:val="nil"/>
                    <w:bottom w:val="single" w:color="auto" w:sz="4" w:space="0"/>
                    <w:right w:val="single" w:color="auto" w:sz="4" w:space="0"/>
                  </w:tcBorders>
                  <w:shd w:val="clear" w:color="auto" w:fill="auto"/>
                  <w:noWrap/>
                  <w:vAlign w:val="center"/>
                </w:tcPr>
                <w:p w14:paraId="64CE730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32</w:t>
                  </w:r>
                </w:p>
              </w:tc>
              <w:tc>
                <w:tcPr>
                  <w:tcW w:w="850" w:type="dxa"/>
                  <w:tcBorders>
                    <w:top w:val="nil"/>
                    <w:left w:val="nil"/>
                    <w:bottom w:val="single" w:color="auto" w:sz="4" w:space="0"/>
                    <w:right w:val="single" w:color="auto" w:sz="4" w:space="0"/>
                  </w:tcBorders>
                  <w:vAlign w:val="center"/>
                </w:tcPr>
                <w:p w14:paraId="54478BF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w:t>
                  </w:r>
                </w:p>
              </w:tc>
              <w:tc>
                <w:tcPr>
                  <w:tcW w:w="857" w:type="dxa"/>
                  <w:tcBorders>
                    <w:top w:val="nil"/>
                    <w:left w:val="nil"/>
                    <w:bottom w:val="single" w:color="auto" w:sz="4" w:space="0"/>
                    <w:right w:val="single" w:color="auto" w:sz="4" w:space="0"/>
                  </w:tcBorders>
                  <w:vAlign w:val="center"/>
                </w:tcPr>
                <w:p w14:paraId="26E2171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w:t>
                  </w:r>
                </w:p>
              </w:tc>
            </w:tr>
            <w:tr w14:paraId="1E0663B5">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0A6D82B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w:t>
                  </w:r>
                </w:p>
              </w:tc>
              <w:tc>
                <w:tcPr>
                  <w:tcW w:w="1009" w:type="dxa"/>
                  <w:tcBorders>
                    <w:top w:val="nil"/>
                    <w:left w:val="nil"/>
                    <w:bottom w:val="single" w:color="auto" w:sz="4" w:space="0"/>
                    <w:right w:val="single" w:color="auto" w:sz="4" w:space="0"/>
                  </w:tcBorders>
                  <w:shd w:val="clear" w:color="auto" w:fill="auto"/>
                  <w:noWrap/>
                  <w:vAlign w:val="center"/>
                </w:tcPr>
                <w:p w14:paraId="2FCE1CB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碘伏</w:t>
                  </w:r>
                </w:p>
              </w:tc>
              <w:tc>
                <w:tcPr>
                  <w:tcW w:w="851" w:type="dxa"/>
                  <w:tcBorders>
                    <w:top w:val="nil"/>
                    <w:left w:val="nil"/>
                    <w:bottom w:val="single" w:color="auto" w:sz="4" w:space="0"/>
                    <w:right w:val="single" w:color="auto" w:sz="4" w:space="0"/>
                  </w:tcBorders>
                  <w:shd w:val="clear" w:color="auto" w:fill="auto"/>
                  <w:noWrap/>
                  <w:vAlign w:val="center"/>
                </w:tcPr>
                <w:p w14:paraId="5A0B99A0">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60ml</w:t>
                  </w:r>
                </w:p>
              </w:tc>
              <w:tc>
                <w:tcPr>
                  <w:tcW w:w="1559" w:type="dxa"/>
                  <w:tcBorders>
                    <w:top w:val="nil"/>
                    <w:left w:val="nil"/>
                    <w:bottom w:val="single" w:color="auto" w:sz="4" w:space="0"/>
                    <w:right w:val="single" w:color="auto" w:sz="4" w:space="0"/>
                  </w:tcBorders>
                  <w:shd w:val="clear" w:color="auto" w:fill="auto"/>
                  <w:noWrap/>
                  <w:vAlign w:val="center"/>
                </w:tcPr>
                <w:p w14:paraId="5EA7F8E4">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昆明天亘消毒制品有限公司</w:t>
                  </w:r>
                </w:p>
              </w:tc>
              <w:tc>
                <w:tcPr>
                  <w:tcW w:w="475" w:type="dxa"/>
                  <w:tcBorders>
                    <w:top w:val="nil"/>
                    <w:left w:val="nil"/>
                    <w:bottom w:val="single" w:color="auto" w:sz="4" w:space="0"/>
                    <w:right w:val="single" w:color="auto" w:sz="4" w:space="0"/>
                  </w:tcBorders>
                  <w:shd w:val="clear" w:color="auto" w:fill="auto"/>
                  <w:noWrap/>
                  <w:vAlign w:val="center"/>
                </w:tcPr>
                <w:p w14:paraId="0DE2E494">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w:t>
                  </w:r>
                </w:p>
              </w:tc>
              <w:tc>
                <w:tcPr>
                  <w:tcW w:w="801" w:type="dxa"/>
                  <w:tcBorders>
                    <w:top w:val="nil"/>
                    <w:left w:val="nil"/>
                    <w:bottom w:val="single" w:color="auto" w:sz="4" w:space="0"/>
                    <w:right w:val="single" w:color="auto" w:sz="4" w:space="0"/>
                  </w:tcBorders>
                  <w:shd w:val="clear" w:color="auto" w:fill="auto"/>
                  <w:noWrap/>
                  <w:vAlign w:val="center"/>
                </w:tcPr>
                <w:p w14:paraId="0761CF9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110</w:t>
                  </w:r>
                </w:p>
              </w:tc>
              <w:tc>
                <w:tcPr>
                  <w:tcW w:w="709" w:type="dxa"/>
                  <w:tcBorders>
                    <w:top w:val="nil"/>
                    <w:left w:val="nil"/>
                    <w:bottom w:val="single" w:color="auto" w:sz="4" w:space="0"/>
                    <w:right w:val="single" w:color="auto" w:sz="4" w:space="0"/>
                  </w:tcBorders>
                  <w:shd w:val="clear" w:color="auto" w:fill="auto"/>
                  <w:noWrap/>
                  <w:vAlign w:val="center"/>
                </w:tcPr>
                <w:p w14:paraId="0F9CB9F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69</w:t>
                  </w:r>
                </w:p>
              </w:tc>
              <w:tc>
                <w:tcPr>
                  <w:tcW w:w="850" w:type="dxa"/>
                  <w:tcBorders>
                    <w:top w:val="nil"/>
                    <w:left w:val="nil"/>
                    <w:bottom w:val="single" w:color="auto" w:sz="4" w:space="0"/>
                    <w:right w:val="single" w:color="auto" w:sz="4" w:space="0"/>
                  </w:tcBorders>
                  <w:vAlign w:val="center"/>
                </w:tcPr>
                <w:p w14:paraId="0A8484D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130</w:t>
                  </w:r>
                </w:p>
              </w:tc>
              <w:tc>
                <w:tcPr>
                  <w:tcW w:w="857" w:type="dxa"/>
                  <w:tcBorders>
                    <w:top w:val="nil"/>
                    <w:left w:val="nil"/>
                    <w:bottom w:val="single" w:color="auto" w:sz="4" w:space="0"/>
                    <w:right w:val="single" w:color="auto" w:sz="4" w:space="0"/>
                  </w:tcBorders>
                  <w:vAlign w:val="center"/>
                </w:tcPr>
                <w:p w14:paraId="510CBB45">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85</w:t>
                  </w:r>
                </w:p>
              </w:tc>
            </w:tr>
            <w:tr w14:paraId="67581BB3">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BD5DEB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w:t>
                  </w:r>
                </w:p>
              </w:tc>
              <w:tc>
                <w:tcPr>
                  <w:tcW w:w="1009" w:type="dxa"/>
                  <w:tcBorders>
                    <w:top w:val="nil"/>
                    <w:left w:val="nil"/>
                    <w:bottom w:val="single" w:color="auto" w:sz="4" w:space="0"/>
                    <w:right w:val="single" w:color="auto" w:sz="4" w:space="0"/>
                  </w:tcBorders>
                  <w:shd w:val="clear" w:color="auto" w:fill="auto"/>
                  <w:noWrap/>
                  <w:vAlign w:val="center"/>
                </w:tcPr>
                <w:p w14:paraId="16A7D62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注射针</w:t>
                  </w:r>
                </w:p>
              </w:tc>
              <w:tc>
                <w:tcPr>
                  <w:tcW w:w="851" w:type="dxa"/>
                  <w:tcBorders>
                    <w:top w:val="nil"/>
                    <w:left w:val="nil"/>
                    <w:bottom w:val="single" w:color="auto" w:sz="4" w:space="0"/>
                    <w:right w:val="single" w:color="auto" w:sz="4" w:space="0"/>
                  </w:tcBorders>
                  <w:shd w:val="clear" w:color="auto" w:fill="auto"/>
                  <w:noWrap/>
                  <w:vAlign w:val="center"/>
                </w:tcPr>
                <w:p w14:paraId="6DCB561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0.7*30TWLB</w:t>
                  </w:r>
                </w:p>
              </w:tc>
              <w:tc>
                <w:tcPr>
                  <w:tcW w:w="1559" w:type="dxa"/>
                  <w:tcBorders>
                    <w:top w:val="nil"/>
                    <w:left w:val="nil"/>
                    <w:bottom w:val="single" w:color="auto" w:sz="4" w:space="0"/>
                    <w:right w:val="single" w:color="auto" w:sz="4" w:space="0"/>
                  </w:tcBorders>
                  <w:shd w:val="clear" w:color="auto" w:fill="auto"/>
                  <w:noWrap/>
                  <w:vAlign w:val="center"/>
                </w:tcPr>
                <w:p w14:paraId="40E3ECB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江西格兰斯医疗器械有限公司</w:t>
                  </w:r>
                </w:p>
              </w:tc>
              <w:tc>
                <w:tcPr>
                  <w:tcW w:w="475" w:type="dxa"/>
                  <w:tcBorders>
                    <w:top w:val="nil"/>
                    <w:left w:val="nil"/>
                    <w:bottom w:val="single" w:color="auto" w:sz="4" w:space="0"/>
                    <w:right w:val="single" w:color="auto" w:sz="4" w:space="0"/>
                  </w:tcBorders>
                  <w:shd w:val="clear" w:color="auto" w:fill="auto"/>
                  <w:noWrap/>
                  <w:vAlign w:val="center"/>
                </w:tcPr>
                <w:p w14:paraId="1556E52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801" w:type="dxa"/>
                  <w:tcBorders>
                    <w:top w:val="nil"/>
                    <w:left w:val="nil"/>
                    <w:bottom w:val="single" w:color="auto" w:sz="4" w:space="0"/>
                    <w:right w:val="single" w:color="auto" w:sz="4" w:space="0"/>
                  </w:tcBorders>
                  <w:shd w:val="clear" w:color="auto" w:fill="auto"/>
                  <w:noWrap/>
                  <w:vAlign w:val="center"/>
                </w:tcPr>
                <w:p w14:paraId="4E3C51D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709" w:type="dxa"/>
                  <w:tcBorders>
                    <w:top w:val="nil"/>
                    <w:left w:val="nil"/>
                    <w:bottom w:val="single" w:color="auto" w:sz="4" w:space="0"/>
                    <w:right w:val="single" w:color="auto" w:sz="4" w:space="0"/>
                  </w:tcBorders>
                  <w:shd w:val="clear" w:color="auto" w:fill="auto"/>
                  <w:noWrap/>
                  <w:vAlign w:val="center"/>
                </w:tcPr>
                <w:p w14:paraId="5FD48E83">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50" w:type="dxa"/>
                  <w:tcBorders>
                    <w:top w:val="nil"/>
                    <w:left w:val="nil"/>
                    <w:bottom w:val="single" w:color="auto" w:sz="4" w:space="0"/>
                    <w:right w:val="single" w:color="auto" w:sz="4" w:space="0"/>
                  </w:tcBorders>
                  <w:vAlign w:val="center"/>
                </w:tcPr>
                <w:p w14:paraId="227E8D3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w:t>
                  </w:r>
                </w:p>
              </w:tc>
              <w:tc>
                <w:tcPr>
                  <w:tcW w:w="857" w:type="dxa"/>
                  <w:tcBorders>
                    <w:top w:val="nil"/>
                    <w:left w:val="nil"/>
                    <w:bottom w:val="single" w:color="auto" w:sz="4" w:space="0"/>
                    <w:right w:val="single" w:color="auto" w:sz="4" w:space="0"/>
                  </w:tcBorders>
                  <w:vAlign w:val="center"/>
                </w:tcPr>
                <w:p w14:paraId="5357066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r>
            <w:tr w14:paraId="0027F7A4">
              <w:tblPrEx>
                <w:tblCellMar>
                  <w:top w:w="0" w:type="dxa"/>
                  <w:left w:w="108" w:type="dxa"/>
                  <w:bottom w:w="0" w:type="dxa"/>
                  <w:right w:w="108" w:type="dxa"/>
                </w:tblCellMar>
              </w:tblPrEx>
              <w:trPr>
                <w:trHeight w:val="86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DF6FBB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w:t>
                  </w:r>
                </w:p>
              </w:tc>
              <w:tc>
                <w:tcPr>
                  <w:tcW w:w="1009" w:type="dxa"/>
                  <w:tcBorders>
                    <w:top w:val="nil"/>
                    <w:left w:val="nil"/>
                    <w:bottom w:val="single" w:color="auto" w:sz="4" w:space="0"/>
                    <w:right w:val="single" w:color="auto" w:sz="4" w:space="0"/>
                  </w:tcBorders>
                  <w:shd w:val="clear" w:color="auto" w:fill="auto"/>
                  <w:noWrap/>
                  <w:vAlign w:val="center"/>
                </w:tcPr>
                <w:p w14:paraId="7A84C33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注射针</w:t>
                  </w:r>
                </w:p>
              </w:tc>
              <w:tc>
                <w:tcPr>
                  <w:tcW w:w="851" w:type="dxa"/>
                  <w:tcBorders>
                    <w:top w:val="nil"/>
                    <w:left w:val="nil"/>
                    <w:bottom w:val="single" w:color="auto" w:sz="4" w:space="0"/>
                    <w:right w:val="single" w:color="auto" w:sz="4" w:space="0"/>
                  </w:tcBorders>
                  <w:shd w:val="clear" w:color="auto" w:fill="auto"/>
                  <w:noWrap/>
                  <w:vAlign w:val="center"/>
                </w:tcPr>
                <w:p w14:paraId="405C60E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0.7*80TWLB</w:t>
                  </w:r>
                </w:p>
              </w:tc>
              <w:tc>
                <w:tcPr>
                  <w:tcW w:w="1559" w:type="dxa"/>
                  <w:tcBorders>
                    <w:top w:val="nil"/>
                    <w:left w:val="nil"/>
                    <w:bottom w:val="single" w:color="auto" w:sz="4" w:space="0"/>
                    <w:right w:val="single" w:color="auto" w:sz="4" w:space="0"/>
                  </w:tcBorders>
                  <w:shd w:val="clear" w:color="auto" w:fill="auto"/>
                  <w:noWrap/>
                  <w:vAlign w:val="center"/>
                </w:tcPr>
                <w:p w14:paraId="513B88C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浙江康德莱医疗器械股份有限公司</w:t>
                  </w:r>
                </w:p>
              </w:tc>
              <w:tc>
                <w:tcPr>
                  <w:tcW w:w="475" w:type="dxa"/>
                  <w:tcBorders>
                    <w:top w:val="nil"/>
                    <w:left w:val="nil"/>
                    <w:bottom w:val="single" w:color="auto" w:sz="4" w:space="0"/>
                    <w:right w:val="single" w:color="auto" w:sz="4" w:space="0"/>
                  </w:tcBorders>
                  <w:shd w:val="clear" w:color="auto" w:fill="auto"/>
                  <w:noWrap/>
                  <w:vAlign w:val="center"/>
                </w:tcPr>
                <w:p w14:paraId="733CDE1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801" w:type="dxa"/>
                  <w:tcBorders>
                    <w:top w:val="nil"/>
                    <w:left w:val="nil"/>
                    <w:bottom w:val="single" w:color="auto" w:sz="4" w:space="0"/>
                    <w:right w:val="single" w:color="auto" w:sz="4" w:space="0"/>
                  </w:tcBorders>
                  <w:shd w:val="clear" w:color="auto" w:fill="auto"/>
                  <w:noWrap/>
                  <w:vAlign w:val="center"/>
                </w:tcPr>
                <w:p w14:paraId="6D0703D5">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300</w:t>
                  </w:r>
                </w:p>
              </w:tc>
              <w:tc>
                <w:tcPr>
                  <w:tcW w:w="709" w:type="dxa"/>
                  <w:tcBorders>
                    <w:top w:val="nil"/>
                    <w:left w:val="nil"/>
                    <w:bottom w:val="single" w:color="auto" w:sz="4" w:space="0"/>
                    <w:right w:val="single" w:color="auto" w:sz="4" w:space="0"/>
                  </w:tcBorders>
                  <w:shd w:val="clear" w:color="auto" w:fill="auto"/>
                  <w:noWrap/>
                  <w:vAlign w:val="center"/>
                </w:tcPr>
                <w:p w14:paraId="0276A9A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120</w:t>
                  </w:r>
                </w:p>
              </w:tc>
              <w:tc>
                <w:tcPr>
                  <w:tcW w:w="850" w:type="dxa"/>
                  <w:tcBorders>
                    <w:top w:val="nil"/>
                    <w:left w:val="nil"/>
                    <w:bottom w:val="single" w:color="auto" w:sz="4" w:space="0"/>
                    <w:right w:val="single" w:color="auto" w:sz="4" w:space="0"/>
                  </w:tcBorders>
                  <w:vAlign w:val="center"/>
                </w:tcPr>
                <w:p w14:paraId="4F529355">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400</w:t>
                  </w:r>
                </w:p>
              </w:tc>
              <w:tc>
                <w:tcPr>
                  <w:tcW w:w="857" w:type="dxa"/>
                  <w:tcBorders>
                    <w:top w:val="nil"/>
                    <w:left w:val="nil"/>
                    <w:bottom w:val="single" w:color="auto" w:sz="4" w:space="0"/>
                    <w:right w:val="single" w:color="auto" w:sz="4" w:space="0"/>
                  </w:tcBorders>
                  <w:vAlign w:val="center"/>
                </w:tcPr>
                <w:p w14:paraId="20C267F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180</w:t>
                  </w:r>
                </w:p>
              </w:tc>
            </w:tr>
            <w:tr w14:paraId="07B02357">
              <w:tblPrEx>
                <w:tblCellMar>
                  <w:top w:w="0" w:type="dxa"/>
                  <w:left w:w="108" w:type="dxa"/>
                  <w:bottom w:w="0" w:type="dxa"/>
                  <w:right w:w="108" w:type="dxa"/>
                </w:tblCellMar>
              </w:tblPrEx>
              <w:trPr>
                <w:trHeight w:val="1002"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75AD144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w:t>
                  </w:r>
                </w:p>
              </w:tc>
              <w:tc>
                <w:tcPr>
                  <w:tcW w:w="1009" w:type="dxa"/>
                  <w:tcBorders>
                    <w:top w:val="nil"/>
                    <w:left w:val="nil"/>
                    <w:bottom w:val="single" w:color="auto" w:sz="4" w:space="0"/>
                    <w:right w:val="single" w:color="auto" w:sz="4" w:space="0"/>
                  </w:tcBorders>
                  <w:shd w:val="clear" w:color="auto" w:fill="auto"/>
                  <w:noWrap/>
                  <w:vAlign w:val="center"/>
                </w:tcPr>
                <w:p w14:paraId="550779B6">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一次性使用静脉输液针</w:t>
                  </w:r>
                </w:p>
              </w:tc>
              <w:tc>
                <w:tcPr>
                  <w:tcW w:w="851" w:type="dxa"/>
                  <w:tcBorders>
                    <w:top w:val="nil"/>
                    <w:left w:val="nil"/>
                    <w:bottom w:val="single" w:color="auto" w:sz="4" w:space="0"/>
                    <w:right w:val="single" w:color="auto" w:sz="4" w:space="0"/>
                  </w:tcBorders>
                  <w:shd w:val="clear" w:color="auto" w:fill="auto"/>
                  <w:noWrap/>
                  <w:vAlign w:val="center"/>
                </w:tcPr>
                <w:p w14:paraId="56FC1AA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0.55mm*1/支</w:t>
                  </w:r>
                </w:p>
              </w:tc>
              <w:tc>
                <w:tcPr>
                  <w:tcW w:w="1559" w:type="dxa"/>
                  <w:tcBorders>
                    <w:top w:val="nil"/>
                    <w:left w:val="nil"/>
                    <w:bottom w:val="single" w:color="auto" w:sz="4" w:space="0"/>
                    <w:right w:val="single" w:color="auto" w:sz="4" w:space="0"/>
                  </w:tcBorders>
                  <w:shd w:val="clear" w:color="auto" w:fill="auto"/>
                  <w:noWrap/>
                  <w:vAlign w:val="center"/>
                </w:tcPr>
                <w:p w14:paraId="665BB7E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江西洪达医疗器械集团有限公司</w:t>
                  </w:r>
                </w:p>
              </w:tc>
              <w:tc>
                <w:tcPr>
                  <w:tcW w:w="475" w:type="dxa"/>
                  <w:tcBorders>
                    <w:top w:val="nil"/>
                    <w:left w:val="nil"/>
                    <w:bottom w:val="single" w:color="auto" w:sz="4" w:space="0"/>
                    <w:right w:val="single" w:color="auto" w:sz="4" w:space="0"/>
                  </w:tcBorders>
                  <w:shd w:val="clear" w:color="auto" w:fill="auto"/>
                  <w:noWrap/>
                  <w:vAlign w:val="center"/>
                </w:tcPr>
                <w:p w14:paraId="7E594F3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801" w:type="dxa"/>
                  <w:tcBorders>
                    <w:top w:val="nil"/>
                    <w:left w:val="nil"/>
                    <w:bottom w:val="single" w:color="auto" w:sz="4" w:space="0"/>
                    <w:right w:val="single" w:color="auto" w:sz="4" w:space="0"/>
                  </w:tcBorders>
                  <w:shd w:val="clear" w:color="auto" w:fill="auto"/>
                  <w:noWrap/>
                  <w:vAlign w:val="center"/>
                </w:tcPr>
                <w:p w14:paraId="5F4ABF2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w:t>
                  </w:r>
                </w:p>
              </w:tc>
              <w:tc>
                <w:tcPr>
                  <w:tcW w:w="709" w:type="dxa"/>
                  <w:tcBorders>
                    <w:top w:val="nil"/>
                    <w:left w:val="nil"/>
                    <w:bottom w:val="single" w:color="auto" w:sz="4" w:space="0"/>
                    <w:right w:val="single" w:color="auto" w:sz="4" w:space="0"/>
                  </w:tcBorders>
                  <w:shd w:val="clear" w:color="auto" w:fill="auto"/>
                  <w:noWrap/>
                  <w:vAlign w:val="center"/>
                </w:tcPr>
                <w:p w14:paraId="691ECFE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w:t>
                  </w:r>
                </w:p>
              </w:tc>
              <w:tc>
                <w:tcPr>
                  <w:tcW w:w="850" w:type="dxa"/>
                  <w:tcBorders>
                    <w:top w:val="nil"/>
                    <w:left w:val="nil"/>
                    <w:bottom w:val="single" w:color="auto" w:sz="4" w:space="0"/>
                    <w:right w:val="single" w:color="auto" w:sz="4" w:space="0"/>
                  </w:tcBorders>
                  <w:vAlign w:val="center"/>
                </w:tcPr>
                <w:p w14:paraId="0ADC27D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80</w:t>
                  </w:r>
                </w:p>
              </w:tc>
              <w:tc>
                <w:tcPr>
                  <w:tcW w:w="857" w:type="dxa"/>
                  <w:tcBorders>
                    <w:top w:val="nil"/>
                    <w:left w:val="nil"/>
                    <w:bottom w:val="single" w:color="auto" w:sz="4" w:space="0"/>
                    <w:right w:val="single" w:color="auto" w:sz="4" w:space="0"/>
                  </w:tcBorders>
                  <w:vAlign w:val="center"/>
                </w:tcPr>
                <w:p w14:paraId="2ADA7B6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w:t>
                  </w:r>
                </w:p>
              </w:tc>
            </w:tr>
            <w:tr w14:paraId="12789DB0">
              <w:tblPrEx>
                <w:tblCellMar>
                  <w:top w:w="0" w:type="dxa"/>
                  <w:left w:w="108" w:type="dxa"/>
                  <w:bottom w:w="0" w:type="dxa"/>
                  <w:right w:w="108" w:type="dxa"/>
                </w:tblCellMar>
              </w:tblPrEx>
              <w:trPr>
                <w:trHeight w:val="89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760800B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w:t>
                  </w:r>
                </w:p>
              </w:tc>
              <w:tc>
                <w:tcPr>
                  <w:tcW w:w="1009" w:type="dxa"/>
                  <w:tcBorders>
                    <w:top w:val="nil"/>
                    <w:left w:val="nil"/>
                    <w:bottom w:val="single" w:color="auto" w:sz="4" w:space="0"/>
                    <w:right w:val="single" w:color="auto" w:sz="4" w:space="0"/>
                  </w:tcBorders>
                  <w:shd w:val="clear" w:color="auto" w:fill="auto"/>
                  <w:noWrap/>
                  <w:vAlign w:val="center"/>
                </w:tcPr>
                <w:p w14:paraId="4E64D10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一次性使用静脉输液针</w:t>
                  </w:r>
                </w:p>
              </w:tc>
              <w:tc>
                <w:tcPr>
                  <w:tcW w:w="851" w:type="dxa"/>
                  <w:tcBorders>
                    <w:top w:val="nil"/>
                    <w:left w:val="nil"/>
                    <w:bottom w:val="single" w:color="auto" w:sz="4" w:space="0"/>
                    <w:right w:val="single" w:color="auto" w:sz="4" w:space="0"/>
                  </w:tcBorders>
                  <w:shd w:val="clear" w:color="auto" w:fill="auto"/>
                  <w:noWrap/>
                  <w:vAlign w:val="center"/>
                </w:tcPr>
                <w:p w14:paraId="68BF5BFC">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0.6mm*1/支</w:t>
                  </w:r>
                </w:p>
              </w:tc>
              <w:tc>
                <w:tcPr>
                  <w:tcW w:w="1559" w:type="dxa"/>
                  <w:tcBorders>
                    <w:top w:val="nil"/>
                    <w:left w:val="nil"/>
                    <w:bottom w:val="single" w:color="auto" w:sz="4" w:space="0"/>
                    <w:right w:val="single" w:color="auto" w:sz="4" w:space="0"/>
                  </w:tcBorders>
                  <w:shd w:val="clear" w:color="auto" w:fill="auto"/>
                  <w:noWrap/>
                  <w:vAlign w:val="center"/>
                </w:tcPr>
                <w:p w14:paraId="30EB6320">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江西洪达医疗器械集团有限公司</w:t>
                  </w:r>
                </w:p>
              </w:tc>
              <w:tc>
                <w:tcPr>
                  <w:tcW w:w="475" w:type="dxa"/>
                  <w:tcBorders>
                    <w:top w:val="nil"/>
                    <w:left w:val="nil"/>
                    <w:bottom w:val="single" w:color="auto" w:sz="4" w:space="0"/>
                    <w:right w:val="single" w:color="auto" w:sz="4" w:space="0"/>
                  </w:tcBorders>
                  <w:shd w:val="clear" w:color="auto" w:fill="auto"/>
                  <w:noWrap/>
                  <w:vAlign w:val="center"/>
                </w:tcPr>
                <w:p w14:paraId="08BDFB2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801" w:type="dxa"/>
                  <w:tcBorders>
                    <w:top w:val="nil"/>
                    <w:left w:val="nil"/>
                    <w:bottom w:val="single" w:color="auto" w:sz="4" w:space="0"/>
                    <w:right w:val="single" w:color="auto" w:sz="4" w:space="0"/>
                  </w:tcBorders>
                  <w:shd w:val="clear" w:color="auto" w:fill="auto"/>
                  <w:noWrap/>
                  <w:vAlign w:val="center"/>
                </w:tcPr>
                <w:p w14:paraId="316674E5">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709" w:type="dxa"/>
                  <w:tcBorders>
                    <w:top w:val="nil"/>
                    <w:left w:val="nil"/>
                    <w:bottom w:val="single" w:color="auto" w:sz="4" w:space="0"/>
                    <w:right w:val="single" w:color="auto" w:sz="4" w:space="0"/>
                  </w:tcBorders>
                  <w:shd w:val="clear" w:color="auto" w:fill="auto"/>
                  <w:noWrap/>
                  <w:vAlign w:val="center"/>
                </w:tcPr>
                <w:p w14:paraId="37870F6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50" w:type="dxa"/>
                  <w:tcBorders>
                    <w:top w:val="nil"/>
                    <w:left w:val="nil"/>
                    <w:bottom w:val="single" w:color="auto" w:sz="4" w:space="0"/>
                    <w:right w:val="single" w:color="auto" w:sz="4" w:space="0"/>
                  </w:tcBorders>
                  <w:vAlign w:val="center"/>
                </w:tcPr>
                <w:p w14:paraId="33AA05C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170</w:t>
                  </w:r>
                </w:p>
              </w:tc>
              <w:tc>
                <w:tcPr>
                  <w:tcW w:w="857" w:type="dxa"/>
                  <w:tcBorders>
                    <w:top w:val="nil"/>
                    <w:left w:val="nil"/>
                    <w:bottom w:val="single" w:color="auto" w:sz="4" w:space="0"/>
                    <w:right w:val="single" w:color="auto" w:sz="4" w:space="0"/>
                  </w:tcBorders>
                  <w:vAlign w:val="center"/>
                </w:tcPr>
                <w:p w14:paraId="58A8F03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130</w:t>
                  </w:r>
                </w:p>
              </w:tc>
            </w:tr>
            <w:tr w14:paraId="314633F7">
              <w:tblPrEx>
                <w:tblCellMar>
                  <w:top w:w="0" w:type="dxa"/>
                  <w:left w:w="108" w:type="dxa"/>
                  <w:bottom w:w="0" w:type="dxa"/>
                  <w:right w:w="108" w:type="dxa"/>
                </w:tblCellMar>
              </w:tblPrEx>
              <w:trPr>
                <w:trHeight w:val="1122"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1A4A789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w:t>
                  </w:r>
                </w:p>
              </w:tc>
              <w:tc>
                <w:tcPr>
                  <w:tcW w:w="1009" w:type="dxa"/>
                  <w:tcBorders>
                    <w:top w:val="nil"/>
                    <w:left w:val="nil"/>
                    <w:bottom w:val="single" w:color="auto" w:sz="4" w:space="0"/>
                    <w:right w:val="single" w:color="auto" w:sz="4" w:space="0"/>
                  </w:tcBorders>
                  <w:shd w:val="clear" w:color="auto" w:fill="auto"/>
                  <w:noWrap/>
                  <w:vAlign w:val="center"/>
                </w:tcPr>
                <w:p w14:paraId="71FFBF46">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一次性使用静脉输液针</w:t>
                  </w:r>
                </w:p>
              </w:tc>
              <w:tc>
                <w:tcPr>
                  <w:tcW w:w="851" w:type="dxa"/>
                  <w:tcBorders>
                    <w:top w:val="nil"/>
                    <w:left w:val="nil"/>
                    <w:bottom w:val="single" w:color="auto" w:sz="4" w:space="0"/>
                    <w:right w:val="single" w:color="auto" w:sz="4" w:space="0"/>
                  </w:tcBorders>
                  <w:shd w:val="clear" w:color="auto" w:fill="auto"/>
                  <w:noWrap/>
                  <w:vAlign w:val="center"/>
                </w:tcPr>
                <w:p w14:paraId="32C9269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0.7mm*1/支</w:t>
                  </w:r>
                </w:p>
              </w:tc>
              <w:tc>
                <w:tcPr>
                  <w:tcW w:w="1559" w:type="dxa"/>
                  <w:tcBorders>
                    <w:top w:val="nil"/>
                    <w:left w:val="nil"/>
                    <w:bottom w:val="single" w:color="auto" w:sz="4" w:space="0"/>
                    <w:right w:val="single" w:color="auto" w:sz="4" w:space="0"/>
                  </w:tcBorders>
                  <w:shd w:val="clear" w:color="auto" w:fill="auto"/>
                  <w:noWrap/>
                  <w:vAlign w:val="center"/>
                </w:tcPr>
                <w:p w14:paraId="485D6C5D">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江西洪达医疗器械集团有限公司</w:t>
                  </w:r>
                </w:p>
              </w:tc>
              <w:tc>
                <w:tcPr>
                  <w:tcW w:w="475" w:type="dxa"/>
                  <w:tcBorders>
                    <w:top w:val="nil"/>
                    <w:left w:val="nil"/>
                    <w:bottom w:val="single" w:color="auto" w:sz="4" w:space="0"/>
                    <w:right w:val="single" w:color="auto" w:sz="4" w:space="0"/>
                  </w:tcBorders>
                  <w:shd w:val="clear" w:color="auto" w:fill="auto"/>
                  <w:noWrap/>
                  <w:vAlign w:val="center"/>
                </w:tcPr>
                <w:p w14:paraId="72E30668">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支</w:t>
                  </w:r>
                </w:p>
              </w:tc>
              <w:tc>
                <w:tcPr>
                  <w:tcW w:w="801" w:type="dxa"/>
                  <w:tcBorders>
                    <w:top w:val="nil"/>
                    <w:left w:val="nil"/>
                    <w:bottom w:val="single" w:color="auto" w:sz="4" w:space="0"/>
                    <w:right w:val="single" w:color="auto" w:sz="4" w:space="0"/>
                  </w:tcBorders>
                  <w:shd w:val="clear" w:color="auto" w:fill="auto"/>
                  <w:noWrap/>
                  <w:vAlign w:val="center"/>
                </w:tcPr>
                <w:p w14:paraId="2D5D602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170</w:t>
                  </w:r>
                </w:p>
              </w:tc>
              <w:tc>
                <w:tcPr>
                  <w:tcW w:w="709" w:type="dxa"/>
                  <w:tcBorders>
                    <w:top w:val="nil"/>
                    <w:left w:val="nil"/>
                    <w:bottom w:val="single" w:color="auto" w:sz="4" w:space="0"/>
                    <w:right w:val="single" w:color="auto" w:sz="4" w:space="0"/>
                  </w:tcBorders>
                  <w:shd w:val="clear" w:color="auto" w:fill="auto"/>
                  <w:noWrap/>
                  <w:vAlign w:val="center"/>
                </w:tcPr>
                <w:p w14:paraId="08E9FFF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120</w:t>
                  </w:r>
                </w:p>
              </w:tc>
              <w:tc>
                <w:tcPr>
                  <w:tcW w:w="850" w:type="dxa"/>
                  <w:tcBorders>
                    <w:top w:val="nil"/>
                    <w:left w:val="nil"/>
                    <w:bottom w:val="single" w:color="auto" w:sz="4" w:space="0"/>
                    <w:right w:val="single" w:color="auto" w:sz="4" w:space="0"/>
                  </w:tcBorders>
                  <w:vAlign w:val="center"/>
                </w:tcPr>
                <w:p w14:paraId="5702609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200</w:t>
                  </w:r>
                </w:p>
              </w:tc>
              <w:tc>
                <w:tcPr>
                  <w:tcW w:w="857" w:type="dxa"/>
                  <w:tcBorders>
                    <w:top w:val="nil"/>
                    <w:left w:val="nil"/>
                    <w:bottom w:val="single" w:color="auto" w:sz="4" w:space="0"/>
                    <w:right w:val="single" w:color="auto" w:sz="4" w:space="0"/>
                  </w:tcBorders>
                  <w:vAlign w:val="center"/>
                </w:tcPr>
                <w:p w14:paraId="00FF187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r>
            <w:tr w14:paraId="3F15A57A">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67332F4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w:t>
                  </w:r>
                </w:p>
              </w:tc>
              <w:tc>
                <w:tcPr>
                  <w:tcW w:w="1009" w:type="dxa"/>
                  <w:tcBorders>
                    <w:top w:val="nil"/>
                    <w:left w:val="nil"/>
                    <w:bottom w:val="single" w:color="auto" w:sz="4" w:space="0"/>
                    <w:right w:val="single" w:color="auto" w:sz="4" w:space="0"/>
                  </w:tcBorders>
                  <w:shd w:val="clear" w:color="auto" w:fill="auto"/>
                  <w:noWrap/>
                  <w:vAlign w:val="center"/>
                </w:tcPr>
                <w:p w14:paraId="33610CD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一次性灭菌橡胶外科手套</w:t>
                  </w:r>
                </w:p>
              </w:tc>
              <w:tc>
                <w:tcPr>
                  <w:tcW w:w="851" w:type="dxa"/>
                  <w:tcBorders>
                    <w:top w:val="nil"/>
                    <w:left w:val="nil"/>
                    <w:bottom w:val="single" w:color="auto" w:sz="4" w:space="0"/>
                    <w:right w:val="single" w:color="auto" w:sz="4" w:space="0"/>
                  </w:tcBorders>
                  <w:shd w:val="clear" w:color="auto" w:fill="auto"/>
                  <w:noWrap/>
                  <w:vAlign w:val="center"/>
                </w:tcPr>
                <w:p w14:paraId="3B2A1B9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6.5　#、7.0#、7.5#</w:t>
                  </w:r>
                </w:p>
              </w:tc>
              <w:tc>
                <w:tcPr>
                  <w:tcW w:w="1559" w:type="dxa"/>
                  <w:tcBorders>
                    <w:top w:val="nil"/>
                    <w:left w:val="nil"/>
                    <w:bottom w:val="single" w:color="auto" w:sz="4" w:space="0"/>
                    <w:right w:val="single" w:color="auto" w:sz="4" w:space="0"/>
                  </w:tcBorders>
                  <w:shd w:val="clear" w:color="auto" w:fill="auto"/>
                  <w:noWrap/>
                  <w:vAlign w:val="center"/>
                </w:tcPr>
                <w:p w14:paraId="3641E6C3">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江苏瑞京科技发展有限公司</w:t>
                  </w:r>
                </w:p>
              </w:tc>
              <w:tc>
                <w:tcPr>
                  <w:tcW w:w="475" w:type="dxa"/>
                  <w:tcBorders>
                    <w:top w:val="nil"/>
                    <w:left w:val="nil"/>
                    <w:bottom w:val="single" w:color="auto" w:sz="4" w:space="0"/>
                    <w:right w:val="single" w:color="auto" w:sz="4" w:space="0"/>
                  </w:tcBorders>
                  <w:shd w:val="clear" w:color="auto" w:fill="auto"/>
                  <w:noWrap/>
                  <w:vAlign w:val="center"/>
                </w:tcPr>
                <w:p w14:paraId="1D2B1EC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双</w:t>
                  </w:r>
                </w:p>
              </w:tc>
              <w:tc>
                <w:tcPr>
                  <w:tcW w:w="801" w:type="dxa"/>
                  <w:tcBorders>
                    <w:top w:val="nil"/>
                    <w:left w:val="nil"/>
                    <w:bottom w:val="single" w:color="auto" w:sz="4" w:space="0"/>
                    <w:right w:val="single" w:color="auto" w:sz="4" w:space="0"/>
                  </w:tcBorders>
                  <w:shd w:val="clear" w:color="auto" w:fill="auto"/>
                  <w:noWrap/>
                  <w:vAlign w:val="center"/>
                </w:tcPr>
                <w:p w14:paraId="4AC1CFD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300</w:t>
                  </w:r>
                </w:p>
              </w:tc>
              <w:tc>
                <w:tcPr>
                  <w:tcW w:w="709" w:type="dxa"/>
                  <w:tcBorders>
                    <w:top w:val="nil"/>
                    <w:left w:val="nil"/>
                    <w:bottom w:val="single" w:color="auto" w:sz="4" w:space="0"/>
                    <w:right w:val="single" w:color="auto" w:sz="4" w:space="0"/>
                  </w:tcBorders>
                  <w:shd w:val="clear" w:color="auto" w:fill="auto"/>
                  <w:noWrap/>
                  <w:vAlign w:val="center"/>
                </w:tcPr>
                <w:p w14:paraId="0B50B2B0">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270</w:t>
                  </w:r>
                </w:p>
              </w:tc>
              <w:tc>
                <w:tcPr>
                  <w:tcW w:w="850" w:type="dxa"/>
                  <w:tcBorders>
                    <w:top w:val="nil"/>
                    <w:left w:val="nil"/>
                    <w:bottom w:val="single" w:color="auto" w:sz="4" w:space="0"/>
                    <w:right w:val="single" w:color="auto" w:sz="4" w:space="0"/>
                  </w:tcBorders>
                  <w:vAlign w:val="center"/>
                </w:tcPr>
                <w:p w14:paraId="7FEAC2A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350</w:t>
                  </w:r>
                </w:p>
              </w:tc>
              <w:tc>
                <w:tcPr>
                  <w:tcW w:w="857" w:type="dxa"/>
                  <w:tcBorders>
                    <w:top w:val="nil"/>
                    <w:left w:val="nil"/>
                    <w:bottom w:val="single" w:color="auto" w:sz="4" w:space="0"/>
                    <w:right w:val="single" w:color="auto" w:sz="4" w:space="0"/>
                  </w:tcBorders>
                  <w:vAlign w:val="center"/>
                </w:tcPr>
                <w:p w14:paraId="73C4FBFC">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300</w:t>
                  </w:r>
                </w:p>
              </w:tc>
            </w:tr>
            <w:tr w14:paraId="2ADE79C6">
              <w:tblPrEx>
                <w:tblCellMar>
                  <w:top w:w="0" w:type="dxa"/>
                  <w:left w:w="108" w:type="dxa"/>
                  <w:bottom w:w="0" w:type="dxa"/>
                  <w:right w:w="108" w:type="dxa"/>
                </w:tblCellMar>
              </w:tblPrEx>
              <w:trPr>
                <w:trHeight w:val="119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C14AD0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w:t>
                  </w:r>
                </w:p>
              </w:tc>
              <w:tc>
                <w:tcPr>
                  <w:tcW w:w="1009" w:type="dxa"/>
                  <w:tcBorders>
                    <w:top w:val="nil"/>
                    <w:left w:val="nil"/>
                    <w:bottom w:val="single" w:color="auto" w:sz="4" w:space="0"/>
                    <w:right w:val="single" w:color="auto" w:sz="4" w:space="0"/>
                  </w:tcBorders>
                  <w:shd w:val="clear" w:color="auto" w:fill="auto"/>
                  <w:noWrap/>
                  <w:vAlign w:val="center"/>
                </w:tcPr>
                <w:p w14:paraId="4FCB36C8">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一次性使用医用橡胶检查手套</w:t>
                  </w:r>
                </w:p>
              </w:tc>
              <w:tc>
                <w:tcPr>
                  <w:tcW w:w="851" w:type="dxa"/>
                  <w:tcBorders>
                    <w:top w:val="nil"/>
                    <w:left w:val="nil"/>
                    <w:bottom w:val="single" w:color="auto" w:sz="4" w:space="0"/>
                    <w:right w:val="single" w:color="auto" w:sz="4" w:space="0"/>
                  </w:tcBorders>
                  <w:shd w:val="clear" w:color="auto" w:fill="auto"/>
                  <w:noWrap/>
                  <w:vAlign w:val="center"/>
                </w:tcPr>
                <w:p w14:paraId="080BCD9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6.5#、7.5#</w:t>
                  </w:r>
                </w:p>
              </w:tc>
              <w:tc>
                <w:tcPr>
                  <w:tcW w:w="1559" w:type="dxa"/>
                  <w:tcBorders>
                    <w:top w:val="nil"/>
                    <w:left w:val="nil"/>
                    <w:bottom w:val="single" w:color="auto" w:sz="4" w:space="0"/>
                    <w:right w:val="single" w:color="auto" w:sz="4" w:space="0"/>
                  </w:tcBorders>
                  <w:shd w:val="clear" w:color="auto" w:fill="auto"/>
                  <w:noWrap/>
                  <w:vAlign w:val="center"/>
                </w:tcPr>
                <w:p w14:paraId="6E03ABE2">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江西丹美实业有限公司</w:t>
                  </w:r>
                </w:p>
              </w:tc>
              <w:tc>
                <w:tcPr>
                  <w:tcW w:w="475" w:type="dxa"/>
                  <w:tcBorders>
                    <w:top w:val="nil"/>
                    <w:left w:val="nil"/>
                    <w:bottom w:val="single" w:color="auto" w:sz="4" w:space="0"/>
                    <w:right w:val="single" w:color="auto" w:sz="4" w:space="0"/>
                  </w:tcBorders>
                  <w:shd w:val="clear" w:color="auto" w:fill="auto"/>
                  <w:noWrap/>
                  <w:vAlign w:val="center"/>
                </w:tcPr>
                <w:p w14:paraId="4729469E">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双</w:t>
                  </w:r>
                </w:p>
              </w:tc>
              <w:tc>
                <w:tcPr>
                  <w:tcW w:w="801" w:type="dxa"/>
                  <w:tcBorders>
                    <w:top w:val="nil"/>
                    <w:left w:val="nil"/>
                    <w:bottom w:val="single" w:color="auto" w:sz="4" w:space="0"/>
                    <w:right w:val="single" w:color="auto" w:sz="4" w:space="0"/>
                  </w:tcBorders>
                  <w:shd w:val="clear" w:color="auto" w:fill="auto"/>
                  <w:noWrap/>
                  <w:vAlign w:val="center"/>
                </w:tcPr>
                <w:p w14:paraId="06C5F51C">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1500</w:t>
                  </w:r>
                </w:p>
              </w:tc>
              <w:tc>
                <w:tcPr>
                  <w:tcW w:w="709" w:type="dxa"/>
                  <w:tcBorders>
                    <w:top w:val="nil"/>
                    <w:left w:val="nil"/>
                    <w:bottom w:val="single" w:color="auto" w:sz="4" w:space="0"/>
                    <w:right w:val="single" w:color="auto" w:sz="4" w:space="0"/>
                  </w:tcBorders>
                  <w:shd w:val="clear" w:color="auto" w:fill="auto"/>
                  <w:noWrap/>
                  <w:vAlign w:val="center"/>
                </w:tcPr>
                <w:p w14:paraId="12C08EC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930</w:t>
                  </w:r>
                </w:p>
              </w:tc>
              <w:tc>
                <w:tcPr>
                  <w:tcW w:w="850" w:type="dxa"/>
                  <w:tcBorders>
                    <w:top w:val="nil"/>
                    <w:left w:val="nil"/>
                    <w:bottom w:val="single" w:color="auto" w:sz="4" w:space="0"/>
                    <w:right w:val="single" w:color="auto" w:sz="4" w:space="0"/>
                  </w:tcBorders>
                  <w:vAlign w:val="center"/>
                </w:tcPr>
                <w:p w14:paraId="674D347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1600</w:t>
                  </w:r>
                </w:p>
              </w:tc>
              <w:tc>
                <w:tcPr>
                  <w:tcW w:w="857" w:type="dxa"/>
                  <w:tcBorders>
                    <w:top w:val="nil"/>
                    <w:left w:val="nil"/>
                    <w:bottom w:val="single" w:color="auto" w:sz="4" w:space="0"/>
                    <w:right w:val="single" w:color="auto" w:sz="4" w:space="0"/>
                  </w:tcBorders>
                  <w:vAlign w:val="center"/>
                </w:tcPr>
                <w:p w14:paraId="3CB23F0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1100</w:t>
                  </w:r>
                </w:p>
              </w:tc>
            </w:tr>
            <w:tr w14:paraId="29E936F3">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5E03404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17</w:t>
                  </w:r>
                </w:p>
              </w:tc>
              <w:tc>
                <w:tcPr>
                  <w:tcW w:w="1009" w:type="dxa"/>
                  <w:tcBorders>
                    <w:top w:val="nil"/>
                    <w:left w:val="nil"/>
                    <w:bottom w:val="single" w:color="auto" w:sz="4" w:space="0"/>
                    <w:right w:val="single" w:color="auto" w:sz="4" w:space="0"/>
                  </w:tcBorders>
                  <w:shd w:val="clear" w:color="auto" w:fill="auto"/>
                  <w:noWrap/>
                  <w:vAlign w:val="center"/>
                </w:tcPr>
                <w:p w14:paraId="1CCA4FBE">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一次性薄膜手套</w:t>
                  </w:r>
                </w:p>
              </w:tc>
              <w:tc>
                <w:tcPr>
                  <w:tcW w:w="851" w:type="dxa"/>
                  <w:tcBorders>
                    <w:top w:val="nil"/>
                    <w:left w:val="nil"/>
                    <w:bottom w:val="single" w:color="auto" w:sz="4" w:space="0"/>
                    <w:right w:val="single" w:color="auto" w:sz="4" w:space="0"/>
                  </w:tcBorders>
                  <w:shd w:val="clear" w:color="auto" w:fill="auto"/>
                  <w:noWrap/>
                  <w:vAlign w:val="center"/>
                </w:tcPr>
                <w:p w14:paraId="33795AD4">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中号（M）</w:t>
                  </w:r>
                </w:p>
              </w:tc>
              <w:tc>
                <w:tcPr>
                  <w:tcW w:w="1559" w:type="dxa"/>
                  <w:tcBorders>
                    <w:top w:val="nil"/>
                    <w:left w:val="nil"/>
                    <w:bottom w:val="single" w:color="auto" w:sz="4" w:space="0"/>
                    <w:right w:val="single" w:color="auto" w:sz="4" w:space="0"/>
                  </w:tcBorders>
                  <w:shd w:val="clear" w:color="auto" w:fill="auto"/>
                  <w:noWrap/>
                  <w:vAlign w:val="center"/>
                </w:tcPr>
                <w:p w14:paraId="28680654">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扬州振新医疗器械有限公司</w:t>
                  </w:r>
                </w:p>
              </w:tc>
              <w:tc>
                <w:tcPr>
                  <w:tcW w:w="475" w:type="dxa"/>
                  <w:tcBorders>
                    <w:top w:val="nil"/>
                    <w:left w:val="nil"/>
                    <w:bottom w:val="single" w:color="auto" w:sz="4" w:space="0"/>
                    <w:right w:val="single" w:color="auto" w:sz="4" w:space="0"/>
                  </w:tcBorders>
                  <w:shd w:val="clear" w:color="auto" w:fill="auto"/>
                  <w:noWrap/>
                  <w:vAlign w:val="center"/>
                </w:tcPr>
                <w:p w14:paraId="43AC983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双</w:t>
                  </w:r>
                </w:p>
              </w:tc>
              <w:tc>
                <w:tcPr>
                  <w:tcW w:w="801" w:type="dxa"/>
                  <w:tcBorders>
                    <w:top w:val="nil"/>
                    <w:left w:val="nil"/>
                    <w:bottom w:val="single" w:color="auto" w:sz="4" w:space="0"/>
                    <w:right w:val="single" w:color="auto" w:sz="4" w:space="0"/>
                  </w:tcBorders>
                  <w:shd w:val="clear" w:color="auto" w:fill="auto"/>
                  <w:noWrap/>
                  <w:vAlign w:val="center"/>
                </w:tcPr>
                <w:p w14:paraId="1D16595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7000</w:t>
                  </w:r>
                </w:p>
              </w:tc>
              <w:tc>
                <w:tcPr>
                  <w:tcW w:w="709" w:type="dxa"/>
                  <w:tcBorders>
                    <w:top w:val="nil"/>
                    <w:left w:val="nil"/>
                    <w:bottom w:val="single" w:color="auto" w:sz="4" w:space="0"/>
                    <w:right w:val="single" w:color="auto" w:sz="4" w:space="0"/>
                  </w:tcBorders>
                  <w:shd w:val="clear" w:color="auto" w:fill="auto"/>
                  <w:noWrap/>
                  <w:vAlign w:val="center"/>
                </w:tcPr>
                <w:p w14:paraId="0589A95F">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4390</w:t>
                  </w:r>
                </w:p>
              </w:tc>
              <w:tc>
                <w:tcPr>
                  <w:tcW w:w="850" w:type="dxa"/>
                  <w:tcBorders>
                    <w:top w:val="nil"/>
                    <w:left w:val="nil"/>
                    <w:bottom w:val="single" w:color="auto" w:sz="4" w:space="0"/>
                    <w:right w:val="single" w:color="auto" w:sz="4" w:space="0"/>
                  </w:tcBorders>
                  <w:vAlign w:val="center"/>
                </w:tcPr>
                <w:p w14:paraId="784DACC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8500</w:t>
                  </w:r>
                </w:p>
              </w:tc>
              <w:tc>
                <w:tcPr>
                  <w:tcW w:w="857" w:type="dxa"/>
                  <w:tcBorders>
                    <w:top w:val="nil"/>
                    <w:left w:val="nil"/>
                    <w:bottom w:val="single" w:color="auto" w:sz="4" w:space="0"/>
                    <w:right w:val="single" w:color="auto" w:sz="4" w:space="0"/>
                  </w:tcBorders>
                  <w:vAlign w:val="center"/>
                </w:tcPr>
                <w:p w14:paraId="57C1219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5500</w:t>
                  </w:r>
                </w:p>
              </w:tc>
            </w:tr>
            <w:tr w14:paraId="3D163650">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48E0B016">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w:t>
                  </w:r>
                </w:p>
              </w:tc>
              <w:tc>
                <w:tcPr>
                  <w:tcW w:w="1009" w:type="dxa"/>
                  <w:tcBorders>
                    <w:top w:val="nil"/>
                    <w:left w:val="nil"/>
                    <w:bottom w:val="single" w:color="auto" w:sz="4" w:space="0"/>
                    <w:right w:val="single" w:color="auto" w:sz="4" w:space="0"/>
                  </w:tcBorders>
                  <w:shd w:val="clear" w:color="auto" w:fill="auto"/>
                  <w:noWrap/>
                  <w:vAlign w:val="center"/>
                </w:tcPr>
                <w:p w14:paraId="1DB6140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医用酒精</w:t>
                  </w:r>
                </w:p>
              </w:tc>
              <w:tc>
                <w:tcPr>
                  <w:tcW w:w="851" w:type="dxa"/>
                  <w:tcBorders>
                    <w:top w:val="nil"/>
                    <w:left w:val="nil"/>
                    <w:bottom w:val="single" w:color="auto" w:sz="4" w:space="0"/>
                    <w:right w:val="single" w:color="auto" w:sz="4" w:space="0"/>
                  </w:tcBorders>
                  <w:shd w:val="clear" w:color="auto" w:fill="auto"/>
                  <w:noWrap/>
                  <w:vAlign w:val="center"/>
                </w:tcPr>
                <w:p w14:paraId="673E6037">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500ml</w:t>
                  </w:r>
                </w:p>
              </w:tc>
              <w:tc>
                <w:tcPr>
                  <w:tcW w:w="1559" w:type="dxa"/>
                  <w:tcBorders>
                    <w:top w:val="nil"/>
                    <w:left w:val="nil"/>
                    <w:bottom w:val="single" w:color="auto" w:sz="4" w:space="0"/>
                    <w:right w:val="single" w:color="auto" w:sz="4" w:space="0"/>
                  </w:tcBorders>
                  <w:shd w:val="clear" w:color="auto" w:fill="auto"/>
                  <w:noWrap/>
                  <w:vAlign w:val="center"/>
                </w:tcPr>
                <w:p w14:paraId="3A200B6B">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昆明远方生物制品有限公司</w:t>
                  </w:r>
                </w:p>
              </w:tc>
              <w:tc>
                <w:tcPr>
                  <w:tcW w:w="475" w:type="dxa"/>
                  <w:tcBorders>
                    <w:top w:val="nil"/>
                    <w:left w:val="nil"/>
                    <w:bottom w:val="single" w:color="auto" w:sz="4" w:space="0"/>
                    <w:right w:val="single" w:color="auto" w:sz="4" w:space="0"/>
                  </w:tcBorders>
                  <w:shd w:val="clear" w:color="auto" w:fill="auto"/>
                  <w:noWrap/>
                  <w:vAlign w:val="center"/>
                </w:tcPr>
                <w:p w14:paraId="46A50D2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w:t>
                  </w:r>
                </w:p>
              </w:tc>
              <w:tc>
                <w:tcPr>
                  <w:tcW w:w="801" w:type="dxa"/>
                  <w:tcBorders>
                    <w:top w:val="nil"/>
                    <w:left w:val="nil"/>
                    <w:bottom w:val="single" w:color="auto" w:sz="4" w:space="0"/>
                    <w:right w:val="single" w:color="auto" w:sz="4" w:space="0"/>
                  </w:tcBorders>
                  <w:shd w:val="clear" w:color="auto" w:fill="auto"/>
                  <w:noWrap/>
                  <w:vAlign w:val="center"/>
                </w:tcPr>
                <w:p w14:paraId="452F51FA">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120</w:t>
                  </w:r>
                </w:p>
              </w:tc>
              <w:tc>
                <w:tcPr>
                  <w:tcW w:w="709" w:type="dxa"/>
                  <w:tcBorders>
                    <w:top w:val="nil"/>
                    <w:left w:val="nil"/>
                    <w:bottom w:val="single" w:color="auto" w:sz="4" w:space="0"/>
                    <w:right w:val="single" w:color="auto" w:sz="4" w:space="0"/>
                  </w:tcBorders>
                  <w:shd w:val="clear" w:color="auto" w:fill="auto"/>
                  <w:noWrap/>
                  <w:vAlign w:val="center"/>
                </w:tcPr>
                <w:p w14:paraId="6ECD6378">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52</w:t>
                  </w:r>
                </w:p>
              </w:tc>
              <w:tc>
                <w:tcPr>
                  <w:tcW w:w="850" w:type="dxa"/>
                  <w:tcBorders>
                    <w:top w:val="nil"/>
                    <w:left w:val="nil"/>
                    <w:bottom w:val="single" w:color="auto" w:sz="4" w:space="0"/>
                    <w:right w:val="single" w:color="auto" w:sz="4" w:space="0"/>
                  </w:tcBorders>
                  <w:vAlign w:val="center"/>
                </w:tcPr>
                <w:p w14:paraId="670A4C5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140</w:t>
                  </w:r>
                </w:p>
              </w:tc>
              <w:tc>
                <w:tcPr>
                  <w:tcW w:w="857" w:type="dxa"/>
                  <w:tcBorders>
                    <w:top w:val="nil"/>
                    <w:left w:val="nil"/>
                    <w:bottom w:val="single" w:color="auto" w:sz="4" w:space="0"/>
                    <w:right w:val="single" w:color="auto" w:sz="4" w:space="0"/>
                  </w:tcBorders>
                  <w:vAlign w:val="center"/>
                </w:tcPr>
                <w:p w14:paraId="556046C2">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w:t>
                  </w:r>
                </w:p>
              </w:tc>
            </w:tr>
            <w:tr w14:paraId="153167DF">
              <w:tblPrEx>
                <w:tblCellMar>
                  <w:top w:w="0" w:type="dxa"/>
                  <w:left w:w="108" w:type="dxa"/>
                  <w:bottom w:w="0" w:type="dxa"/>
                  <w:right w:w="108" w:type="dxa"/>
                </w:tblCellMar>
              </w:tblPrEx>
              <w:trPr>
                <w:trHeight w:val="89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76521534">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w:t>
                  </w:r>
                </w:p>
              </w:tc>
              <w:tc>
                <w:tcPr>
                  <w:tcW w:w="1009" w:type="dxa"/>
                  <w:tcBorders>
                    <w:top w:val="nil"/>
                    <w:left w:val="nil"/>
                    <w:bottom w:val="single" w:color="auto" w:sz="4" w:space="0"/>
                    <w:right w:val="single" w:color="auto" w:sz="4" w:space="0"/>
                  </w:tcBorders>
                  <w:shd w:val="clear" w:color="auto" w:fill="auto"/>
                  <w:noWrap/>
                  <w:vAlign w:val="center"/>
                </w:tcPr>
                <w:p w14:paraId="44E1C95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医用酒精</w:t>
                  </w:r>
                </w:p>
              </w:tc>
              <w:tc>
                <w:tcPr>
                  <w:tcW w:w="851" w:type="dxa"/>
                  <w:tcBorders>
                    <w:top w:val="nil"/>
                    <w:left w:val="nil"/>
                    <w:bottom w:val="single" w:color="auto" w:sz="4" w:space="0"/>
                    <w:right w:val="single" w:color="auto" w:sz="4" w:space="0"/>
                  </w:tcBorders>
                  <w:shd w:val="clear" w:color="auto" w:fill="auto"/>
                  <w:noWrap/>
                  <w:vAlign w:val="center"/>
                </w:tcPr>
                <w:p w14:paraId="1446B28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60ml</w:t>
                  </w:r>
                </w:p>
              </w:tc>
              <w:tc>
                <w:tcPr>
                  <w:tcW w:w="1559" w:type="dxa"/>
                  <w:tcBorders>
                    <w:top w:val="nil"/>
                    <w:left w:val="nil"/>
                    <w:bottom w:val="single" w:color="auto" w:sz="4" w:space="0"/>
                    <w:right w:val="single" w:color="auto" w:sz="4" w:space="0"/>
                  </w:tcBorders>
                  <w:shd w:val="clear" w:color="auto" w:fill="auto"/>
                  <w:noWrap/>
                  <w:vAlign w:val="center"/>
                </w:tcPr>
                <w:p w14:paraId="6267D431">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昆明天亘消毒制品有限公司</w:t>
                  </w:r>
                </w:p>
              </w:tc>
              <w:tc>
                <w:tcPr>
                  <w:tcW w:w="475" w:type="dxa"/>
                  <w:tcBorders>
                    <w:top w:val="nil"/>
                    <w:left w:val="nil"/>
                    <w:bottom w:val="single" w:color="auto" w:sz="4" w:space="0"/>
                    <w:right w:val="single" w:color="auto" w:sz="4" w:space="0"/>
                  </w:tcBorders>
                  <w:shd w:val="clear" w:color="auto" w:fill="auto"/>
                  <w:noWrap/>
                  <w:vAlign w:val="center"/>
                </w:tcPr>
                <w:p w14:paraId="136CBDC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w:t>
                  </w:r>
                </w:p>
              </w:tc>
              <w:tc>
                <w:tcPr>
                  <w:tcW w:w="801" w:type="dxa"/>
                  <w:tcBorders>
                    <w:top w:val="nil"/>
                    <w:left w:val="nil"/>
                    <w:bottom w:val="single" w:color="auto" w:sz="4" w:space="0"/>
                    <w:right w:val="single" w:color="auto" w:sz="4" w:space="0"/>
                  </w:tcBorders>
                  <w:shd w:val="clear" w:color="auto" w:fill="auto"/>
                  <w:noWrap/>
                  <w:vAlign w:val="center"/>
                </w:tcPr>
                <w:p w14:paraId="25684DF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709" w:type="dxa"/>
                  <w:tcBorders>
                    <w:top w:val="nil"/>
                    <w:left w:val="nil"/>
                    <w:bottom w:val="single" w:color="auto" w:sz="4" w:space="0"/>
                    <w:right w:val="single" w:color="auto" w:sz="4" w:space="0"/>
                  </w:tcBorders>
                  <w:shd w:val="clear" w:color="auto" w:fill="auto"/>
                  <w:noWrap/>
                  <w:vAlign w:val="center"/>
                </w:tcPr>
                <w:p w14:paraId="3F32E8F7">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w:t>
                  </w:r>
                </w:p>
              </w:tc>
              <w:tc>
                <w:tcPr>
                  <w:tcW w:w="850" w:type="dxa"/>
                  <w:tcBorders>
                    <w:top w:val="nil"/>
                    <w:left w:val="nil"/>
                    <w:bottom w:val="single" w:color="auto" w:sz="4" w:space="0"/>
                    <w:right w:val="single" w:color="auto" w:sz="4" w:space="0"/>
                  </w:tcBorders>
                  <w:vAlign w:val="center"/>
                </w:tcPr>
                <w:p w14:paraId="3DCE48E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140</w:t>
                  </w:r>
                </w:p>
              </w:tc>
              <w:tc>
                <w:tcPr>
                  <w:tcW w:w="857" w:type="dxa"/>
                  <w:tcBorders>
                    <w:top w:val="nil"/>
                    <w:left w:val="nil"/>
                    <w:bottom w:val="single" w:color="auto" w:sz="4" w:space="0"/>
                    <w:right w:val="single" w:color="auto" w:sz="4" w:space="0"/>
                  </w:tcBorders>
                  <w:vAlign w:val="center"/>
                </w:tcPr>
                <w:p w14:paraId="4906A6A1">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60</w:t>
                  </w:r>
                </w:p>
              </w:tc>
            </w:tr>
            <w:tr w14:paraId="4AA4311C">
              <w:tblPrEx>
                <w:tblCellMar>
                  <w:top w:w="0" w:type="dxa"/>
                  <w:left w:w="108" w:type="dxa"/>
                  <w:bottom w:w="0" w:type="dxa"/>
                  <w:right w:w="108" w:type="dxa"/>
                </w:tblCellMar>
              </w:tblPrEx>
              <w:trPr>
                <w:trHeight w:val="277" w:hRule="atLeast"/>
              </w:trPr>
              <w:tc>
                <w:tcPr>
                  <w:tcW w:w="548" w:type="dxa"/>
                  <w:tcBorders>
                    <w:top w:val="nil"/>
                    <w:left w:val="single" w:color="auto" w:sz="4" w:space="0"/>
                    <w:bottom w:val="single" w:color="auto" w:sz="4" w:space="0"/>
                    <w:right w:val="single" w:color="auto" w:sz="4" w:space="0"/>
                  </w:tcBorders>
                  <w:shd w:val="clear" w:color="auto" w:fill="auto"/>
                  <w:noWrap/>
                  <w:vAlign w:val="center"/>
                </w:tcPr>
                <w:p w14:paraId="0EEC87E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w:t>
                  </w:r>
                </w:p>
              </w:tc>
              <w:tc>
                <w:tcPr>
                  <w:tcW w:w="1009" w:type="dxa"/>
                  <w:tcBorders>
                    <w:top w:val="nil"/>
                    <w:left w:val="nil"/>
                    <w:bottom w:val="single" w:color="auto" w:sz="4" w:space="0"/>
                    <w:right w:val="single" w:color="auto" w:sz="4" w:space="0"/>
                  </w:tcBorders>
                  <w:shd w:val="clear" w:color="auto" w:fill="auto"/>
                  <w:noWrap/>
                  <w:vAlign w:val="center"/>
                </w:tcPr>
                <w:p w14:paraId="3D00B709">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含氯消毒片</w:t>
                  </w:r>
                </w:p>
              </w:tc>
              <w:tc>
                <w:tcPr>
                  <w:tcW w:w="851" w:type="dxa"/>
                  <w:tcBorders>
                    <w:top w:val="nil"/>
                    <w:left w:val="nil"/>
                    <w:bottom w:val="single" w:color="auto" w:sz="4" w:space="0"/>
                    <w:right w:val="single" w:color="auto" w:sz="4" w:space="0"/>
                  </w:tcBorders>
                  <w:shd w:val="clear" w:color="auto" w:fill="auto"/>
                  <w:noWrap/>
                  <w:vAlign w:val="center"/>
                </w:tcPr>
                <w:p w14:paraId="116FDAF5">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100片/瓶</w:t>
                  </w:r>
                </w:p>
              </w:tc>
              <w:tc>
                <w:tcPr>
                  <w:tcW w:w="1559" w:type="dxa"/>
                  <w:tcBorders>
                    <w:top w:val="nil"/>
                    <w:left w:val="nil"/>
                    <w:bottom w:val="single" w:color="auto" w:sz="4" w:space="0"/>
                    <w:right w:val="single" w:color="auto" w:sz="4" w:space="0"/>
                  </w:tcBorders>
                  <w:shd w:val="clear" w:color="auto" w:fill="auto"/>
                  <w:noWrap/>
                  <w:vAlign w:val="center"/>
                </w:tcPr>
                <w:p w14:paraId="4ADC2BAF">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山东德新康医疗科技有限公司　</w:t>
                  </w:r>
                </w:p>
              </w:tc>
              <w:tc>
                <w:tcPr>
                  <w:tcW w:w="475" w:type="dxa"/>
                  <w:tcBorders>
                    <w:top w:val="nil"/>
                    <w:left w:val="nil"/>
                    <w:bottom w:val="single" w:color="auto" w:sz="4" w:space="0"/>
                    <w:right w:val="single" w:color="auto" w:sz="4" w:space="0"/>
                  </w:tcBorders>
                  <w:shd w:val="clear" w:color="auto" w:fill="auto"/>
                  <w:noWrap/>
                  <w:vAlign w:val="center"/>
                </w:tcPr>
                <w:p w14:paraId="1356C53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瓶</w:t>
                  </w:r>
                </w:p>
              </w:tc>
              <w:tc>
                <w:tcPr>
                  <w:tcW w:w="801" w:type="dxa"/>
                  <w:tcBorders>
                    <w:top w:val="nil"/>
                    <w:left w:val="nil"/>
                    <w:bottom w:val="single" w:color="auto" w:sz="4" w:space="0"/>
                    <w:right w:val="single" w:color="auto" w:sz="4" w:space="0"/>
                  </w:tcBorders>
                  <w:shd w:val="clear" w:color="auto" w:fill="auto"/>
                  <w:noWrap/>
                  <w:vAlign w:val="center"/>
                </w:tcPr>
                <w:p w14:paraId="74BA1249">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w:t>
                  </w:r>
                </w:p>
              </w:tc>
              <w:tc>
                <w:tcPr>
                  <w:tcW w:w="709" w:type="dxa"/>
                  <w:tcBorders>
                    <w:top w:val="nil"/>
                    <w:left w:val="nil"/>
                    <w:bottom w:val="single" w:color="auto" w:sz="4" w:space="0"/>
                    <w:right w:val="single" w:color="auto" w:sz="4" w:space="0"/>
                  </w:tcBorders>
                  <w:shd w:val="clear" w:color="auto" w:fill="auto"/>
                  <w:noWrap/>
                  <w:vAlign w:val="center"/>
                </w:tcPr>
                <w:p w14:paraId="4A527ECA">
                  <w:pPr>
                    <w:spacing w:line="24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w:t>
                  </w:r>
                </w:p>
              </w:tc>
              <w:tc>
                <w:tcPr>
                  <w:tcW w:w="850" w:type="dxa"/>
                  <w:tcBorders>
                    <w:top w:val="nil"/>
                    <w:left w:val="nil"/>
                    <w:bottom w:val="single" w:color="auto" w:sz="4" w:space="0"/>
                    <w:right w:val="single" w:color="auto" w:sz="4" w:space="0"/>
                  </w:tcBorders>
                  <w:vAlign w:val="center"/>
                </w:tcPr>
                <w:p w14:paraId="1107449D">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18</w:t>
                  </w:r>
                </w:p>
              </w:tc>
              <w:tc>
                <w:tcPr>
                  <w:tcW w:w="857" w:type="dxa"/>
                  <w:tcBorders>
                    <w:top w:val="nil"/>
                    <w:left w:val="nil"/>
                    <w:bottom w:val="single" w:color="auto" w:sz="4" w:space="0"/>
                    <w:right w:val="single" w:color="auto" w:sz="4" w:space="0"/>
                  </w:tcBorders>
                  <w:vAlign w:val="center"/>
                </w:tcPr>
                <w:p w14:paraId="446E110B">
                  <w:pPr>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w:t>
                  </w:r>
                </w:p>
              </w:tc>
            </w:tr>
          </w:tbl>
          <w:p w14:paraId="0498480E">
            <w:pPr>
              <w:pStyle w:val="38"/>
              <w:rPr>
                <w:rFonts w:hint="eastAsia" w:eastAsia="宋体"/>
                <w:b/>
                <w:bCs/>
                <w:color w:val="auto"/>
                <w:kern w:val="0"/>
                <w:szCs w:val="24"/>
                <w:lang w:val="en-US" w:eastAsia="zh-CN" w:bidi="ar"/>
              </w:rPr>
            </w:pPr>
            <w:r>
              <w:rPr>
                <w:rFonts w:ascii="Times New Roman" w:hAnsi="Times New Roman" w:eastAsia="宋体"/>
                <w:b/>
                <w:bCs/>
                <w:color w:val="auto"/>
                <w:highlight w:val="none"/>
              </w:rPr>
              <w:t>表2-</w:t>
            </w:r>
            <w:r>
              <w:rPr>
                <w:rFonts w:hint="eastAsia" w:ascii="Times New Roman" w:hAnsi="Times New Roman" w:eastAsia="宋体"/>
                <w:b/>
                <w:bCs/>
                <w:color w:val="auto"/>
                <w:highlight w:val="none"/>
                <w:lang w:val="en-US" w:eastAsia="zh-CN"/>
              </w:rPr>
              <w:t>10</w:t>
            </w:r>
            <w:r>
              <w:rPr>
                <w:b/>
                <w:bCs/>
                <w:color w:val="auto"/>
                <w:spacing w:val="7"/>
                <w:sz w:val="20"/>
                <w:szCs w:val="20"/>
              </w:rPr>
              <w:t>主要原辅材料理化性质及功能</w:t>
            </w:r>
          </w:p>
          <w:tbl>
            <w:tblPr>
              <w:tblStyle w:val="56"/>
              <w:tblW w:w="0" w:type="auto"/>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2"/>
              <w:gridCol w:w="832"/>
              <w:gridCol w:w="6866"/>
            </w:tblGrid>
            <w:tr w14:paraId="4F3152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52" w:type="dxa"/>
                  <w:tcBorders>
                    <w:top w:val="single" w:color="000000" w:sz="10" w:space="0"/>
                    <w:bottom w:val="single" w:color="000000" w:sz="10" w:space="0"/>
                  </w:tcBorders>
                  <w:vAlign w:val="center"/>
                </w:tcPr>
                <w:p w14:paraId="639DC7B0">
                  <w:pPr>
                    <w:pStyle w:val="57"/>
                    <w:keepNext w:val="0"/>
                    <w:keepLines w:val="0"/>
                    <w:pageBreakBefore w:val="0"/>
                    <w:widowControl w:val="0"/>
                    <w:kinsoku/>
                    <w:wordWrap/>
                    <w:overflowPunct/>
                    <w:topLinePunct w:val="0"/>
                    <w:autoSpaceDE/>
                    <w:autoSpaceDN/>
                    <w:bidi w:val="0"/>
                    <w:adjustRightInd/>
                    <w:snapToGrid/>
                    <w:spacing w:line="229" w:lineRule="auto"/>
                    <w:ind w:left="0" w:leftChars="0" w:firstLine="0" w:firstLineChars="0"/>
                    <w:jc w:val="center"/>
                    <w:textAlignment w:val="auto"/>
                    <w:rPr>
                      <w:rFonts w:hint="eastAsia" w:ascii="宋体" w:hAnsi="宋体" w:eastAsia="宋体" w:cs="宋体"/>
                      <w:color w:val="auto"/>
                      <w:sz w:val="21"/>
                      <w:szCs w:val="21"/>
                    </w:rPr>
                  </w:pPr>
                  <w:r>
                    <w:rPr>
                      <w:rFonts w:hint="eastAsia" w:cs="宋体"/>
                      <w:color w:val="auto"/>
                      <w:spacing w:val="5"/>
                      <w:sz w:val="21"/>
                      <w:szCs w:val="21"/>
                      <w:lang w:val="en-US" w:eastAsia="zh-CN"/>
                    </w:rPr>
                    <w:t>序</w:t>
                  </w:r>
                  <w:r>
                    <w:rPr>
                      <w:rFonts w:hint="eastAsia" w:ascii="宋体" w:hAnsi="宋体" w:eastAsia="宋体" w:cs="宋体"/>
                      <w:color w:val="auto"/>
                      <w:spacing w:val="5"/>
                      <w:sz w:val="21"/>
                      <w:szCs w:val="21"/>
                    </w:rPr>
                    <w:t>号</w:t>
                  </w:r>
                </w:p>
              </w:tc>
              <w:tc>
                <w:tcPr>
                  <w:tcW w:w="832" w:type="dxa"/>
                  <w:tcBorders>
                    <w:top w:val="single" w:color="000000" w:sz="10" w:space="0"/>
                    <w:bottom w:val="single" w:color="000000" w:sz="10" w:space="0"/>
                  </w:tcBorders>
                  <w:vAlign w:val="center"/>
                </w:tcPr>
                <w:p w14:paraId="31397E61">
                  <w:pPr>
                    <w:pStyle w:val="57"/>
                    <w:keepNext w:val="0"/>
                    <w:keepLines w:val="0"/>
                    <w:pageBreakBefore w:val="0"/>
                    <w:widowControl w:val="0"/>
                    <w:kinsoku/>
                    <w:wordWrap/>
                    <w:overflowPunct/>
                    <w:topLinePunct w:val="0"/>
                    <w:autoSpaceDE/>
                    <w:autoSpaceDN/>
                    <w:bidi w:val="0"/>
                    <w:adjustRightInd/>
                    <w:snapToGrid/>
                    <w:spacing w:line="230" w:lineRule="auto"/>
                    <w:ind w:left="0" w:leftChars="0"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名称</w:t>
                  </w:r>
                </w:p>
              </w:tc>
              <w:tc>
                <w:tcPr>
                  <w:tcW w:w="6866" w:type="dxa"/>
                  <w:tcBorders>
                    <w:top w:val="single" w:color="000000" w:sz="10" w:space="0"/>
                    <w:bottom w:val="single" w:color="000000" w:sz="10" w:space="0"/>
                  </w:tcBorders>
                  <w:vAlign w:val="center"/>
                </w:tcPr>
                <w:p w14:paraId="545FABA9">
                  <w:pPr>
                    <w:pStyle w:val="57"/>
                    <w:keepNext w:val="0"/>
                    <w:keepLines w:val="0"/>
                    <w:pageBreakBefore w:val="0"/>
                    <w:widowControl w:val="0"/>
                    <w:kinsoku/>
                    <w:wordWrap/>
                    <w:overflowPunct/>
                    <w:topLinePunct w:val="0"/>
                    <w:autoSpaceDE/>
                    <w:autoSpaceDN/>
                    <w:bidi w:val="0"/>
                    <w:adjustRightInd/>
                    <w:snapToGrid/>
                    <w:spacing w:line="228" w:lineRule="auto"/>
                    <w:ind w:left="2427" w:firstLine="0" w:firstLineChars="0"/>
                    <w:jc w:val="both"/>
                    <w:textAlignment w:val="auto"/>
                    <w:rPr>
                      <w:rFonts w:hint="eastAsia" w:ascii="宋体" w:hAnsi="宋体" w:eastAsia="宋体" w:cs="宋体"/>
                      <w:color w:val="auto"/>
                      <w:sz w:val="21"/>
                      <w:szCs w:val="21"/>
                    </w:rPr>
                  </w:pPr>
                  <w:r>
                    <w:rPr>
                      <w:rFonts w:hint="eastAsia" w:ascii="宋体" w:hAnsi="宋体" w:eastAsia="宋体" w:cs="宋体"/>
                      <w:color w:val="auto"/>
                      <w:spacing w:val="8"/>
                      <w:sz w:val="21"/>
                      <w:szCs w:val="21"/>
                    </w:rPr>
                    <w:t>理化性质及功能</w:t>
                  </w:r>
                </w:p>
              </w:tc>
            </w:tr>
            <w:tr w14:paraId="692EAB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52" w:type="dxa"/>
                  <w:tcBorders>
                    <w:top w:val="single" w:color="000000" w:sz="10" w:space="0"/>
                    <w:bottom w:val="single" w:color="000000" w:sz="10" w:space="0"/>
                  </w:tcBorders>
                  <w:vAlign w:val="center"/>
                </w:tcPr>
                <w:p w14:paraId="74BB3C59">
                  <w:pPr>
                    <w:pStyle w:val="57"/>
                    <w:keepNext w:val="0"/>
                    <w:keepLines w:val="0"/>
                    <w:pageBreakBefore w:val="0"/>
                    <w:widowControl w:val="0"/>
                    <w:kinsoku/>
                    <w:wordWrap/>
                    <w:overflowPunct/>
                    <w:topLinePunct w:val="0"/>
                    <w:autoSpaceDE/>
                    <w:autoSpaceDN/>
                    <w:bidi w:val="0"/>
                    <w:adjustRightInd/>
                    <w:snapToGrid/>
                    <w:spacing w:before="54" w:line="229" w:lineRule="auto"/>
                    <w:ind w:left="0" w:leftChars="0" w:firstLine="0" w:firstLineChars="0"/>
                    <w:jc w:val="center"/>
                    <w:textAlignment w:val="auto"/>
                    <w:rPr>
                      <w:rFonts w:hint="eastAsia" w:ascii="宋体" w:hAnsi="宋体" w:eastAsia="宋体" w:cs="宋体"/>
                      <w:color w:val="auto"/>
                      <w:spacing w:val="5"/>
                      <w:sz w:val="21"/>
                      <w:szCs w:val="21"/>
                      <w:lang w:val="en-US" w:eastAsia="zh-CN"/>
                    </w:rPr>
                  </w:pPr>
                  <w:r>
                    <w:rPr>
                      <w:rFonts w:hint="eastAsia" w:ascii="宋体" w:hAnsi="宋体" w:eastAsia="宋体" w:cs="宋体"/>
                      <w:color w:val="auto"/>
                      <w:spacing w:val="5"/>
                      <w:sz w:val="21"/>
                      <w:szCs w:val="21"/>
                      <w:lang w:val="en-US" w:eastAsia="zh-CN"/>
                    </w:rPr>
                    <w:t>1</w:t>
                  </w:r>
                </w:p>
              </w:tc>
              <w:tc>
                <w:tcPr>
                  <w:tcW w:w="832" w:type="dxa"/>
                  <w:tcBorders>
                    <w:top w:val="single" w:color="000000" w:sz="10" w:space="0"/>
                    <w:bottom w:val="single" w:color="000000" w:sz="10" w:space="0"/>
                  </w:tcBorders>
                  <w:vAlign w:val="center"/>
                </w:tcPr>
                <w:p w14:paraId="74EB8F7E">
                  <w:pPr>
                    <w:spacing w:line="240" w:lineRule="auto"/>
                    <w:ind w:firstLine="0" w:firstLineChars="0"/>
                    <w:jc w:val="center"/>
                    <w:rPr>
                      <w:rFonts w:hint="eastAsia"/>
                      <w:color w:val="auto"/>
                      <w:sz w:val="21"/>
                      <w:szCs w:val="21"/>
                    </w:rPr>
                  </w:pPr>
                  <w:r>
                    <w:rPr>
                      <w:rFonts w:hint="eastAsia"/>
                      <w:color w:val="auto"/>
                      <w:sz w:val="21"/>
                      <w:szCs w:val="21"/>
                    </w:rPr>
                    <w:t>75%酒精</w:t>
                  </w:r>
                </w:p>
              </w:tc>
              <w:tc>
                <w:tcPr>
                  <w:tcW w:w="6866" w:type="dxa"/>
                  <w:tcBorders>
                    <w:top w:val="single" w:color="000000" w:sz="10" w:space="0"/>
                    <w:bottom w:val="single" w:color="000000" w:sz="10" w:space="0"/>
                  </w:tcBorders>
                  <w:vAlign w:val="center"/>
                </w:tcPr>
                <w:p w14:paraId="1DB395DD">
                  <w:pPr>
                    <w:spacing w:line="240" w:lineRule="auto"/>
                    <w:ind w:firstLine="0" w:firstLineChars="0"/>
                    <w:jc w:val="left"/>
                    <w:rPr>
                      <w:rFonts w:hint="eastAsia"/>
                      <w:color w:val="auto"/>
                      <w:sz w:val="21"/>
                      <w:szCs w:val="21"/>
                    </w:rPr>
                  </w:pPr>
                  <w:r>
                    <w:rPr>
                      <w:rFonts w:hint="eastAsia"/>
                      <w:color w:val="auto"/>
                      <w:sz w:val="21"/>
                      <w:szCs w:val="21"/>
                    </w:rPr>
                    <w:t>乙醇是醇</w:t>
                  </w:r>
                  <w:r>
                    <w:rPr>
                      <w:rFonts w:hint="eastAsia"/>
                      <w:color w:val="auto"/>
                      <w:sz w:val="21"/>
                      <w:szCs w:val="21"/>
                      <w:lang w:val="en-US" w:eastAsia="zh-CN"/>
                    </w:rPr>
                    <w:t>类的一种，化学式C</w:t>
                  </w:r>
                  <w:r>
                    <w:rPr>
                      <w:rFonts w:hint="eastAsia"/>
                      <w:color w:val="auto"/>
                      <w:sz w:val="21"/>
                      <w:szCs w:val="21"/>
                      <w:vertAlign w:val="subscript"/>
                      <w:lang w:val="en-US" w:eastAsia="zh-CN"/>
                    </w:rPr>
                    <w:t>2</w:t>
                  </w:r>
                  <w:r>
                    <w:rPr>
                      <w:rFonts w:hint="eastAsia"/>
                      <w:color w:val="auto"/>
                      <w:sz w:val="21"/>
                      <w:szCs w:val="21"/>
                      <w:lang w:val="en-US" w:eastAsia="zh-CN"/>
                    </w:rPr>
                    <w:t>H</w:t>
                  </w:r>
                  <w:r>
                    <w:rPr>
                      <w:rFonts w:hint="eastAsia"/>
                      <w:color w:val="auto"/>
                      <w:sz w:val="21"/>
                      <w:szCs w:val="21"/>
                      <w:vertAlign w:val="subscript"/>
                      <w:lang w:val="en-US" w:eastAsia="zh-CN"/>
                    </w:rPr>
                    <w:t>6</w:t>
                  </w:r>
                  <w:r>
                    <w:rPr>
                      <w:rFonts w:hint="eastAsia"/>
                      <w:color w:val="auto"/>
                      <w:sz w:val="21"/>
                      <w:szCs w:val="21"/>
                      <w:lang w:val="en-US" w:eastAsia="zh-CN"/>
                    </w:rPr>
                    <w:t>O。密度0.78945g/m</w:t>
                  </w:r>
                  <w:r>
                    <w:rPr>
                      <w:rFonts w:hint="eastAsia"/>
                      <w:color w:val="auto"/>
                      <w:sz w:val="21"/>
                      <w:szCs w:val="21"/>
                      <w:vertAlign w:val="superscript"/>
                      <w:lang w:val="en-US" w:eastAsia="zh-CN"/>
                    </w:rPr>
                    <w:t>3</w:t>
                  </w:r>
                  <w:r>
                    <w:rPr>
                      <w:rFonts w:hint="eastAsia"/>
                      <w:color w:val="auto"/>
                      <w:sz w:val="21"/>
                      <w:szCs w:val="21"/>
                      <w:lang w:val="en-US" w:eastAsia="zh-CN"/>
                    </w:rPr>
                    <w:t>（20℃),熔点-114.3°C(158.8K)，沸点78.4°C(351.6K)。室温下，乙醇是无色易燃，且有特殊香味的挥发性液体。可以与水、乙酸、丙酮、</w:t>
                  </w:r>
                  <w:r>
                    <w:rPr>
                      <w:rFonts w:hint="eastAsia"/>
                      <w:color w:val="auto"/>
                      <w:sz w:val="21"/>
                      <w:szCs w:val="21"/>
                      <w:lang w:val="en-US" w:eastAsia="zh-CN"/>
                    </w:rPr>
                    <w:fldChar w:fldCharType="begin"/>
                  </w:r>
                  <w:r>
                    <w:rPr>
                      <w:rFonts w:hint="eastAsia"/>
                      <w:color w:val="auto"/>
                      <w:sz w:val="21"/>
                      <w:szCs w:val="21"/>
                      <w:lang w:val="en-US" w:eastAsia="zh-CN"/>
                    </w:rPr>
                    <w:instrText xml:space="preserve"> HYPERLINK "https://baike.so.com/doc/3194557-3366490.html" </w:instrText>
                  </w:r>
                  <w:r>
                    <w:rPr>
                      <w:rFonts w:hint="eastAsia"/>
                      <w:color w:val="auto"/>
                      <w:sz w:val="21"/>
                      <w:szCs w:val="21"/>
                      <w:lang w:val="en-US" w:eastAsia="zh-CN"/>
                    </w:rPr>
                    <w:fldChar w:fldCharType="separate"/>
                  </w:r>
                  <w:r>
                    <w:rPr>
                      <w:rFonts w:hint="eastAsia"/>
                      <w:color w:val="auto"/>
                      <w:sz w:val="21"/>
                      <w:szCs w:val="21"/>
                      <w:lang w:val="en-US" w:eastAsia="zh-CN"/>
                    </w:rPr>
                    <w:t>苯</w:t>
                  </w:r>
                  <w:r>
                    <w:rPr>
                      <w:rFonts w:hint="eastAsia"/>
                      <w:color w:val="auto"/>
                      <w:sz w:val="21"/>
                      <w:szCs w:val="21"/>
                      <w:lang w:val="en-US" w:eastAsia="zh-CN"/>
                    </w:rPr>
                    <w:fldChar w:fldCharType="end"/>
                  </w:r>
                  <w:r>
                    <w:rPr>
                      <w:rFonts w:hint="eastAsia"/>
                      <w:color w:val="auto"/>
                      <w:sz w:val="21"/>
                      <w:szCs w:val="21"/>
                      <w:lang w:val="en-US" w:eastAsia="zh-CN"/>
                    </w:rPr>
                    <w:t>、四氯化碳、氯仿、乙醚、乙二醇、甘油、硝基甲烷、吡啶和甲苯等溶剂混溶。乙醇具有还原性，能发生氧化反应，易燃，是常用的</w:t>
                  </w:r>
                  <w:r>
                    <w:rPr>
                      <w:rFonts w:hint="eastAsia"/>
                      <w:color w:val="auto"/>
                      <w:sz w:val="21"/>
                      <w:szCs w:val="21"/>
                      <w:lang w:val="en-US" w:eastAsia="zh-CN"/>
                    </w:rPr>
                    <w:fldChar w:fldCharType="begin"/>
                  </w:r>
                  <w:r>
                    <w:rPr>
                      <w:rFonts w:hint="eastAsia"/>
                      <w:color w:val="auto"/>
                      <w:sz w:val="21"/>
                      <w:szCs w:val="21"/>
                      <w:lang w:val="en-US" w:eastAsia="zh-CN"/>
                    </w:rPr>
                    <w:instrText xml:space="preserve"> HYPERLINK "https://baike.so.com/doc/5994555-6207526.html" </w:instrText>
                  </w:r>
                  <w:r>
                    <w:rPr>
                      <w:rFonts w:hint="eastAsia"/>
                      <w:color w:val="auto"/>
                      <w:sz w:val="21"/>
                      <w:szCs w:val="21"/>
                      <w:lang w:val="en-US" w:eastAsia="zh-CN"/>
                    </w:rPr>
                    <w:fldChar w:fldCharType="separate"/>
                  </w:r>
                  <w:r>
                    <w:rPr>
                      <w:rFonts w:hint="eastAsia"/>
                      <w:color w:val="auto"/>
                      <w:sz w:val="21"/>
                      <w:szCs w:val="21"/>
                      <w:lang w:val="en-US" w:eastAsia="zh-CN"/>
                    </w:rPr>
                    <w:t>燃</w:t>
                  </w:r>
                  <w:r>
                    <w:rPr>
                      <w:rFonts w:hint="eastAsia"/>
                      <w:color w:val="auto"/>
                      <w:sz w:val="21"/>
                      <w:szCs w:val="21"/>
                      <w:lang w:val="en-US" w:eastAsia="zh-CN"/>
                    </w:rPr>
                    <w:fldChar w:fldCharType="end"/>
                  </w:r>
                  <w:r>
                    <w:rPr>
                      <w:rFonts w:hint="eastAsia"/>
                      <w:color w:val="auto"/>
                      <w:sz w:val="21"/>
                      <w:szCs w:val="21"/>
                      <w:lang w:val="en-US" w:eastAsia="zh-CN"/>
                    </w:rPr>
                    <w:fldChar w:fldCharType="begin"/>
                  </w:r>
                  <w:r>
                    <w:rPr>
                      <w:rFonts w:hint="eastAsia"/>
                      <w:color w:val="auto"/>
                      <w:sz w:val="21"/>
                      <w:szCs w:val="21"/>
                      <w:lang w:val="en-US" w:eastAsia="zh-CN"/>
                    </w:rPr>
                    <w:instrText xml:space="preserve"> HYPERLINK "https://baike.so.com/doc/5994555-6207526.html" </w:instrText>
                  </w:r>
                  <w:r>
                    <w:rPr>
                      <w:rFonts w:hint="eastAsia"/>
                      <w:color w:val="auto"/>
                      <w:sz w:val="21"/>
                      <w:szCs w:val="21"/>
                      <w:lang w:val="en-US" w:eastAsia="zh-CN"/>
                    </w:rPr>
                    <w:fldChar w:fldCharType="separate"/>
                  </w:r>
                  <w:r>
                    <w:rPr>
                      <w:rFonts w:hint="eastAsia"/>
                      <w:color w:val="auto"/>
                      <w:sz w:val="21"/>
                      <w:szCs w:val="21"/>
                      <w:lang w:val="en-US" w:eastAsia="zh-CN"/>
                    </w:rPr>
                    <w:t>料</w:t>
                  </w:r>
                  <w:r>
                    <w:rPr>
                      <w:rFonts w:hint="eastAsia"/>
                      <w:color w:val="auto"/>
                      <w:sz w:val="21"/>
                      <w:szCs w:val="21"/>
                      <w:lang w:val="en-US" w:eastAsia="zh-CN"/>
                    </w:rPr>
                    <w:fldChar w:fldCharType="end"/>
                  </w:r>
                  <w:r>
                    <w:rPr>
                      <w:rFonts w:hint="eastAsia"/>
                      <w:color w:val="auto"/>
                      <w:sz w:val="21"/>
                      <w:szCs w:val="21"/>
                      <w:lang w:val="en-US" w:eastAsia="zh-CN"/>
                    </w:rPr>
                    <w:t>、</w:t>
                  </w:r>
                  <w:r>
                    <w:rPr>
                      <w:rFonts w:hint="eastAsia"/>
                      <w:color w:val="auto"/>
                      <w:sz w:val="21"/>
                      <w:szCs w:val="21"/>
                      <w:lang w:val="en-US" w:eastAsia="zh-CN"/>
                    </w:rPr>
                    <w:fldChar w:fldCharType="begin"/>
                  </w:r>
                  <w:r>
                    <w:rPr>
                      <w:rFonts w:hint="eastAsia"/>
                      <w:color w:val="auto"/>
                      <w:sz w:val="21"/>
                      <w:szCs w:val="21"/>
                      <w:lang w:val="en-US" w:eastAsia="zh-CN"/>
                    </w:rPr>
                    <w:instrText xml:space="preserve"> HYPERLINK "https://baike.so.com/doc/1355777-1433373.html" </w:instrText>
                  </w:r>
                  <w:r>
                    <w:rPr>
                      <w:rFonts w:hint="eastAsia"/>
                      <w:color w:val="auto"/>
                      <w:sz w:val="21"/>
                      <w:szCs w:val="21"/>
                      <w:lang w:val="en-US" w:eastAsia="zh-CN"/>
                    </w:rPr>
                    <w:fldChar w:fldCharType="separate"/>
                  </w:r>
                  <w:r>
                    <w:rPr>
                      <w:rFonts w:hint="eastAsia"/>
                      <w:color w:val="auto"/>
                      <w:sz w:val="21"/>
                      <w:szCs w:val="21"/>
                      <w:lang w:val="en-US" w:eastAsia="zh-CN"/>
                    </w:rPr>
                    <w:t>溶剂</w:t>
                  </w:r>
                  <w:r>
                    <w:rPr>
                      <w:rFonts w:hint="eastAsia"/>
                      <w:color w:val="auto"/>
                      <w:sz w:val="21"/>
                      <w:szCs w:val="21"/>
                      <w:lang w:val="en-US" w:eastAsia="zh-CN"/>
                    </w:rPr>
                    <w:fldChar w:fldCharType="end"/>
                  </w:r>
                  <w:r>
                    <w:rPr>
                      <w:rFonts w:hint="eastAsia"/>
                      <w:color w:val="auto"/>
                      <w:sz w:val="21"/>
                      <w:szCs w:val="21"/>
                      <w:lang w:val="en-US" w:eastAsia="zh-CN"/>
                    </w:rPr>
                    <w:t>和</w:t>
                  </w:r>
                  <w:r>
                    <w:rPr>
                      <w:rFonts w:hint="eastAsia"/>
                      <w:color w:val="auto"/>
                      <w:sz w:val="21"/>
                      <w:szCs w:val="21"/>
                      <w:lang w:val="en-US" w:eastAsia="zh-CN"/>
                    </w:rPr>
                    <w:fldChar w:fldCharType="begin"/>
                  </w:r>
                  <w:r>
                    <w:rPr>
                      <w:rFonts w:hint="eastAsia"/>
                      <w:color w:val="auto"/>
                      <w:sz w:val="21"/>
                      <w:szCs w:val="21"/>
                      <w:lang w:val="en-US" w:eastAsia="zh-CN"/>
                    </w:rPr>
                    <w:instrText xml:space="preserve"> HYPERLINK "https://baike.so.com/doc/5895054-6107943.html" </w:instrText>
                  </w:r>
                  <w:r>
                    <w:rPr>
                      <w:rFonts w:hint="eastAsia"/>
                      <w:color w:val="auto"/>
                      <w:sz w:val="21"/>
                      <w:szCs w:val="21"/>
                      <w:lang w:val="en-US" w:eastAsia="zh-CN"/>
                    </w:rPr>
                    <w:fldChar w:fldCharType="separate"/>
                  </w:r>
                  <w:r>
                    <w:rPr>
                      <w:rFonts w:hint="eastAsia"/>
                      <w:color w:val="auto"/>
                      <w:sz w:val="21"/>
                      <w:szCs w:val="21"/>
                      <w:lang w:val="en-US" w:eastAsia="zh-CN"/>
                    </w:rPr>
                    <w:t>消毒剂</w:t>
                  </w:r>
                  <w:r>
                    <w:rPr>
                      <w:rFonts w:hint="eastAsia"/>
                      <w:color w:val="auto"/>
                      <w:sz w:val="21"/>
                      <w:szCs w:val="21"/>
                      <w:lang w:val="en-US" w:eastAsia="zh-CN"/>
                    </w:rPr>
                    <w:fldChar w:fldCharType="end"/>
                  </w:r>
                  <w:r>
                    <w:rPr>
                      <w:rFonts w:hint="eastAsia"/>
                      <w:color w:val="auto"/>
                      <w:sz w:val="21"/>
                      <w:szCs w:val="21"/>
                      <w:lang w:val="en-US" w:eastAsia="zh-CN"/>
                    </w:rPr>
                    <w:t>。</w:t>
                  </w:r>
                </w:p>
              </w:tc>
            </w:tr>
            <w:tr w14:paraId="2819B5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52" w:type="dxa"/>
                  <w:tcBorders>
                    <w:top w:val="single" w:color="000000" w:sz="10" w:space="0"/>
                    <w:bottom w:val="single" w:color="000000" w:sz="10" w:space="0"/>
                  </w:tcBorders>
                  <w:vAlign w:val="center"/>
                </w:tcPr>
                <w:p w14:paraId="0ABC02D1">
                  <w:pPr>
                    <w:pStyle w:val="57"/>
                    <w:keepNext w:val="0"/>
                    <w:keepLines w:val="0"/>
                    <w:pageBreakBefore w:val="0"/>
                    <w:widowControl w:val="0"/>
                    <w:kinsoku/>
                    <w:wordWrap/>
                    <w:overflowPunct/>
                    <w:topLinePunct w:val="0"/>
                    <w:autoSpaceDE/>
                    <w:autoSpaceDN/>
                    <w:bidi w:val="0"/>
                    <w:adjustRightInd/>
                    <w:snapToGrid/>
                    <w:spacing w:before="54" w:line="229" w:lineRule="auto"/>
                    <w:ind w:left="0" w:leftChars="0" w:firstLine="0" w:firstLineChars="0"/>
                    <w:jc w:val="center"/>
                    <w:textAlignment w:val="auto"/>
                    <w:rPr>
                      <w:rFonts w:hint="eastAsia" w:ascii="宋体" w:hAnsi="宋体" w:eastAsia="宋体" w:cs="宋体"/>
                      <w:color w:val="auto"/>
                      <w:spacing w:val="5"/>
                      <w:sz w:val="21"/>
                      <w:szCs w:val="21"/>
                      <w:lang w:val="en-US" w:eastAsia="zh-CN"/>
                    </w:rPr>
                  </w:pPr>
                  <w:r>
                    <w:rPr>
                      <w:rFonts w:hint="eastAsia" w:ascii="宋体" w:hAnsi="宋体" w:eastAsia="宋体" w:cs="宋体"/>
                      <w:color w:val="auto"/>
                      <w:spacing w:val="5"/>
                      <w:sz w:val="21"/>
                      <w:szCs w:val="21"/>
                      <w:lang w:val="en-US" w:eastAsia="zh-CN"/>
                    </w:rPr>
                    <w:t>2</w:t>
                  </w:r>
                </w:p>
              </w:tc>
              <w:tc>
                <w:tcPr>
                  <w:tcW w:w="832" w:type="dxa"/>
                  <w:tcBorders>
                    <w:top w:val="single" w:color="000000" w:sz="10" w:space="0"/>
                    <w:bottom w:val="single" w:color="000000" w:sz="10" w:space="0"/>
                  </w:tcBorders>
                  <w:vAlign w:val="center"/>
                </w:tcPr>
                <w:p w14:paraId="3C2C19C2">
                  <w:pPr>
                    <w:spacing w:line="240" w:lineRule="auto"/>
                    <w:ind w:firstLine="0" w:firstLineChars="0"/>
                    <w:jc w:val="center"/>
                    <w:rPr>
                      <w:rFonts w:hint="eastAsia"/>
                      <w:color w:val="auto"/>
                      <w:sz w:val="21"/>
                      <w:szCs w:val="21"/>
                      <w:lang w:val="en-US" w:eastAsia="zh-CN"/>
                    </w:rPr>
                  </w:pPr>
                  <w:r>
                    <w:rPr>
                      <w:rFonts w:hint="eastAsia"/>
                      <w:color w:val="auto"/>
                      <w:sz w:val="21"/>
                      <w:szCs w:val="21"/>
                    </w:rPr>
                    <w:t>含氯消毒</w:t>
                  </w:r>
                  <w:r>
                    <w:rPr>
                      <w:rFonts w:hint="eastAsia"/>
                      <w:color w:val="auto"/>
                      <w:sz w:val="21"/>
                      <w:szCs w:val="21"/>
                      <w:lang w:val="en-US" w:eastAsia="zh-CN"/>
                    </w:rPr>
                    <w:t>片</w:t>
                  </w:r>
                </w:p>
              </w:tc>
              <w:tc>
                <w:tcPr>
                  <w:tcW w:w="6866" w:type="dxa"/>
                  <w:tcBorders>
                    <w:top w:val="single" w:color="000000" w:sz="10" w:space="0"/>
                    <w:bottom w:val="single" w:color="000000" w:sz="10" w:space="0"/>
                  </w:tcBorders>
                  <w:vAlign w:val="center"/>
                </w:tcPr>
                <w:p w14:paraId="2D1FF9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外观为白色粉末状固体。主要成分为亚氯酸钠、碳酸氢钠、氯化钠、柠檬酸、硫酸氢钠等，置于水中混合后可生成二氧化氯液，用于本项目污水处理消毒使用。其各主要成分理化性质如：亚氯酸钠：外观为白色结晶性粉末，密度1.28g/cm</w:t>
                  </w:r>
                  <w:r>
                    <w:rPr>
                      <w:rFonts w:hint="eastAsia" w:ascii="宋体" w:hAnsi="宋体" w:eastAsia="宋体" w:cs="宋体"/>
                      <w:color w:val="auto"/>
                      <w:sz w:val="21"/>
                      <w:szCs w:val="21"/>
                      <w:highlight w:val="none"/>
                      <w:vertAlign w:val="superscript"/>
                      <w:lang w:val="en-US" w:eastAsia="zh-CN"/>
                    </w:rPr>
                    <w:t>3</w:t>
                  </w:r>
                  <w:r>
                    <w:rPr>
                      <w:rFonts w:hint="eastAsia" w:ascii="宋体" w:hAnsi="宋体" w:eastAsia="宋体" w:cs="宋体"/>
                      <w:color w:val="auto"/>
                      <w:sz w:val="21"/>
                      <w:szCs w:val="21"/>
                      <w:highlight w:val="none"/>
                      <w:lang w:val="en-US" w:eastAsia="zh-CN"/>
                    </w:rPr>
                    <w:t>，是一种无机化合物，化学式为NaClO</w:t>
                  </w:r>
                  <w:r>
                    <w:rPr>
                      <w:rFonts w:hint="eastAsia" w:ascii="宋体" w:hAnsi="宋体" w:eastAsia="宋体" w:cs="宋体"/>
                      <w:color w:val="auto"/>
                      <w:sz w:val="21"/>
                      <w:szCs w:val="21"/>
                      <w:highlight w:val="none"/>
                      <w:vertAlign w:val="subscript"/>
                      <w:lang w:val="en-US" w:eastAsia="zh-CN"/>
                    </w:rPr>
                    <w:t>2</w:t>
                  </w:r>
                  <w:r>
                    <w:rPr>
                      <w:rFonts w:hint="eastAsia" w:ascii="宋体" w:hAnsi="宋体" w:eastAsia="宋体" w:cs="宋体"/>
                      <w:color w:val="auto"/>
                      <w:sz w:val="21"/>
                      <w:szCs w:val="21"/>
                      <w:highlight w:val="none"/>
                      <w:lang w:val="en-US" w:eastAsia="zh-CN"/>
                    </w:rPr>
                    <w:t>，主要用作漂白剂、脱色剂、消毒剂、拔染剂等。</w:t>
                  </w:r>
                </w:p>
                <w:p w14:paraId="7F9392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碳酸氢钠：分子式为NaHCO₃,是一种无机化合物，呈白色结晶性粉末，无臭，味咸，易溶于水。在潮湿空气或热空气中即缓慢分解，产生二氧化碳，加热至270℃完全分解。遇酸则强烈分解，产生二氧化碳。</w:t>
                  </w:r>
                </w:p>
                <w:p w14:paraId="0682F8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化钠：是一种无机离子化合物，化学式NaCl，无色立方结晶或细小结晶粉末，味咸。外观是白色晶体状，其来源主要是海水，是食盐的主要成分。易溶于水、甘油，微溶于乙醇（酒精）、液氨；不溶于浓盐酸。不纯的氯化钠在空气中有潮解性。稳定性比较好，其水溶液呈中性。</w:t>
                  </w:r>
                </w:p>
                <w:p w14:paraId="762C10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柠檬酸：是一种重要的有机酸，为无色晶体，无臭，有很强的酸味，易溶于水，是酸度调节剂和食品添加剂。</w:t>
                  </w:r>
                </w:p>
                <w:p w14:paraId="06D567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硫酸氢钠：白色单斜晶体，有吸湿性，水溶液显酸性，密度2.1g/cm</w:t>
                  </w:r>
                  <w:r>
                    <w:rPr>
                      <w:rFonts w:hint="eastAsia" w:ascii="宋体" w:hAnsi="宋体" w:eastAsia="宋体" w:cs="宋体"/>
                      <w:color w:val="auto"/>
                      <w:sz w:val="21"/>
                      <w:szCs w:val="21"/>
                      <w:highlight w:val="none"/>
                      <w:vertAlign w:val="superscript"/>
                      <w:lang w:val="en-US" w:eastAsia="zh-CN"/>
                    </w:rPr>
                    <w:t>3</w:t>
                  </w:r>
                  <w:r>
                    <w:rPr>
                      <w:rFonts w:hint="eastAsia" w:ascii="宋体" w:hAnsi="宋体" w:eastAsia="宋体" w:cs="宋体"/>
                      <w:color w:val="auto"/>
                      <w:sz w:val="21"/>
                      <w:szCs w:val="21"/>
                      <w:highlight w:val="none"/>
                      <w:lang w:val="en-US" w:eastAsia="zh-CN"/>
                    </w:rPr>
                    <w:t>，主要用作助熔剂和消毒剂。</w:t>
                  </w:r>
                </w:p>
              </w:tc>
            </w:tr>
            <w:tr w14:paraId="614C83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52" w:type="dxa"/>
                  <w:tcBorders>
                    <w:top w:val="single" w:color="000000" w:sz="10" w:space="0"/>
                    <w:bottom w:val="single" w:color="000000" w:sz="10" w:space="0"/>
                  </w:tcBorders>
                  <w:vAlign w:val="center"/>
                </w:tcPr>
                <w:p w14:paraId="685541B8">
                  <w:pPr>
                    <w:pStyle w:val="57"/>
                    <w:keepNext w:val="0"/>
                    <w:keepLines w:val="0"/>
                    <w:pageBreakBefore w:val="0"/>
                    <w:widowControl w:val="0"/>
                    <w:kinsoku/>
                    <w:wordWrap/>
                    <w:overflowPunct/>
                    <w:topLinePunct w:val="0"/>
                    <w:autoSpaceDE/>
                    <w:autoSpaceDN/>
                    <w:bidi w:val="0"/>
                    <w:adjustRightInd/>
                    <w:snapToGrid/>
                    <w:spacing w:before="54" w:line="229" w:lineRule="auto"/>
                    <w:ind w:left="0" w:leftChars="0" w:firstLine="0" w:firstLineChars="0"/>
                    <w:jc w:val="center"/>
                    <w:textAlignment w:val="auto"/>
                    <w:rPr>
                      <w:rFonts w:hint="eastAsia" w:ascii="宋体" w:hAnsi="宋体" w:eastAsia="宋体" w:cs="宋体"/>
                      <w:color w:val="auto"/>
                      <w:spacing w:val="5"/>
                      <w:sz w:val="21"/>
                      <w:szCs w:val="21"/>
                      <w:lang w:val="en-US" w:eastAsia="zh-CN"/>
                    </w:rPr>
                  </w:pPr>
                  <w:r>
                    <w:rPr>
                      <w:rFonts w:hint="eastAsia" w:ascii="宋体" w:hAnsi="宋体" w:eastAsia="宋体" w:cs="宋体"/>
                      <w:color w:val="auto"/>
                      <w:spacing w:val="5"/>
                      <w:sz w:val="21"/>
                      <w:szCs w:val="21"/>
                      <w:lang w:val="en-US" w:eastAsia="zh-CN"/>
                    </w:rPr>
                    <w:t>3</w:t>
                  </w:r>
                </w:p>
              </w:tc>
              <w:tc>
                <w:tcPr>
                  <w:tcW w:w="832" w:type="dxa"/>
                  <w:tcBorders>
                    <w:top w:val="single" w:color="000000" w:sz="10" w:space="0"/>
                    <w:bottom w:val="single" w:color="000000" w:sz="10" w:space="0"/>
                  </w:tcBorders>
                  <w:vAlign w:val="center"/>
                </w:tcPr>
                <w:p w14:paraId="3F9A91B2">
                  <w:pPr>
                    <w:spacing w:line="240" w:lineRule="auto"/>
                    <w:ind w:firstLine="0" w:firstLineChars="0"/>
                    <w:jc w:val="center"/>
                    <w:rPr>
                      <w:rFonts w:hint="eastAsia"/>
                      <w:color w:val="auto"/>
                      <w:sz w:val="21"/>
                      <w:szCs w:val="21"/>
                    </w:rPr>
                  </w:pPr>
                  <w:r>
                    <w:rPr>
                      <w:rFonts w:hint="eastAsia"/>
                      <w:color w:val="auto"/>
                      <w:sz w:val="21"/>
                      <w:szCs w:val="21"/>
                    </w:rPr>
                    <w:t>多酶清洗液</w:t>
                  </w:r>
                </w:p>
              </w:tc>
              <w:tc>
                <w:tcPr>
                  <w:tcW w:w="6866" w:type="dxa"/>
                  <w:tcBorders>
                    <w:top w:val="single" w:color="000000" w:sz="10" w:space="0"/>
                    <w:bottom w:val="single" w:color="000000" w:sz="10" w:space="0"/>
                  </w:tcBorders>
                  <w:vAlign w:val="center"/>
                </w:tcPr>
                <w:p w14:paraId="0B3620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多酶清洗液是医疗器械清洗专用制剂，通过蛋白酶、脂肪酶、纤维素酶、淀粉酶等多酶协同作用分解有机污染物。适用于消毒机、超声波清洗机等设备，可处理软硬式内窥镜、外科器械、管道、医用塑料等医疗器械的清洗需求。使用时需按污染程度进行100-200倍稀释，建议控制水温在10℃-60℃范围内，浸泡时间2-10分钟。</w:t>
                  </w:r>
                </w:p>
              </w:tc>
            </w:tr>
            <w:tr w14:paraId="75D2DC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52" w:type="dxa"/>
                  <w:tcBorders>
                    <w:top w:val="single" w:color="000000" w:sz="10" w:space="0"/>
                    <w:bottom w:val="single" w:color="000000" w:sz="10" w:space="0"/>
                  </w:tcBorders>
                  <w:vAlign w:val="center"/>
                </w:tcPr>
                <w:p w14:paraId="48D20EB3">
                  <w:pPr>
                    <w:pStyle w:val="57"/>
                    <w:keepNext w:val="0"/>
                    <w:keepLines w:val="0"/>
                    <w:pageBreakBefore w:val="0"/>
                    <w:widowControl w:val="0"/>
                    <w:kinsoku/>
                    <w:wordWrap/>
                    <w:overflowPunct/>
                    <w:topLinePunct w:val="0"/>
                    <w:autoSpaceDE/>
                    <w:autoSpaceDN/>
                    <w:bidi w:val="0"/>
                    <w:adjustRightInd/>
                    <w:snapToGrid/>
                    <w:spacing w:before="54" w:line="229" w:lineRule="auto"/>
                    <w:ind w:left="0" w:leftChars="0" w:firstLine="0" w:firstLineChars="0"/>
                    <w:jc w:val="center"/>
                    <w:textAlignment w:val="auto"/>
                    <w:rPr>
                      <w:rFonts w:hint="default" w:ascii="宋体" w:hAnsi="宋体" w:eastAsia="宋体" w:cs="宋体"/>
                      <w:color w:val="auto"/>
                      <w:spacing w:val="5"/>
                      <w:sz w:val="21"/>
                      <w:szCs w:val="21"/>
                      <w:lang w:val="en-US" w:eastAsia="zh-CN"/>
                    </w:rPr>
                  </w:pPr>
                  <w:r>
                    <w:rPr>
                      <w:rFonts w:hint="eastAsia" w:cs="宋体"/>
                      <w:color w:val="auto"/>
                      <w:spacing w:val="5"/>
                      <w:sz w:val="21"/>
                      <w:szCs w:val="21"/>
                      <w:lang w:val="en-US" w:eastAsia="zh-CN"/>
                    </w:rPr>
                    <w:t>4</w:t>
                  </w:r>
                </w:p>
              </w:tc>
              <w:tc>
                <w:tcPr>
                  <w:tcW w:w="832" w:type="dxa"/>
                  <w:tcBorders>
                    <w:top w:val="single" w:color="000000" w:sz="10" w:space="0"/>
                    <w:bottom w:val="single" w:color="000000" w:sz="10" w:space="0"/>
                  </w:tcBorders>
                  <w:vAlign w:val="center"/>
                </w:tcPr>
                <w:p w14:paraId="485B5608">
                  <w:pPr>
                    <w:spacing w:line="240" w:lineRule="auto"/>
                    <w:ind w:firstLine="0" w:firstLineChars="0"/>
                    <w:jc w:val="center"/>
                    <w:rPr>
                      <w:rFonts w:hint="eastAsia"/>
                      <w:color w:val="auto"/>
                      <w:sz w:val="21"/>
                      <w:szCs w:val="21"/>
                    </w:rPr>
                  </w:pPr>
                  <w:r>
                    <w:rPr>
                      <w:rFonts w:hint="eastAsia"/>
                      <w:color w:val="auto"/>
                      <w:sz w:val="21"/>
                      <w:szCs w:val="21"/>
                      <w:lang w:val="en-US" w:eastAsia="zh-CN"/>
                    </w:rPr>
                    <w:t>2%甲醛灭菌剂、邻苯二甲醛消毒液</w:t>
                  </w:r>
                </w:p>
              </w:tc>
              <w:tc>
                <w:tcPr>
                  <w:tcW w:w="6866" w:type="dxa"/>
                  <w:tcBorders>
                    <w:top w:val="single" w:color="000000" w:sz="10" w:space="0"/>
                    <w:bottom w:val="single" w:color="000000" w:sz="10" w:space="0"/>
                  </w:tcBorders>
                  <w:vAlign w:val="center"/>
                </w:tcPr>
                <w:p w14:paraId="72AC8C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2%甲醛灭菌剂（邻苯二甲醛）是一种高效消毒剂，具有强杀菌能力且安全性较高。</w:t>
                  </w:r>
                </w:p>
                <w:p w14:paraId="78F726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外观‌：淡黄色或黄色结晶性粉末，对光和空气敏感，易随水蒸气挥发。‌</w:t>
                  </w:r>
                </w:p>
                <w:p w14:paraId="3A1C31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‌溶解性‌：溶于水、乙醇、乙醚和有机溶剂，微溶于石油醚。‌</w:t>
                  </w:r>
                </w:p>
                <w:p w14:paraId="12870D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‌稳定性‌：在pH3-9范围内稳定，溶液可连续使用14天以上。</w:t>
                  </w:r>
                </w:p>
                <w:p w14:paraId="30ABCC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‌杀菌范围‌：对细菌、真菌、病毒、芽孢及寄生虫均有强杀灭作用，尤其对戊二醛耐药结核分枝杆菌效果显著。‌</w:t>
                  </w:r>
                </w:p>
                <w:p w14:paraId="2D51E3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‌使用浓度‌：0.55-1.0%浓度即可实现高效灭菌，作用时间短（2-3分钟杀灭细菌繁殖体，1.5-2小时杀灭芽孢）。‌</w:t>
                  </w:r>
                </w:p>
                <w:p w14:paraId="1370AA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‌安全性‌：毒性低（急性毒性LD50≥6500mg/kg），无刺激性气味，对皮肤、金属和塑料无腐蚀。‌</w:t>
                  </w:r>
                </w:p>
              </w:tc>
            </w:tr>
          </w:tbl>
          <w:p w14:paraId="21672DDF">
            <w:pPr>
              <w:pStyle w:val="54"/>
              <w:numPr>
                <w:ilvl w:val="0"/>
                <w:numId w:val="0"/>
              </w:numPr>
              <w:bidi w:val="0"/>
              <w:ind w:leftChars="200"/>
              <w:jc w:val="both"/>
              <w:rPr>
                <w:rFonts w:hint="default"/>
                <w:color w:val="auto"/>
                <w:lang w:val="en-US" w:eastAsia="zh-CN"/>
              </w:rPr>
            </w:pPr>
            <w:r>
              <w:rPr>
                <w:rFonts w:hint="eastAsia"/>
                <w:color w:val="auto"/>
                <w:lang w:val="en-US" w:eastAsia="zh-CN"/>
              </w:rPr>
              <w:t>（5）项目药品清单</w:t>
            </w:r>
          </w:p>
          <w:p w14:paraId="41DF76B9">
            <w:pPr>
              <w:pStyle w:val="38"/>
              <w:rPr>
                <w:rFonts w:ascii="Times New Roman" w:hAnsi="Times New Roman" w:eastAsia="宋体"/>
                <w:b/>
                <w:bCs/>
                <w:color w:val="auto"/>
                <w:highlight w:val="none"/>
              </w:rPr>
            </w:pPr>
            <w:r>
              <w:rPr>
                <w:rFonts w:ascii="Times New Roman" w:hAnsi="Times New Roman" w:eastAsia="宋体"/>
                <w:b/>
                <w:bCs/>
                <w:color w:val="auto"/>
                <w:highlight w:val="none"/>
              </w:rPr>
              <w:t>表2-</w:t>
            </w:r>
            <w:r>
              <w:rPr>
                <w:rFonts w:hint="eastAsia" w:ascii="Times New Roman" w:hAnsi="Times New Roman" w:eastAsia="宋体"/>
                <w:b/>
                <w:bCs/>
                <w:color w:val="auto"/>
                <w:highlight w:val="none"/>
                <w:lang w:val="en-US" w:eastAsia="zh-CN"/>
              </w:rPr>
              <w:t>10江川区医共体总医院</w:t>
            </w:r>
            <w:r>
              <w:rPr>
                <w:rFonts w:ascii="Times New Roman" w:hAnsi="Times New Roman" w:eastAsia="宋体"/>
                <w:b/>
                <w:bCs/>
                <w:color w:val="auto"/>
                <w:highlight w:val="none"/>
              </w:rPr>
              <w:t>项目</w:t>
            </w:r>
            <w:r>
              <w:rPr>
                <w:rFonts w:hint="eastAsia" w:ascii="Times New Roman" w:hAnsi="Times New Roman" w:eastAsia="宋体"/>
                <w:b/>
                <w:bCs/>
                <w:color w:val="auto"/>
                <w:highlight w:val="none"/>
                <w:lang w:val="en-US" w:eastAsia="zh-CN"/>
              </w:rPr>
              <w:t>药品消耗</w:t>
            </w:r>
            <w:r>
              <w:rPr>
                <w:rFonts w:ascii="Times New Roman" w:hAnsi="Times New Roman" w:eastAsia="宋体"/>
                <w:b/>
                <w:bCs/>
                <w:color w:val="auto"/>
                <w:highlight w:val="none"/>
              </w:rPr>
              <w:t>情况表</w:t>
            </w:r>
          </w:p>
          <w:tbl>
            <w:tblPr>
              <w:tblStyle w:val="19"/>
              <w:tblW w:w="9390" w:type="dxa"/>
              <w:tblInd w:w="-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704"/>
              <w:gridCol w:w="1546"/>
              <w:gridCol w:w="1228"/>
            </w:tblGrid>
            <w:tr w14:paraId="294C8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BFC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名称</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77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年用量</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25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单位</w:t>
                  </w:r>
                </w:p>
              </w:tc>
            </w:tr>
            <w:tr w14:paraId="619E4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8B2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诊断试剂/药盒/疫苗/生物制品</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B5E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15611</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6B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w:t>
                  </w:r>
                </w:p>
              </w:tc>
            </w:tr>
            <w:tr w14:paraId="2AE96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A26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吸入剂/喷雾剂/气雾剂/粉雾剂</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7F6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123090</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AB1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w:t>
                  </w:r>
                </w:p>
              </w:tc>
            </w:tr>
            <w:tr w14:paraId="7D148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95C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口服溶液/混悬液/滴剂/糖浆/口服液</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341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29645</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B9F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瓶</w:t>
                  </w:r>
                </w:p>
              </w:tc>
            </w:tr>
            <w:tr w14:paraId="0A8CD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191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注射液（含粉针剂、溶媒）</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855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519805</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642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支/瓶/袋</w:t>
                  </w:r>
                </w:p>
              </w:tc>
            </w:tr>
            <w:tr w14:paraId="634DB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C23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注射用粉针剂（无菌粉末）</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D9F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208538</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67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w:t>
                  </w:r>
                </w:p>
              </w:tc>
            </w:tr>
            <w:tr w14:paraId="606C6D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970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口服固体制剂（片/丸/胶囊/颗粒/散/栓）</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4D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11527304</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E2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片/粒</w:t>
                  </w:r>
                </w:p>
              </w:tc>
            </w:tr>
            <w:tr w14:paraId="034D77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23F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外用制剂（膏/胶/贴/液/洗剂/酊/油等）</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6F4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20541</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11A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w:t>
                  </w:r>
                </w:p>
              </w:tc>
            </w:tr>
            <w:tr w14:paraId="489F1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D3D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眼用/耳用/鼻用制剂（滴眼液/眼膏/滴耳液/鼻喷雾剂）</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0FD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46027</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F04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支</w:t>
                  </w:r>
                </w:p>
              </w:tc>
            </w:tr>
            <w:tr w14:paraId="63E9D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289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肠内外营养/电解质/透析液</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41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9306</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4EC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瓶</w:t>
                  </w:r>
                </w:p>
              </w:tc>
            </w:tr>
          </w:tbl>
          <w:p w14:paraId="75C3FBE9">
            <w:pPr>
              <w:pStyle w:val="38"/>
              <w:rPr>
                <w:rFonts w:ascii="Times New Roman" w:hAnsi="Times New Roman" w:eastAsia="宋体"/>
                <w:b/>
                <w:bCs/>
                <w:color w:val="auto"/>
                <w:highlight w:val="none"/>
              </w:rPr>
            </w:pPr>
          </w:p>
          <w:p w14:paraId="4129373B">
            <w:pPr>
              <w:pStyle w:val="38"/>
              <w:rPr>
                <w:rFonts w:ascii="Times New Roman" w:hAnsi="Times New Roman" w:eastAsia="宋体"/>
                <w:b/>
                <w:bCs/>
                <w:color w:val="auto"/>
                <w:highlight w:val="none"/>
              </w:rPr>
            </w:pPr>
            <w:r>
              <w:rPr>
                <w:rFonts w:ascii="Times New Roman" w:hAnsi="Times New Roman" w:eastAsia="宋体"/>
                <w:b/>
                <w:bCs/>
                <w:color w:val="auto"/>
                <w:highlight w:val="none"/>
              </w:rPr>
              <w:t>表2-</w:t>
            </w:r>
            <w:r>
              <w:rPr>
                <w:rFonts w:hint="eastAsia" w:ascii="Times New Roman" w:hAnsi="Times New Roman" w:eastAsia="宋体"/>
                <w:b/>
                <w:bCs/>
                <w:color w:val="auto"/>
                <w:highlight w:val="none"/>
                <w:lang w:val="en-US" w:eastAsia="zh-CN"/>
              </w:rPr>
              <w:t>11江城卫生院</w:t>
            </w:r>
            <w:r>
              <w:rPr>
                <w:rFonts w:ascii="Times New Roman" w:hAnsi="Times New Roman" w:eastAsia="宋体"/>
                <w:b/>
                <w:bCs/>
                <w:color w:val="auto"/>
                <w:highlight w:val="none"/>
              </w:rPr>
              <w:t>项目</w:t>
            </w:r>
            <w:r>
              <w:rPr>
                <w:rFonts w:hint="eastAsia" w:ascii="Times New Roman" w:hAnsi="Times New Roman" w:eastAsia="宋体"/>
                <w:b/>
                <w:bCs/>
                <w:color w:val="auto"/>
                <w:highlight w:val="none"/>
                <w:lang w:val="en-US" w:eastAsia="zh-CN"/>
              </w:rPr>
              <w:t>药品消耗</w:t>
            </w:r>
            <w:r>
              <w:rPr>
                <w:rFonts w:ascii="Times New Roman" w:hAnsi="Times New Roman" w:eastAsia="宋体"/>
                <w:b/>
                <w:bCs/>
                <w:color w:val="auto"/>
                <w:highlight w:val="none"/>
              </w:rPr>
              <w:t>情况表</w:t>
            </w:r>
          </w:p>
          <w:tbl>
            <w:tblPr>
              <w:tblStyle w:val="19"/>
              <w:tblW w:w="75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05"/>
              <w:gridCol w:w="2178"/>
              <w:gridCol w:w="1622"/>
              <w:gridCol w:w="1620"/>
              <w:gridCol w:w="1153"/>
            </w:tblGrid>
            <w:tr w14:paraId="758F4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CCE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类别</w:t>
                  </w:r>
                </w:p>
              </w:tc>
              <w:tc>
                <w:tcPr>
                  <w:tcW w:w="1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2ED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91C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规格</w:t>
                  </w: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6BF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单位</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020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年用量</w:t>
                  </w:r>
                </w:p>
              </w:tc>
            </w:tr>
            <w:tr w14:paraId="7CC1F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01C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药品类</w:t>
                  </w: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229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奥硝唑氯化钠注射液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0BF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90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AF4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613</w:t>
                  </w:r>
                </w:p>
              </w:tc>
            </w:tr>
            <w:tr w14:paraId="15FB3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2DC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8D0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丙泊酚乳状注射液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F15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A91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6AC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199</w:t>
                  </w:r>
                </w:p>
              </w:tc>
            </w:tr>
            <w:tr w14:paraId="15942F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D31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194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碘海醇注射液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33C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E21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CF2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r>
            <w:tr w14:paraId="324F1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772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5E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复方氨基酸注射液(18AA)</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E70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6D04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AA5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14:paraId="78DAC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672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7936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复方氯化钠注射液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A0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4F0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517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232</w:t>
                  </w:r>
                </w:p>
              </w:tc>
            </w:tr>
            <w:tr w14:paraId="4380F7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2F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39BF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甘露醇注射液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E4D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DE2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B71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5546</w:t>
                  </w:r>
                </w:p>
              </w:tc>
            </w:tr>
            <w:tr w14:paraId="5A23E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DAC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12C4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0.9%氯化钠注射液</w:t>
                  </w:r>
                </w:p>
              </w:tc>
              <w:tc>
                <w:tcPr>
                  <w:tcW w:w="10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06FA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100ml、150ml</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250ml、500ml</w:t>
                  </w:r>
                </w:p>
              </w:tc>
              <w:tc>
                <w:tcPr>
                  <w:tcW w:w="10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04AB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袋</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692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62161</w:t>
                  </w:r>
                </w:p>
              </w:tc>
            </w:tr>
            <w:tr w14:paraId="38642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3EC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81A7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107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203F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558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0B75FB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6E4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EEC7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0BEF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BA78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2BC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2F296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9CE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0C6D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8CEB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52B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094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06B7B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692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8993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2FF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DF9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F5A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5BF7B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466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3DB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葡萄糖氯化钠注射液</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F47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250ml</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349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袋</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2C6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281</w:t>
                  </w:r>
                </w:p>
              </w:tc>
            </w:tr>
            <w:tr w14:paraId="117FE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BCE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68F0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5%葡萄糖注射液</w:t>
                  </w:r>
                </w:p>
              </w:tc>
              <w:tc>
                <w:tcPr>
                  <w:tcW w:w="10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F458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100ml、150ml、250ml、500ml</w:t>
                  </w:r>
                </w:p>
              </w:tc>
              <w:tc>
                <w:tcPr>
                  <w:tcW w:w="10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7237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袋、瓶</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00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62904</w:t>
                  </w:r>
                </w:p>
              </w:tc>
            </w:tr>
            <w:tr w14:paraId="01D4BE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30F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3E82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3E25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F99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F88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2ED17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60E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40D7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D15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0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7FA4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43C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r>
            <w:tr w14:paraId="74539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6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C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类别</w:t>
                  </w:r>
                </w:p>
              </w:tc>
              <w:tc>
                <w:tcPr>
                  <w:tcW w:w="1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20E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名称</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7E99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最大储存量</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8F4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单位</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CC3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年使用量</w:t>
                  </w:r>
                </w:p>
              </w:tc>
            </w:tr>
            <w:tr w14:paraId="4367D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66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7FF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医用药品</w:t>
                  </w:r>
                </w:p>
              </w:tc>
              <w:tc>
                <w:tcPr>
                  <w:tcW w:w="1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B0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其他</w:t>
                  </w:r>
                  <w:r>
                    <w:rPr>
                      <w:rFonts w:hint="default" w:ascii="Times New Roman" w:hAnsi="Times New Roman" w:eastAsia="宋体" w:cs="Times New Roman"/>
                      <w:color w:val="auto"/>
                      <w:sz w:val="21"/>
                      <w:szCs w:val="21"/>
                      <w:highlight w:val="none"/>
                      <w:lang w:val="en-US" w:eastAsia="zh-CN"/>
                    </w:rPr>
                    <w:t>针剂药品</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ADE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243746</w:t>
                  </w: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AEC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支、瓶</w:t>
                  </w:r>
                </w:p>
              </w:tc>
              <w:tc>
                <w:tcPr>
                  <w:tcW w:w="7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838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50000</w:t>
                  </w:r>
                </w:p>
              </w:tc>
            </w:tr>
            <w:tr w14:paraId="31310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0" w:hRule="atLeast"/>
                <w:jc w:val="center"/>
              </w:trPr>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EF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p>
              </w:tc>
              <w:tc>
                <w:tcPr>
                  <w:tcW w:w="1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80E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口服药品</w:t>
                  </w:r>
                </w:p>
              </w:tc>
              <w:tc>
                <w:tcPr>
                  <w:tcW w:w="10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FE5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4521598</w:t>
                  </w: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0E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包、袋、盒、粒、片、瓶、贴、丸、支</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8EA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600000</w:t>
                  </w:r>
                </w:p>
              </w:tc>
            </w:tr>
          </w:tbl>
          <w:p w14:paraId="175F39E7">
            <w:pPr>
              <w:pStyle w:val="54"/>
              <w:numPr>
                <w:ilvl w:val="0"/>
                <w:numId w:val="0"/>
              </w:numPr>
              <w:bidi w:val="0"/>
              <w:ind w:leftChars="200"/>
              <w:jc w:val="both"/>
              <w:rPr>
                <w:rFonts w:hint="eastAsia"/>
                <w:color w:val="auto"/>
                <w:lang w:val="en-US" w:eastAsia="zh-CN"/>
              </w:rPr>
            </w:pPr>
          </w:p>
          <w:p w14:paraId="382C0686">
            <w:pPr>
              <w:pStyle w:val="54"/>
              <w:numPr>
                <w:ilvl w:val="0"/>
                <w:numId w:val="0"/>
              </w:numPr>
              <w:bidi w:val="0"/>
              <w:ind w:leftChars="200"/>
              <w:jc w:val="both"/>
              <w:rPr>
                <w:rFonts w:hint="default" w:eastAsia="宋体"/>
                <w:color w:val="auto"/>
                <w:lang w:val="en-US" w:eastAsia="zh-CN"/>
              </w:rPr>
            </w:pPr>
            <w:r>
              <w:rPr>
                <w:rFonts w:hint="eastAsia"/>
                <w:color w:val="auto"/>
                <w:lang w:val="en-US" w:eastAsia="zh-CN"/>
              </w:rPr>
              <w:t>（6）</w:t>
            </w:r>
            <w:r>
              <w:rPr>
                <w:color w:val="auto"/>
              </w:rPr>
              <w:t>原有项目运营期产污环节</w:t>
            </w:r>
          </w:p>
          <w:p w14:paraId="73ED4380">
            <w:pPr>
              <w:ind w:firstLine="480"/>
              <w:rPr>
                <w:color w:val="auto"/>
              </w:rPr>
            </w:pPr>
            <w:r>
              <w:rPr>
                <w:color w:val="auto"/>
                <w:szCs w:val="24"/>
              </w:rPr>
              <w:t>原项目为江川县人民医院门诊、医技楼</w:t>
            </w:r>
            <w:r>
              <w:rPr>
                <w:rFonts w:hint="eastAsia"/>
                <w:color w:val="auto"/>
                <w:szCs w:val="24"/>
                <w:lang w:eastAsia="zh-CN"/>
              </w:rPr>
              <w:t>、</w:t>
            </w:r>
            <w:r>
              <w:rPr>
                <w:rFonts w:hint="eastAsia"/>
                <w:color w:val="auto"/>
                <w:szCs w:val="24"/>
                <w:lang w:val="en-US" w:eastAsia="zh-CN"/>
              </w:rPr>
              <w:t>综合口</w:t>
            </w:r>
            <w:r>
              <w:rPr>
                <w:color w:val="auto"/>
                <w:szCs w:val="24"/>
              </w:rPr>
              <w:t>建设项目</w:t>
            </w:r>
            <w:r>
              <w:rPr>
                <w:rFonts w:hint="eastAsia"/>
                <w:color w:val="auto"/>
                <w:szCs w:val="24"/>
                <w:lang w:val="en-US" w:eastAsia="zh-CN"/>
              </w:rPr>
              <w:t>及</w:t>
            </w:r>
            <w:r>
              <w:rPr>
                <w:rFonts w:hint="eastAsia" w:ascii="仿宋_GB2312" w:hAnsi="宋体"/>
                <w:color w:val="auto"/>
                <w:szCs w:val="32"/>
                <w:lang w:eastAsia="zh-CN"/>
              </w:rPr>
              <w:t>江城镇</w:t>
            </w:r>
            <w:r>
              <w:rPr>
                <w:rFonts w:hint="eastAsia" w:ascii="仿宋_GB2312" w:hAnsi="宋体"/>
                <w:color w:val="auto"/>
                <w:szCs w:val="32"/>
              </w:rPr>
              <w:t>中心卫生院业务用房环境影响登记表</w:t>
            </w:r>
            <w:r>
              <w:rPr>
                <w:color w:val="auto"/>
                <w:szCs w:val="24"/>
              </w:rPr>
              <w:t>，项目运营期废水污染物主要为各科室及病房产生的医疗废水，就诊人员生活污水，医护人员办公废水，清洁废水等；</w:t>
            </w:r>
            <w:r>
              <w:rPr>
                <w:color w:val="auto"/>
              </w:rPr>
              <w:t>废气污染物主要来源于备用发电机燃油废气、污水处理设施异味、医疗固废异味及生活垃圾异味等；噪声污染主要来源于配电房、电梯间、水泵房、备用发电机等；固体废物主要为医疗固废、污水处理设施产生的污泥和生活垃圾，其中医疗固废包括感染性废物、病理性废物、损伤性废物、药物性废物、化学性废物等。</w:t>
            </w:r>
          </w:p>
          <w:p w14:paraId="0B81E1FE">
            <w:pPr>
              <w:ind w:firstLine="0" w:firstLineChars="0"/>
              <w:jc w:val="center"/>
              <w:rPr>
                <w:color w:val="auto"/>
              </w:rPr>
            </w:pPr>
            <w:r>
              <w:rPr>
                <w:color w:val="auto"/>
              </w:rPr>
              <w:drawing>
                <wp:inline distT="0" distB="0" distL="0" distR="0">
                  <wp:extent cx="4831715" cy="2675890"/>
                  <wp:effectExtent l="0" t="0" r="6985" b="0"/>
                  <wp:docPr id="527253770" name="图片 52725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53770" name="图片 527253770"/>
                          <pic:cNvPicPr>
                            <a:picLocks noChangeAspect="1"/>
                          </pic:cNvPicPr>
                        </pic:nvPicPr>
                        <pic:blipFill>
                          <a:blip r:embed="rId19"/>
                          <a:stretch>
                            <a:fillRect/>
                          </a:stretch>
                        </pic:blipFill>
                        <pic:spPr>
                          <a:xfrm>
                            <a:off x="0" y="0"/>
                            <a:ext cx="4874107" cy="2699693"/>
                          </a:xfrm>
                          <a:prstGeom prst="rect">
                            <a:avLst/>
                          </a:prstGeom>
                        </pic:spPr>
                      </pic:pic>
                    </a:graphicData>
                  </a:graphic>
                </wp:inline>
              </w:drawing>
            </w:r>
          </w:p>
          <w:p w14:paraId="58641C53">
            <w:pPr>
              <w:widowControl/>
              <w:ind w:firstLine="480"/>
              <w:jc w:val="center"/>
              <w:rPr>
                <w:b/>
                <w:bCs/>
                <w:color w:val="auto"/>
                <w:kern w:val="0"/>
                <w:szCs w:val="24"/>
                <w:lang w:bidi="ar"/>
              </w:rPr>
            </w:pPr>
            <w:r>
              <w:rPr>
                <w:color w:val="auto"/>
                <w:szCs w:val="24"/>
              </w:rPr>
              <w:t>图2-1</w:t>
            </w:r>
            <w:r>
              <w:rPr>
                <w:rFonts w:hint="eastAsia"/>
                <w:color w:val="auto"/>
                <w:szCs w:val="24"/>
              </w:rPr>
              <w:t>原有项目</w:t>
            </w:r>
            <w:r>
              <w:rPr>
                <w:color w:val="auto"/>
                <w:szCs w:val="24"/>
              </w:rPr>
              <w:t>运营期产污环节示意图</w:t>
            </w:r>
          </w:p>
          <w:p w14:paraId="35C41AD8">
            <w:pPr>
              <w:widowControl/>
              <w:numPr>
                <w:ilvl w:val="0"/>
                <w:numId w:val="3"/>
              </w:numPr>
              <w:ind w:firstLine="482"/>
              <w:jc w:val="left"/>
              <w:rPr>
                <w:b/>
                <w:bCs/>
                <w:color w:val="auto"/>
                <w:kern w:val="0"/>
                <w:szCs w:val="24"/>
                <w:lang w:bidi="ar"/>
              </w:rPr>
            </w:pPr>
            <w:r>
              <w:rPr>
                <w:b/>
                <w:bCs/>
                <w:color w:val="auto"/>
                <w:kern w:val="0"/>
                <w:szCs w:val="24"/>
                <w:lang w:bidi="ar"/>
              </w:rPr>
              <w:t>工作制度和劳动定员</w:t>
            </w:r>
          </w:p>
          <w:p w14:paraId="15160FC4">
            <w:pPr>
              <w:widowControl/>
              <w:numPr>
                <w:ilvl w:val="0"/>
                <w:numId w:val="0"/>
              </w:numPr>
              <w:ind w:firstLine="482" w:firstLineChars="200"/>
              <w:jc w:val="left"/>
              <w:rPr>
                <w:b/>
                <w:bCs/>
                <w:color w:val="auto"/>
                <w:kern w:val="0"/>
                <w:szCs w:val="24"/>
                <w:highlight w:val="none"/>
                <w:lang w:bidi="ar"/>
              </w:rPr>
            </w:pPr>
            <w:r>
              <w:rPr>
                <w:rFonts w:hint="eastAsia" w:ascii="Times New Roman" w:hAnsi="Times New Roman" w:eastAsia="宋体"/>
                <w:b/>
                <w:bCs/>
                <w:color w:val="auto"/>
                <w:highlight w:val="none"/>
                <w:lang w:val="en-US" w:eastAsia="zh-CN"/>
              </w:rPr>
              <w:t>江川区医共体总医院</w:t>
            </w:r>
            <w:r>
              <w:rPr>
                <w:rFonts w:hint="eastAsia"/>
                <w:b/>
                <w:bCs/>
                <w:color w:val="auto"/>
                <w:highlight w:val="none"/>
                <w:lang w:val="en-US" w:eastAsia="zh-CN"/>
              </w:rPr>
              <w:t>：</w:t>
            </w:r>
          </w:p>
          <w:p w14:paraId="13C7CD26">
            <w:pPr>
              <w:widowControl/>
              <w:ind w:firstLine="480"/>
              <w:jc w:val="left"/>
              <w:rPr>
                <w:color w:val="auto"/>
                <w:kern w:val="0"/>
                <w:szCs w:val="24"/>
                <w:highlight w:val="none"/>
                <w:lang w:bidi="ar"/>
              </w:rPr>
            </w:pPr>
            <w:r>
              <w:rPr>
                <w:color w:val="auto"/>
                <w:highlight w:val="none"/>
              </w:rPr>
              <w:t>目前全院在岗职工</w:t>
            </w:r>
            <w:r>
              <w:rPr>
                <w:rFonts w:hint="eastAsia"/>
                <w:color w:val="auto"/>
                <w:highlight w:val="none"/>
                <w:lang w:val="en-US" w:eastAsia="zh-CN"/>
              </w:rPr>
              <w:t>780</w:t>
            </w:r>
            <w:r>
              <w:rPr>
                <w:color w:val="auto"/>
                <w:highlight w:val="none"/>
              </w:rPr>
              <w:t>人，</w:t>
            </w:r>
            <w:r>
              <w:rPr>
                <w:rFonts w:hint="eastAsia"/>
                <w:color w:val="auto"/>
                <w:highlight w:val="none"/>
                <w:lang w:val="en-US" w:eastAsia="zh-CN"/>
              </w:rPr>
              <w:t>改造后不新增职工，</w:t>
            </w:r>
            <w:r>
              <w:rPr>
                <w:rFonts w:hint="eastAsia"/>
                <w:color w:val="auto"/>
                <w:highlight w:val="none"/>
                <w:lang w:val="en-US" w:eastAsia="zh-CN"/>
              </w:rPr>
              <w:t>实行内部调剂</w:t>
            </w:r>
            <w:r>
              <w:rPr>
                <w:rFonts w:hint="eastAsia"/>
                <w:color w:val="auto"/>
                <w:highlight w:val="none"/>
                <w:lang w:val="en-US" w:eastAsia="zh-CN"/>
              </w:rPr>
              <w:t>，</w:t>
            </w:r>
            <w:r>
              <w:rPr>
                <w:color w:val="auto"/>
                <w:kern w:val="0"/>
                <w:szCs w:val="24"/>
                <w:highlight w:val="none"/>
                <w:lang w:bidi="ar"/>
              </w:rPr>
              <w:t>年工作时间365天。</w:t>
            </w:r>
          </w:p>
          <w:p w14:paraId="76FD7E33">
            <w:pPr>
              <w:widowControl/>
              <w:numPr>
                <w:ilvl w:val="0"/>
                <w:numId w:val="0"/>
              </w:numPr>
              <w:ind w:firstLine="482" w:firstLineChars="200"/>
              <w:jc w:val="left"/>
              <w:rPr>
                <w:rFonts w:hint="eastAsia" w:ascii="Times New Roman" w:hAnsi="Times New Roman" w:eastAsia="宋体"/>
                <w:b/>
                <w:bCs/>
                <w:color w:val="auto"/>
                <w:highlight w:val="none"/>
                <w:lang w:val="en-US" w:eastAsia="zh-CN"/>
              </w:rPr>
            </w:pPr>
            <w:r>
              <w:rPr>
                <w:rFonts w:hint="eastAsia" w:ascii="Times New Roman" w:hAnsi="Times New Roman" w:eastAsia="宋体"/>
                <w:b/>
                <w:bCs/>
                <w:color w:val="auto"/>
                <w:highlight w:val="none"/>
                <w:lang w:val="en-US" w:eastAsia="zh-CN"/>
              </w:rPr>
              <w:t>江城镇卫生院：</w:t>
            </w:r>
          </w:p>
          <w:p w14:paraId="5995E683">
            <w:pPr>
              <w:widowControl/>
              <w:ind w:firstLine="480"/>
              <w:jc w:val="left"/>
              <w:rPr>
                <w:rFonts w:hint="default"/>
                <w:color w:val="auto"/>
                <w:highlight w:val="none"/>
                <w:lang w:val="en-US" w:eastAsia="zh-CN"/>
              </w:rPr>
            </w:pPr>
            <w:r>
              <w:rPr>
                <w:rFonts w:hint="eastAsia"/>
                <w:color w:val="auto"/>
                <w:highlight w:val="none"/>
                <w:lang w:val="en-US" w:eastAsia="zh-CN"/>
              </w:rPr>
              <w:t>目前全院职工110人，</w:t>
            </w:r>
            <w:r>
              <w:rPr>
                <w:color w:val="auto"/>
                <w:highlight w:val="none"/>
              </w:rPr>
              <w:t>年工作时间365天</w:t>
            </w:r>
            <w:r>
              <w:rPr>
                <w:rFonts w:hint="eastAsia"/>
                <w:color w:val="auto"/>
                <w:highlight w:val="none"/>
                <w:lang w:eastAsia="zh-CN"/>
              </w:rPr>
              <w:t>，</w:t>
            </w:r>
            <w:r>
              <w:rPr>
                <w:rFonts w:hint="eastAsia"/>
                <w:color w:val="auto"/>
                <w:highlight w:val="none"/>
                <w:lang w:val="en-US" w:eastAsia="zh-CN"/>
              </w:rPr>
              <w:t>扩建后实行内部调剂，不新增职工。</w:t>
            </w:r>
          </w:p>
          <w:p w14:paraId="0E79F3D4">
            <w:pPr>
              <w:widowControl/>
              <w:ind w:firstLine="482"/>
              <w:jc w:val="left"/>
              <w:rPr>
                <w:rFonts w:hint="eastAsia" w:eastAsia="宋体"/>
                <w:color w:val="auto"/>
                <w:lang w:eastAsia="zh-CN"/>
              </w:rPr>
            </w:pPr>
            <w:r>
              <w:rPr>
                <w:b/>
                <w:bCs/>
                <w:color w:val="auto"/>
                <w:kern w:val="0"/>
                <w:szCs w:val="24"/>
                <w:lang w:bidi="ar"/>
              </w:rPr>
              <w:t>4、公用工程</w:t>
            </w:r>
          </w:p>
          <w:p w14:paraId="569BDC33">
            <w:pPr>
              <w:widowControl/>
              <w:ind w:firstLine="480"/>
              <w:jc w:val="left"/>
              <w:rPr>
                <w:rFonts w:hint="eastAsia" w:eastAsia="宋体"/>
                <w:color w:val="auto"/>
                <w:lang w:eastAsia="zh-CN"/>
              </w:rPr>
            </w:pPr>
            <w:r>
              <w:rPr>
                <w:color w:val="auto"/>
                <w:kern w:val="0"/>
                <w:szCs w:val="24"/>
                <w:lang w:bidi="ar"/>
              </w:rPr>
              <w:t>（1）给水</w:t>
            </w:r>
          </w:p>
          <w:p w14:paraId="7ADFB3E7">
            <w:pPr>
              <w:widowControl/>
              <w:ind w:firstLine="480"/>
              <w:jc w:val="left"/>
              <w:rPr>
                <w:color w:val="auto"/>
                <w:kern w:val="0"/>
                <w:szCs w:val="24"/>
                <w:lang w:bidi="ar"/>
              </w:rPr>
            </w:pPr>
            <w:r>
              <w:rPr>
                <w:color w:val="auto"/>
                <w:kern w:val="0"/>
                <w:szCs w:val="24"/>
                <w:lang w:bidi="ar"/>
              </w:rPr>
              <w:t>项目用水由自来水管网提供。本次扩建完成后本项目水平衡见图4-1。</w:t>
            </w:r>
          </w:p>
          <w:p w14:paraId="332AF119">
            <w:pPr>
              <w:widowControl/>
              <w:ind w:firstLine="480"/>
              <w:jc w:val="left"/>
              <w:rPr>
                <w:rFonts w:hint="eastAsia" w:eastAsia="宋体"/>
                <w:color w:val="auto"/>
                <w:lang w:eastAsia="zh-CN"/>
              </w:rPr>
            </w:pPr>
            <w:r>
              <w:rPr>
                <w:color w:val="auto"/>
                <w:kern w:val="0"/>
                <w:szCs w:val="24"/>
                <w:lang w:bidi="ar"/>
              </w:rPr>
              <w:t>（2）排水</w:t>
            </w:r>
          </w:p>
          <w:p w14:paraId="28FB699C">
            <w:pPr>
              <w:widowControl/>
              <w:ind w:firstLine="480"/>
              <w:jc w:val="left"/>
              <w:rPr>
                <w:rFonts w:hint="eastAsia" w:eastAsia="宋体"/>
                <w:color w:val="auto"/>
                <w:lang w:eastAsia="zh-CN"/>
              </w:rPr>
            </w:pPr>
            <w:r>
              <w:rPr>
                <w:color w:val="auto"/>
                <w:kern w:val="0"/>
                <w:szCs w:val="24"/>
                <w:lang w:bidi="ar"/>
              </w:rPr>
              <w:t>项目排水采用雨污分流制。项目废水经院区污水处理站处理后排入市政污水管网，</w:t>
            </w:r>
            <w:r>
              <w:rPr>
                <w:rFonts w:hint="eastAsia"/>
                <w:color w:val="auto"/>
                <w:kern w:val="0"/>
                <w:szCs w:val="24"/>
                <w:lang w:val="en-US" w:eastAsia="zh-CN" w:bidi="ar"/>
              </w:rPr>
              <w:t>江川区医共体总院废水</w:t>
            </w:r>
            <w:r>
              <w:rPr>
                <w:color w:val="auto"/>
                <w:kern w:val="0"/>
                <w:szCs w:val="24"/>
                <w:lang w:bidi="ar"/>
              </w:rPr>
              <w:t>进入星云湖南片区污水处理厂</w:t>
            </w:r>
            <w:r>
              <w:rPr>
                <w:rFonts w:hint="eastAsia"/>
                <w:color w:val="auto"/>
                <w:kern w:val="0"/>
                <w:szCs w:val="24"/>
                <w:lang w:eastAsia="zh-CN" w:bidi="ar"/>
              </w:rPr>
              <w:t>；</w:t>
            </w:r>
            <w:r>
              <w:rPr>
                <w:rFonts w:hint="eastAsia"/>
                <w:color w:val="auto"/>
                <w:kern w:val="0"/>
                <w:szCs w:val="24"/>
                <w:lang w:val="en-US" w:eastAsia="zh-CN" w:bidi="ar"/>
              </w:rPr>
              <w:t>江城卫生院原有项目废水进入污水处理站处理后回用于绿化，不外排</w:t>
            </w:r>
            <w:r>
              <w:rPr>
                <w:rFonts w:hint="eastAsia"/>
                <w:color w:val="auto"/>
                <w:lang w:eastAsia="zh-CN"/>
              </w:rPr>
              <w:t>；本次环评整改为进入污水处理站处理后进入市政污水管网最终进入星云湖北片区污水处理厂</w:t>
            </w:r>
            <w:r>
              <w:rPr>
                <w:color w:val="auto"/>
                <w:kern w:val="0"/>
                <w:szCs w:val="24"/>
                <w:lang w:bidi="ar"/>
              </w:rPr>
              <w:t>。</w:t>
            </w:r>
            <w:r>
              <w:rPr>
                <w:rFonts w:hint="eastAsia"/>
                <w:color w:val="auto"/>
                <w:kern w:val="0"/>
                <w:szCs w:val="24"/>
                <w:lang w:val="en-US" w:eastAsia="zh-CN" w:bidi="ar"/>
              </w:rPr>
              <w:t>江川区医共体总院</w:t>
            </w:r>
            <w:r>
              <w:rPr>
                <w:color w:val="auto"/>
                <w:kern w:val="0"/>
                <w:szCs w:val="24"/>
                <w:lang w:bidi="ar"/>
              </w:rPr>
              <w:t>项目区设食堂供职工及就诊人员用餐每日用餐人数约300人，约200人在院区廉租房和宿舍住宿，宿舍废水进入市政污水管网，不进入医院污水处理站。雨水排入雨水管网后排入市政雨水管网。</w:t>
            </w:r>
          </w:p>
          <w:p w14:paraId="712513A2">
            <w:pPr>
              <w:widowControl/>
              <w:ind w:firstLine="480"/>
              <w:jc w:val="left"/>
              <w:rPr>
                <w:rFonts w:hint="eastAsia" w:eastAsia="宋体"/>
                <w:color w:val="auto"/>
                <w:lang w:eastAsia="zh-CN"/>
              </w:rPr>
            </w:pPr>
            <w:r>
              <w:rPr>
                <w:color w:val="auto"/>
                <w:kern w:val="0"/>
                <w:szCs w:val="24"/>
                <w:lang w:bidi="ar"/>
              </w:rPr>
              <w:t>（3）供电</w:t>
            </w:r>
          </w:p>
          <w:p w14:paraId="3ED7906A">
            <w:pPr>
              <w:widowControl/>
              <w:ind w:firstLine="480"/>
              <w:jc w:val="left"/>
              <w:rPr>
                <w:rFonts w:hint="eastAsia" w:eastAsia="宋体"/>
                <w:color w:val="auto"/>
                <w:lang w:eastAsia="zh-CN"/>
              </w:rPr>
            </w:pPr>
            <w:r>
              <w:rPr>
                <w:color w:val="auto"/>
                <w:kern w:val="0"/>
                <w:szCs w:val="24"/>
                <w:lang w:bidi="ar"/>
              </w:rPr>
              <w:t>由市政电网供给，能满足本项目用电需求。</w:t>
            </w:r>
          </w:p>
          <w:p w14:paraId="4A724F0B">
            <w:pPr>
              <w:widowControl/>
              <w:ind w:firstLine="482"/>
              <w:jc w:val="left"/>
              <w:rPr>
                <w:rFonts w:hint="eastAsia" w:eastAsia="宋体"/>
                <w:color w:val="auto"/>
                <w:lang w:eastAsia="zh-CN"/>
              </w:rPr>
            </w:pPr>
            <w:r>
              <w:rPr>
                <w:b/>
                <w:bCs/>
                <w:color w:val="auto"/>
                <w:kern w:val="0"/>
                <w:szCs w:val="24"/>
                <w:lang w:bidi="ar"/>
              </w:rPr>
              <w:t>5、厂区平面布置及合理性分析</w:t>
            </w:r>
          </w:p>
          <w:p w14:paraId="1E3CB530">
            <w:pPr>
              <w:ind w:firstLine="480"/>
              <w:rPr>
                <w:rFonts w:hint="eastAsia"/>
                <w:color w:val="auto"/>
                <w:kern w:val="0"/>
                <w:szCs w:val="24"/>
                <w:lang w:val="en-US" w:eastAsia="zh-CN" w:bidi="ar"/>
              </w:rPr>
            </w:pPr>
            <w:r>
              <w:rPr>
                <w:rFonts w:hint="eastAsia"/>
                <w:color w:val="auto"/>
                <w:kern w:val="0"/>
                <w:szCs w:val="24"/>
                <w:lang w:val="en-US" w:eastAsia="zh-CN" w:bidi="ar"/>
              </w:rPr>
              <w:t>江川区医共体总医院</w:t>
            </w:r>
            <w:r>
              <w:rPr>
                <w:color w:val="auto"/>
                <w:kern w:val="0"/>
                <w:szCs w:val="24"/>
                <w:lang w:bidi="ar"/>
              </w:rPr>
              <w:t>项目区共设置一个出入口，位于地块东侧。项目区东南部布置1栋门诊楼，东部布置1栋综合楼，南北方向布置，项目区</w:t>
            </w:r>
            <w:r>
              <w:rPr>
                <w:rFonts w:hint="eastAsia"/>
                <w:color w:val="auto"/>
                <w:kern w:val="0"/>
                <w:szCs w:val="24"/>
                <w:lang w:bidi="ar"/>
              </w:rPr>
              <w:t>西</w:t>
            </w:r>
            <w:r>
              <w:rPr>
                <w:color w:val="auto"/>
                <w:kern w:val="0"/>
                <w:szCs w:val="24"/>
                <w:lang w:bidi="ar"/>
              </w:rPr>
              <w:t>侧为</w:t>
            </w:r>
            <w:r>
              <w:rPr>
                <w:rFonts w:hint="eastAsia"/>
                <w:color w:val="auto"/>
                <w:kern w:val="0"/>
                <w:szCs w:val="24"/>
                <w:lang w:bidi="ar"/>
              </w:rPr>
              <w:t>临时</w:t>
            </w:r>
            <w:r>
              <w:rPr>
                <w:color w:val="auto"/>
                <w:kern w:val="0"/>
                <w:szCs w:val="24"/>
                <w:lang w:bidi="ar"/>
              </w:rPr>
              <w:t>停车场，便于就医停车。规划建设后的整个医院布局将结合周边市政路网形成环通的消防通道，保证建筑两个长边均有消防通道。整体布局结合景观绿化形成宜人的就医环境。总体布局既强调了建筑的主次关系，又综合考虑到各功能关系的合理安排，在遵循原规划的基础上，做到功能关系</w:t>
            </w:r>
            <w:r>
              <w:rPr>
                <w:rFonts w:hint="eastAsia"/>
                <w:color w:val="auto"/>
                <w:kern w:val="0"/>
                <w:szCs w:val="24"/>
                <w:lang w:val="en-US" w:eastAsia="zh-CN" w:bidi="ar"/>
              </w:rPr>
              <w:t>明确、主次清晰、环境优雅、交通合理。</w:t>
            </w:r>
          </w:p>
          <w:p w14:paraId="47E1BBB8">
            <w:pPr>
              <w:ind w:firstLine="480"/>
              <w:rPr>
                <w:rFonts w:hint="default"/>
                <w:color w:val="auto"/>
                <w:kern w:val="0"/>
                <w:szCs w:val="24"/>
                <w:lang w:val="en-US" w:eastAsia="zh-CN" w:bidi="ar"/>
              </w:rPr>
            </w:pPr>
            <w:r>
              <w:rPr>
                <w:rFonts w:hint="eastAsia"/>
                <w:color w:val="auto"/>
                <w:kern w:val="0"/>
                <w:szCs w:val="24"/>
                <w:lang w:val="en-US" w:eastAsia="zh-CN" w:bidi="ar"/>
              </w:rPr>
              <w:t>江城镇卫生院项目区设置两个出入口，一个位于项目东侧，一个位于项目南侧。项目区北侧设置新建综合楼，西北侧设置新建设备房，西南侧设置1栋现有门诊楼，东侧设置3栋辅助用房和1栋现有食堂，西南侧设置现有业务综合楼，西南角设置新建值班室和污水处理设施用房。项目区西侧中间及南侧都设置有临时停车场</w:t>
            </w:r>
            <w:r>
              <w:rPr>
                <w:color w:val="auto"/>
                <w:kern w:val="0"/>
                <w:szCs w:val="24"/>
                <w:lang w:bidi="ar"/>
              </w:rPr>
              <w:t>便于就医停车。规划建设后的整个医院布局将结合周边市政路网形成环通的消防通道，保证建筑两个长边均有消防通道。整体布局结合景观绿化形成宜人的就医环境。总体布局既强调了建筑的主次关系，又综合考虑到各功能关系的合理安排，在遵循原规划的基础上，做到功能关系</w:t>
            </w:r>
            <w:r>
              <w:rPr>
                <w:rFonts w:hint="eastAsia"/>
                <w:color w:val="auto"/>
                <w:kern w:val="0"/>
                <w:szCs w:val="24"/>
                <w:lang w:val="en-US" w:eastAsia="zh-CN" w:bidi="ar"/>
              </w:rPr>
              <w:t>明确、主次清晰、环境优雅、交通合理。</w:t>
            </w:r>
          </w:p>
          <w:p w14:paraId="6ED6A900">
            <w:pPr>
              <w:ind w:firstLine="482"/>
              <w:rPr>
                <w:b/>
                <w:color w:val="auto"/>
                <w:u w:val="none"/>
              </w:rPr>
            </w:pPr>
            <w:r>
              <w:rPr>
                <w:b/>
                <w:color w:val="auto"/>
              </w:rPr>
              <w:t>6、</w:t>
            </w:r>
            <w:r>
              <w:rPr>
                <w:rFonts w:hint="eastAsia"/>
                <w:b/>
                <w:bCs w:val="0"/>
                <w:color w:val="auto"/>
                <w:u w:val="none"/>
                <w:lang w:val="en-US" w:eastAsia="zh-CN"/>
              </w:rPr>
              <w:t>诊疗能力</w:t>
            </w:r>
          </w:p>
          <w:p w14:paraId="72B52321">
            <w:pPr>
              <w:widowControl/>
              <w:ind w:firstLine="480"/>
              <w:jc w:val="left"/>
              <w:rPr>
                <w:rFonts w:hint="default" w:eastAsia="宋体"/>
                <w:color w:val="auto"/>
                <w:kern w:val="0"/>
                <w:szCs w:val="24"/>
                <w:lang w:val="en-US" w:eastAsia="zh-CN" w:bidi="ar"/>
              </w:rPr>
            </w:pPr>
            <w:r>
              <w:rPr>
                <w:rFonts w:hint="eastAsia"/>
                <w:b/>
                <w:color w:val="auto"/>
                <w:lang w:eastAsia="zh-CN"/>
              </w:rPr>
              <w:t>江川区医共体总院：</w:t>
            </w:r>
            <w:r>
              <w:rPr>
                <w:rFonts w:hint="eastAsia"/>
                <w:b w:val="0"/>
                <w:bCs/>
                <w:color w:val="auto"/>
                <w:lang w:eastAsia="zh-CN"/>
              </w:rPr>
              <w:t>根据建设单位提供资料，医院现有编制床位</w:t>
            </w:r>
            <w:r>
              <w:rPr>
                <w:rFonts w:hint="eastAsia"/>
                <w:b w:val="0"/>
                <w:bCs/>
                <w:color w:val="auto"/>
                <w:lang w:val="en-US" w:eastAsia="zh-CN"/>
              </w:rPr>
              <w:t>450床，本项目建成后床位数不变；现有项目平均门诊量为1575人次/d，本项目建成后门诊量不变。</w:t>
            </w:r>
          </w:p>
          <w:p w14:paraId="0A27C076">
            <w:pPr>
              <w:ind w:firstLine="482"/>
              <w:rPr>
                <w:rFonts w:hint="default"/>
                <w:color w:val="auto"/>
                <w:kern w:val="0"/>
                <w:szCs w:val="24"/>
                <w:lang w:val="en-US" w:eastAsia="zh-CN" w:bidi="ar"/>
              </w:rPr>
            </w:pPr>
            <w:r>
              <w:rPr>
                <w:rFonts w:hint="eastAsia"/>
                <w:b/>
                <w:color w:val="auto"/>
                <w:lang w:eastAsia="zh-CN"/>
              </w:rPr>
              <w:t>江城镇卫生院：</w:t>
            </w:r>
            <w:r>
              <w:rPr>
                <w:rFonts w:hint="eastAsia"/>
                <w:b w:val="0"/>
                <w:bCs/>
                <w:color w:val="auto"/>
                <w:lang w:eastAsia="zh-CN"/>
              </w:rPr>
              <w:t>根据建设单位提供资料，</w:t>
            </w:r>
            <w:r>
              <w:rPr>
                <w:color w:val="auto"/>
                <w:kern w:val="0"/>
                <w:szCs w:val="24"/>
                <w:lang w:bidi="ar"/>
              </w:rPr>
              <w:t>医院现有编制床位数</w:t>
            </w:r>
            <w:r>
              <w:rPr>
                <w:rFonts w:hint="eastAsia"/>
                <w:color w:val="auto"/>
                <w:kern w:val="0"/>
                <w:szCs w:val="24"/>
                <w:lang w:val="en-US" w:eastAsia="zh-CN" w:bidi="ar"/>
              </w:rPr>
              <w:t>100</w:t>
            </w:r>
            <w:r>
              <w:rPr>
                <w:color w:val="auto"/>
                <w:kern w:val="0"/>
                <w:szCs w:val="24"/>
                <w:lang w:bidi="ar"/>
              </w:rPr>
              <w:t>床，</w:t>
            </w:r>
            <w:r>
              <w:rPr>
                <w:rFonts w:hint="eastAsia"/>
                <w:color w:val="auto"/>
                <w:kern w:val="0"/>
                <w:szCs w:val="24"/>
                <w:lang w:eastAsia="zh-CN" w:bidi="ar"/>
              </w:rPr>
              <w:t>本项目</w:t>
            </w:r>
            <w:r>
              <w:rPr>
                <w:rFonts w:hint="eastAsia"/>
                <w:color w:val="auto"/>
                <w:kern w:val="0"/>
                <w:szCs w:val="24"/>
                <w:lang w:val="en-US" w:eastAsia="zh-CN" w:bidi="ar"/>
              </w:rPr>
              <w:t>新增床位45床，</w:t>
            </w:r>
            <w:r>
              <w:rPr>
                <w:rFonts w:hint="eastAsia"/>
                <w:color w:val="auto"/>
                <w:kern w:val="0"/>
                <w:szCs w:val="24"/>
                <w:lang w:eastAsia="zh-CN" w:bidi="ar"/>
              </w:rPr>
              <w:t>本项目建成后床位数</w:t>
            </w:r>
            <w:r>
              <w:rPr>
                <w:rFonts w:hint="eastAsia"/>
                <w:color w:val="auto"/>
                <w:kern w:val="0"/>
                <w:szCs w:val="24"/>
                <w:lang w:val="en-US" w:eastAsia="zh-CN" w:bidi="ar"/>
              </w:rPr>
              <w:t>145床；现有项目平均门诊量为387人次/d，本项目新增门诊量为113人次/d，本项目建成后平均门诊量为500人次/d。</w:t>
            </w:r>
          </w:p>
          <w:p w14:paraId="7D95B635">
            <w:pPr>
              <w:ind w:firstLine="482"/>
              <w:rPr>
                <w:b/>
                <w:color w:val="auto"/>
              </w:rPr>
            </w:pPr>
            <w:r>
              <w:rPr>
                <w:rFonts w:hint="eastAsia"/>
                <w:b/>
                <w:color w:val="auto"/>
                <w:lang w:val="en-US" w:eastAsia="zh-CN"/>
              </w:rPr>
              <w:t>7、</w:t>
            </w:r>
            <w:r>
              <w:rPr>
                <w:b/>
                <w:color w:val="auto"/>
              </w:rPr>
              <w:t>项目总投资与环保投资</w:t>
            </w:r>
          </w:p>
          <w:p w14:paraId="7DEFB53E">
            <w:pPr>
              <w:ind w:firstLine="480"/>
              <w:rPr>
                <w:color w:val="auto"/>
              </w:rPr>
            </w:pPr>
            <w:r>
              <w:rPr>
                <w:color w:val="auto"/>
              </w:rPr>
              <w:t>项目工程设计总投资</w:t>
            </w:r>
            <w:r>
              <w:rPr>
                <w:rFonts w:hint="eastAsia"/>
                <w:color w:val="auto"/>
                <w:lang w:val="en-US" w:eastAsia="zh-CN"/>
              </w:rPr>
              <w:t>5750</w:t>
            </w:r>
            <w:r>
              <w:rPr>
                <w:color w:val="auto"/>
              </w:rPr>
              <w:t>万元，其中环保投资</w:t>
            </w:r>
            <w:r>
              <w:rPr>
                <w:rFonts w:hint="eastAsia"/>
                <w:color w:val="auto"/>
                <w:lang w:val="en-US" w:eastAsia="zh-CN"/>
              </w:rPr>
              <w:t>53</w:t>
            </w:r>
            <w:r>
              <w:rPr>
                <w:color w:val="auto"/>
              </w:rPr>
              <w:t>万元，占工程总投资的0.1%，环保投资估算见表2-</w:t>
            </w:r>
            <w:r>
              <w:rPr>
                <w:rFonts w:hint="eastAsia"/>
                <w:color w:val="auto"/>
                <w:lang w:val="en-US" w:eastAsia="zh-CN"/>
              </w:rPr>
              <w:t>12</w:t>
            </w:r>
            <w:r>
              <w:rPr>
                <w:color w:val="auto"/>
              </w:rPr>
              <w:t>。</w:t>
            </w:r>
          </w:p>
          <w:p w14:paraId="1F3CEC90">
            <w:pPr>
              <w:pStyle w:val="2"/>
              <w:jc w:val="center"/>
              <w:rPr>
                <w:b/>
                <w:color w:val="auto"/>
                <w:kern w:val="2"/>
                <w:sz w:val="21"/>
                <w:szCs w:val="21"/>
              </w:rPr>
            </w:pPr>
            <w:r>
              <w:rPr>
                <w:b/>
                <w:color w:val="auto"/>
                <w:kern w:val="2"/>
                <w:sz w:val="21"/>
                <w:szCs w:val="21"/>
              </w:rPr>
              <w:t>表2-</w:t>
            </w:r>
            <w:r>
              <w:rPr>
                <w:rFonts w:hint="eastAsia"/>
                <w:b/>
                <w:color w:val="auto"/>
                <w:kern w:val="2"/>
                <w:sz w:val="21"/>
                <w:szCs w:val="21"/>
                <w:lang w:val="en-US" w:eastAsia="zh-CN"/>
              </w:rPr>
              <w:t>12</w:t>
            </w:r>
            <w:r>
              <w:rPr>
                <w:b/>
                <w:color w:val="auto"/>
                <w:kern w:val="2"/>
                <w:sz w:val="21"/>
                <w:szCs w:val="21"/>
              </w:rPr>
              <w:t>项目环保投资估算一览表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134"/>
              <w:gridCol w:w="1559"/>
              <w:gridCol w:w="2835"/>
              <w:gridCol w:w="1201"/>
            </w:tblGrid>
            <w:tr w14:paraId="00589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Align w:val="center"/>
                </w:tcPr>
                <w:p w14:paraId="3D4215D5">
                  <w:pPr>
                    <w:adjustRightInd w:val="0"/>
                    <w:snapToGrid w:val="0"/>
                    <w:spacing w:line="240" w:lineRule="auto"/>
                    <w:ind w:firstLine="0" w:firstLineChars="0"/>
                    <w:jc w:val="center"/>
                    <w:rPr>
                      <w:b/>
                      <w:bCs/>
                      <w:color w:val="auto"/>
                      <w:sz w:val="21"/>
                      <w:szCs w:val="21"/>
                    </w:rPr>
                  </w:pPr>
                  <w:r>
                    <w:rPr>
                      <w:b/>
                      <w:bCs/>
                      <w:color w:val="auto"/>
                      <w:sz w:val="21"/>
                      <w:szCs w:val="21"/>
                    </w:rPr>
                    <w:t>序号</w:t>
                  </w:r>
                </w:p>
              </w:tc>
              <w:tc>
                <w:tcPr>
                  <w:tcW w:w="1134" w:type="dxa"/>
                  <w:vAlign w:val="center"/>
                </w:tcPr>
                <w:p w14:paraId="4F038F77">
                  <w:pPr>
                    <w:adjustRightInd w:val="0"/>
                    <w:snapToGrid w:val="0"/>
                    <w:spacing w:line="240" w:lineRule="auto"/>
                    <w:ind w:firstLine="0" w:firstLineChars="0"/>
                    <w:jc w:val="center"/>
                    <w:rPr>
                      <w:b/>
                      <w:bCs/>
                      <w:color w:val="auto"/>
                      <w:sz w:val="21"/>
                      <w:szCs w:val="21"/>
                    </w:rPr>
                  </w:pPr>
                  <w:r>
                    <w:rPr>
                      <w:b/>
                      <w:bCs/>
                      <w:color w:val="auto"/>
                      <w:sz w:val="21"/>
                      <w:szCs w:val="21"/>
                    </w:rPr>
                    <w:t>项目</w:t>
                  </w:r>
                </w:p>
              </w:tc>
              <w:tc>
                <w:tcPr>
                  <w:tcW w:w="1559" w:type="dxa"/>
                  <w:vAlign w:val="center"/>
                </w:tcPr>
                <w:p w14:paraId="6A6AC383">
                  <w:pPr>
                    <w:adjustRightInd w:val="0"/>
                    <w:snapToGrid w:val="0"/>
                    <w:spacing w:line="240" w:lineRule="auto"/>
                    <w:ind w:firstLine="0" w:firstLineChars="0"/>
                    <w:jc w:val="center"/>
                    <w:rPr>
                      <w:b/>
                      <w:bCs/>
                      <w:color w:val="auto"/>
                      <w:sz w:val="21"/>
                      <w:szCs w:val="21"/>
                    </w:rPr>
                  </w:pPr>
                  <w:r>
                    <w:rPr>
                      <w:b/>
                      <w:bCs/>
                      <w:color w:val="auto"/>
                      <w:sz w:val="21"/>
                      <w:szCs w:val="21"/>
                    </w:rPr>
                    <w:t>污染物</w:t>
                  </w:r>
                </w:p>
              </w:tc>
              <w:tc>
                <w:tcPr>
                  <w:tcW w:w="2835" w:type="dxa"/>
                  <w:vAlign w:val="center"/>
                </w:tcPr>
                <w:p w14:paraId="0B9DA995">
                  <w:pPr>
                    <w:adjustRightInd w:val="0"/>
                    <w:snapToGrid w:val="0"/>
                    <w:spacing w:line="240" w:lineRule="auto"/>
                    <w:ind w:firstLine="0" w:firstLineChars="0"/>
                    <w:jc w:val="center"/>
                    <w:rPr>
                      <w:b/>
                      <w:bCs/>
                      <w:color w:val="auto"/>
                      <w:sz w:val="21"/>
                      <w:szCs w:val="21"/>
                    </w:rPr>
                  </w:pPr>
                  <w:r>
                    <w:rPr>
                      <w:b/>
                      <w:bCs/>
                      <w:color w:val="auto"/>
                      <w:sz w:val="21"/>
                      <w:szCs w:val="21"/>
                    </w:rPr>
                    <w:t>治理措施</w:t>
                  </w:r>
                </w:p>
              </w:tc>
              <w:tc>
                <w:tcPr>
                  <w:tcW w:w="1201" w:type="dxa"/>
                  <w:vAlign w:val="center"/>
                </w:tcPr>
                <w:p w14:paraId="09D1FC27">
                  <w:pPr>
                    <w:adjustRightInd w:val="0"/>
                    <w:snapToGrid w:val="0"/>
                    <w:spacing w:line="240" w:lineRule="auto"/>
                    <w:ind w:firstLine="0" w:firstLineChars="0"/>
                    <w:jc w:val="center"/>
                    <w:rPr>
                      <w:b/>
                      <w:bCs/>
                      <w:color w:val="auto"/>
                      <w:sz w:val="21"/>
                      <w:szCs w:val="21"/>
                    </w:rPr>
                  </w:pPr>
                  <w:r>
                    <w:rPr>
                      <w:b/>
                      <w:bCs/>
                      <w:color w:val="auto"/>
                      <w:sz w:val="21"/>
                      <w:szCs w:val="21"/>
                    </w:rPr>
                    <w:t>投资概算</w:t>
                  </w:r>
                </w:p>
              </w:tc>
            </w:tr>
            <w:tr w14:paraId="62441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4" w:type="dxa"/>
                  <w:gridSpan w:val="5"/>
                  <w:vAlign w:val="center"/>
                </w:tcPr>
                <w:p w14:paraId="513D406E">
                  <w:pPr>
                    <w:adjustRightInd w:val="0"/>
                    <w:snapToGrid w:val="0"/>
                    <w:spacing w:line="240" w:lineRule="auto"/>
                    <w:ind w:firstLine="0" w:firstLineChars="0"/>
                    <w:jc w:val="center"/>
                    <w:rPr>
                      <w:color w:val="auto"/>
                      <w:sz w:val="21"/>
                      <w:szCs w:val="21"/>
                    </w:rPr>
                  </w:pPr>
                  <w:r>
                    <w:rPr>
                      <w:color w:val="auto"/>
                      <w:sz w:val="21"/>
                      <w:szCs w:val="21"/>
                    </w:rPr>
                    <w:t>施工期</w:t>
                  </w:r>
                </w:p>
              </w:tc>
            </w:tr>
            <w:tr w14:paraId="3C1C8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Merge w:val="restart"/>
                  <w:vAlign w:val="center"/>
                </w:tcPr>
                <w:p w14:paraId="2A89CA4C">
                  <w:pPr>
                    <w:adjustRightInd w:val="0"/>
                    <w:snapToGrid w:val="0"/>
                    <w:spacing w:line="240" w:lineRule="auto"/>
                    <w:ind w:firstLine="0" w:firstLineChars="0"/>
                    <w:jc w:val="center"/>
                    <w:rPr>
                      <w:color w:val="auto"/>
                      <w:sz w:val="21"/>
                      <w:szCs w:val="21"/>
                    </w:rPr>
                  </w:pPr>
                  <w:r>
                    <w:rPr>
                      <w:color w:val="auto"/>
                      <w:sz w:val="21"/>
                      <w:szCs w:val="21"/>
                    </w:rPr>
                    <w:t>1</w:t>
                  </w:r>
                </w:p>
              </w:tc>
              <w:tc>
                <w:tcPr>
                  <w:tcW w:w="1134" w:type="dxa"/>
                  <w:vMerge w:val="restart"/>
                  <w:vAlign w:val="center"/>
                </w:tcPr>
                <w:p w14:paraId="5F16DE67">
                  <w:pPr>
                    <w:adjustRightInd w:val="0"/>
                    <w:snapToGrid w:val="0"/>
                    <w:spacing w:line="240" w:lineRule="auto"/>
                    <w:ind w:firstLine="0" w:firstLineChars="0"/>
                    <w:jc w:val="center"/>
                    <w:rPr>
                      <w:color w:val="auto"/>
                      <w:sz w:val="21"/>
                      <w:szCs w:val="21"/>
                    </w:rPr>
                  </w:pPr>
                  <w:r>
                    <w:rPr>
                      <w:color w:val="auto"/>
                      <w:sz w:val="21"/>
                      <w:szCs w:val="21"/>
                    </w:rPr>
                    <w:t>废气防治措施</w:t>
                  </w:r>
                </w:p>
              </w:tc>
              <w:tc>
                <w:tcPr>
                  <w:tcW w:w="1559" w:type="dxa"/>
                  <w:vMerge w:val="restart"/>
                  <w:vAlign w:val="center"/>
                </w:tcPr>
                <w:p w14:paraId="712166E2">
                  <w:pPr>
                    <w:adjustRightInd w:val="0"/>
                    <w:snapToGrid w:val="0"/>
                    <w:spacing w:line="240" w:lineRule="auto"/>
                    <w:ind w:firstLine="0" w:firstLineChars="0"/>
                    <w:jc w:val="center"/>
                    <w:rPr>
                      <w:color w:val="auto"/>
                      <w:sz w:val="21"/>
                      <w:szCs w:val="21"/>
                    </w:rPr>
                  </w:pPr>
                  <w:r>
                    <w:rPr>
                      <w:color w:val="auto"/>
                      <w:sz w:val="21"/>
                      <w:szCs w:val="21"/>
                    </w:rPr>
                    <w:t>粉尘</w:t>
                  </w:r>
                </w:p>
              </w:tc>
              <w:tc>
                <w:tcPr>
                  <w:tcW w:w="2835" w:type="dxa"/>
                  <w:vAlign w:val="center"/>
                </w:tcPr>
                <w:p w14:paraId="22805664">
                  <w:pPr>
                    <w:adjustRightInd w:val="0"/>
                    <w:snapToGrid w:val="0"/>
                    <w:spacing w:line="240" w:lineRule="auto"/>
                    <w:ind w:firstLine="0" w:firstLineChars="0"/>
                    <w:jc w:val="center"/>
                    <w:rPr>
                      <w:color w:val="auto"/>
                      <w:sz w:val="21"/>
                      <w:szCs w:val="21"/>
                    </w:rPr>
                  </w:pPr>
                  <w:r>
                    <w:rPr>
                      <w:color w:val="auto"/>
                      <w:sz w:val="21"/>
                      <w:szCs w:val="21"/>
                    </w:rPr>
                    <w:t>临时洒水降尘设施</w:t>
                  </w:r>
                </w:p>
              </w:tc>
              <w:tc>
                <w:tcPr>
                  <w:tcW w:w="1201" w:type="dxa"/>
                  <w:vAlign w:val="center"/>
                </w:tcPr>
                <w:p w14:paraId="46893095">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3.</w:t>
                  </w:r>
                  <w:r>
                    <w:rPr>
                      <w:color w:val="auto"/>
                      <w:sz w:val="21"/>
                      <w:szCs w:val="21"/>
                    </w:rPr>
                    <w:t>0</w:t>
                  </w:r>
                </w:p>
              </w:tc>
            </w:tr>
            <w:tr w14:paraId="4DA86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Merge w:val="continue"/>
                  <w:vAlign w:val="center"/>
                </w:tcPr>
                <w:p w14:paraId="5B224CD6">
                  <w:pPr>
                    <w:adjustRightInd w:val="0"/>
                    <w:snapToGrid w:val="0"/>
                    <w:spacing w:line="240" w:lineRule="auto"/>
                    <w:ind w:firstLine="0" w:firstLineChars="0"/>
                    <w:jc w:val="center"/>
                    <w:rPr>
                      <w:color w:val="auto"/>
                      <w:sz w:val="21"/>
                      <w:szCs w:val="21"/>
                    </w:rPr>
                  </w:pPr>
                </w:p>
              </w:tc>
              <w:tc>
                <w:tcPr>
                  <w:tcW w:w="1134" w:type="dxa"/>
                  <w:vMerge w:val="continue"/>
                  <w:vAlign w:val="center"/>
                </w:tcPr>
                <w:p w14:paraId="4F01C7E2">
                  <w:pPr>
                    <w:adjustRightInd w:val="0"/>
                    <w:snapToGrid w:val="0"/>
                    <w:spacing w:line="240" w:lineRule="auto"/>
                    <w:ind w:firstLine="0" w:firstLineChars="0"/>
                    <w:jc w:val="center"/>
                    <w:rPr>
                      <w:color w:val="auto"/>
                      <w:sz w:val="21"/>
                      <w:szCs w:val="21"/>
                    </w:rPr>
                  </w:pPr>
                </w:p>
              </w:tc>
              <w:tc>
                <w:tcPr>
                  <w:tcW w:w="1559" w:type="dxa"/>
                  <w:vMerge w:val="continue"/>
                  <w:vAlign w:val="center"/>
                </w:tcPr>
                <w:p w14:paraId="1F9E29E1">
                  <w:pPr>
                    <w:adjustRightInd w:val="0"/>
                    <w:snapToGrid w:val="0"/>
                    <w:spacing w:line="240" w:lineRule="auto"/>
                    <w:ind w:firstLine="0" w:firstLineChars="0"/>
                    <w:jc w:val="center"/>
                    <w:rPr>
                      <w:color w:val="auto"/>
                      <w:sz w:val="21"/>
                      <w:szCs w:val="21"/>
                    </w:rPr>
                  </w:pPr>
                </w:p>
              </w:tc>
              <w:tc>
                <w:tcPr>
                  <w:tcW w:w="2835" w:type="dxa"/>
                  <w:vAlign w:val="center"/>
                </w:tcPr>
                <w:p w14:paraId="5CA3CFCC">
                  <w:pPr>
                    <w:adjustRightInd w:val="0"/>
                    <w:snapToGrid w:val="0"/>
                    <w:spacing w:line="240" w:lineRule="auto"/>
                    <w:ind w:firstLine="0" w:firstLineChars="0"/>
                    <w:jc w:val="center"/>
                    <w:rPr>
                      <w:color w:val="auto"/>
                      <w:sz w:val="21"/>
                      <w:szCs w:val="21"/>
                    </w:rPr>
                  </w:pPr>
                  <w:r>
                    <w:rPr>
                      <w:color w:val="auto"/>
                      <w:sz w:val="21"/>
                      <w:szCs w:val="21"/>
                    </w:rPr>
                    <w:t>建筑材料覆盖措施（土工布）</w:t>
                  </w:r>
                </w:p>
              </w:tc>
              <w:tc>
                <w:tcPr>
                  <w:tcW w:w="1201" w:type="dxa"/>
                  <w:vAlign w:val="center"/>
                </w:tcPr>
                <w:p w14:paraId="4A349D4C">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3.5</w:t>
                  </w:r>
                </w:p>
              </w:tc>
            </w:tr>
            <w:tr w14:paraId="3E51C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Align w:val="center"/>
                </w:tcPr>
                <w:p w14:paraId="5D04266D">
                  <w:pPr>
                    <w:adjustRightInd w:val="0"/>
                    <w:snapToGrid w:val="0"/>
                    <w:spacing w:line="240" w:lineRule="auto"/>
                    <w:ind w:firstLine="0" w:firstLineChars="0"/>
                    <w:jc w:val="center"/>
                    <w:rPr>
                      <w:color w:val="auto"/>
                      <w:sz w:val="21"/>
                      <w:szCs w:val="21"/>
                    </w:rPr>
                  </w:pPr>
                  <w:r>
                    <w:rPr>
                      <w:color w:val="auto"/>
                      <w:sz w:val="21"/>
                      <w:szCs w:val="21"/>
                    </w:rPr>
                    <w:t>2</w:t>
                  </w:r>
                </w:p>
              </w:tc>
              <w:tc>
                <w:tcPr>
                  <w:tcW w:w="1134" w:type="dxa"/>
                  <w:vAlign w:val="center"/>
                </w:tcPr>
                <w:p w14:paraId="3AAEB3A1">
                  <w:pPr>
                    <w:adjustRightInd w:val="0"/>
                    <w:snapToGrid w:val="0"/>
                    <w:spacing w:line="240" w:lineRule="auto"/>
                    <w:ind w:firstLine="0" w:firstLineChars="0"/>
                    <w:jc w:val="center"/>
                    <w:rPr>
                      <w:color w:val="auto"/>
                      <w:sz w:val="21"/>
                      <w:szCs w:val="21"/>
                    </w:rPr>
                  </w:pPr>
                  <w:r>
                    <w:rPr>
                      <w:color w:val="auto"/>
                      <w:sz w:val="21"/>
                      <w:szCs w:val="21"/>
                    </w:rPr>
                    <w:t>水环境保护措施</w:t>
                  </w:r>
                </w:p>
              </w:tc>
              <w:tc>
                <w:tcPr>
                  <w:tcW w:w="1559" w:type="dxa"/>
                  <w:vAlign w:val="center"/>
                </w:tcPr>
                <w:p w14:paraId="70179725">
                  <w:pPr>
                    <w:adjustRightInd w:val="0"/>
                    <w:snapToGrid w:val="0"/>
                    <w:spacing w:line="240" w:lineRule="auto"/>
                    <w:ind w:firstLine="0" w:firstLineChars="0"/>
                    <w:jc w:val="center"/>
                    <w:rPr>
                      <w:color w:val="auto"/>
                      <w:sz w:val="21"/>
                      <w:szCs w:val="21"/>
                    </w:rPr>
                  </w:pPr>
                  <w:r>
                    <w:rPr>
                      <w:color w:val="auto"/>
                      <w:sz w:val="21"/>
                      <w:szCs w:val="21"/>
                    </w:rPr>
                    <w:t>地表径流、施工废水</w:t>
                  </w:r>
                </w:p>
              </w:tc>
              <w:tc>
                <w:tcPr>
                  <w:tcW w:w="2835" w:type="dxa"/>
                  <w:vAlign w:val="center"/>
                </w:tcPr>
                <w:p w14:paraId="3EF32645">
                  <w:pPr>
                    <w:adjustRightInd w:val="0"/>
                    <w:snapToGrid w:val="0"/>
                    <w:spacing w:line="240" w:lineRule="auto"/>
                    <w:ind w:firstLine="0" w:firstLineChars="0"/>
                    <w:jc w:val="center"/>
                    <w:rPr>
                      <w:color w:val="auto"/>
                      <w:sz w:val="21"/>
                      <w:szCs w:val="21"/>
                    </w:rPr>
                  </w:pPr>
                  <w:r>
                    <w:rPr>
                      <w:color w:val="auto"/>
                      <w:sz w:val="21"/>
                      <w:szCs w:val="21"/>
                    </w:rPr>
                    <w:t>临时排水沟、沉淀池</w:t>
                  </w:r>
                </w:p>
              </w:tc>
              <w:tc>
                <w:tcPr>
                  <w:tcW w:w="1201" w:type="dxa"/>
                  <w:vAlign w:val="center"/>
                </w:tcPr>
                <w:p w14:paraId="0C2C2177">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w:t>
                  </w:r>
                </w:p>
              </w:tc>
            </w:tr>
            <w:tr w14:paraId="6006E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Align w:val="center"/>
                </w:tcPr>
                <w:p w14:paraId="342FA89E">
                  <w:pPr>
                    <w:adjustRightInd w:val="0"/>
                    <w:snapToGrid w:val="0"/>
                    <w:spacing w:line="240" w:lineRule="auto"/>
                    <w:ind w:firstLine="0" w:firstLineChars="0"/>
                    <w:jc w:val="center"/>
                    <w:rPr>
                      <w:color w:val="auto"/>
                      <w:sz w:val="21"/>
                      <w:szCs w:val="21"/>
                    </w:rPr>
                  </w:pPr>
                  <w:r>
                    <w:rPr>
                      <w:color w:val="auto"/>
                      <w:sz w:val="21"/>
                      <w:szCs w:val="21"/>
                    </w:rPr>
                    <w:t>3</w:t>
                  </w:r>
                </w:p>
              </w:tc>
              <w:tc>
                <w:tcPr>
                  <w:tcW w:w="1134" w:type="dxa"/>
                  <w:vAlign w:val="center"/>
                </w:tcPr>
                <w:p w14:paraId="7AF85263">
                  <w:pPr>
                    <w:adjustRightInd w:val="0"/>
                    <w:snapToGrid w:val="0"/>
                    <w:spacing w:line="240" w:lineRule="auto"/>
                    <w:ind w:firstLine="0" w:firstLineChars="0"/>
                    <w:jc w:val="center"/>
                    <w:rPr>
                      <w:color w:val="auto"/>
                      <w:sz w:val="21"/>
                      <w:szCs w:val="21"/>
                    </w:rPr>
                  </w:pPr>
                  <w:r>
                    <w:rPr>
                      <w:color w:val="auto"/>
                      <w:sz w:val="21"/>
                      <w:szCs w:val="21"/>
                    </w:rPr>
                    <w:t>噪声处置措施</w:t>
                  </w:r>
                </w:p>
              </w:tc>
              <w:tc>
                <w:tcPr>
                  <w:tcW w:w="1559" w:type="dxa"/>
                  <w:vAlign w:val="center"/>
                </w:tcPr>
                <w:p w14:paraId="748363ED">
                  <w:pPr>
                    <w:adjustRightInd w:val="0"/>
                    <w:snapToGrid w:val="0"/>
                    <w:spacing w:line="240" w:lineRule="auto"/>
                    <w:ind w:firstLine="0" w:firstLineChars="0"/>
                    <w:jc w:val="center"/>
                    <w:rPr>
                      <w:color w:val="auto"/>
                      <w:sz w:val="21"/>
                      <w:szCs w:val="21"/>
                    </w:rPr>
                  </w:pPr>
                  <w:r>
                    <w:rPr>
                      <w:color w:val="auto"/>
                      <w:sz w:val="21"/>
                      <w:szCs w:val="21"/>
                    </w:rPr>
                    <w:t>噪声</w:t>
                  </w:r>
                </w:p>
              </w:tc>
              <w:tc>
                <w:tcPr>
                  <w:tcW w:w="2835" w:type="dxa"/>
                  <w:vAlign w:val="center"/>
                </w:tcPr>
                <w:p w14:paraId="32D9D55E">
                  <w:pPr>
                    <w:adjustRightInd w:val="0"/>
                    <w:snapToGrid w:val="0"/>
                    <w:spacing w:line="240" w:lineRule="auto"/>
                    <w:ind w:firstLine="0" w:firstLineChars="0"/>
                    <w:jc w:val="center"/>
                    <w:rPr>
                      <w:color w:val="auto"/>
                      <w:sz w:val="21"/>
                      <w:szCs w:val="21"/>
                    </w:rPr>
                  </w:pPr>
                  <w:r>
                    <w:rPr>
                      <w:color w:val="auto"/>
                      <w:sz w:val="21"/>
                      <w:szCs w:val="21"/>
                    </w:rPr>
                    <w:t>施工围挡</w:t>
                  </w:r>
                </w:p>
              </w:tc>
              <w:tc>
                <w:tcPr>
                  <w:tcW w:w="1201" w:type="dxa"/>
                  <w:vAlign w:val="center"/>
                </w:tcPr>
                <w:p w14:paraId="6B9D2E9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30AEB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Align w:val="center"/>
                </w:tcPr>
                <w:p w14:paraId="62F6637D">
                  <w:pPr>
                    <w:adjustRightInd w:val="0"/>
                    <w:snapToGrid w:val="0"/>
                    <w:spacing w:line="240" w:lineRule="auto"/>
                    <w:ind w:firstLine="0" w:firstLineChars="0"/>
                    <w:jc w:val="center"/>
                    <w:rPr>
                      <w:color w:val="auto"/>
                      <w:sz w:val="21"/>
                      <w:szCs w:val="21"/>
                    </w:rPr>
                  </w:pPr>
                  <w:r>
                    <w:rPr>
                      <w:color w:val="auto"/>
                      <w:sz w:val="21"/>
                      <w:szCs w:val="21"/>
                    </w:rPr>
                    <w:t>4</w:t>
                  </w:r>
                </w:p>
              </w:tc>
              <w:tc>
                <w:tcPr>
                  <w:tcW w:w="1134" w:type="dxa"/>
                  <w:vAlign w:val="center"/>
                </w:tcPr>
                <w:p w14:paraId="713F6C36">
                  <w:pPr>
                    <w:adjustRightInd w:val="0"/>
                    <w:snapToGrid w:val="0"/>
                    <w:spacing w:line="240" w:lineRule="auto"/>
                    <w:ind w:firstLine="0" w:firstLineChars="0"/>
                    <w:jc w:val="center"/>
                    <w:rPr>
                      <w:color w:val="auto"/>
                      <w:sz w:val="21"/>
                      <w:szCs w:val="21"/>
                    </w:rPr>
                  </w:pPr>
                  <w:r>
                    <w:rPr>
                      <w:color w:val="auto"/>
                      <w:sz w:val="21"/>
                      <w:szCs w:val="21"/>
                    </w:rPr>
                    <w:t>固废处置措施</w:t>
                  </w:r>
                </w:p>
              </w:tc>
              <w:tc>
                <w:tcPr>
                  <w:tcW w:w="1559" w:type="dxa"/>
                  <w:vAlign w:val="center"/>
                </w:tcPr>
                <w:p w14:paraId="3B829C11">
                  <w:pPr>
                    <w:adjustRightInd w:val="0"/>
                    <w:snapToGrid w:val="0"/>
                    <w:spacing w:line="240" w:lineRule="auto"/>
                    <w:ind w:firstLine="0" w:firstLineChars="0"/>
                    <w:jc w:val="center"/>
                    <w:rPr>
                      <w:color w:val="auto"/>
                      <w:sz w:val="21"/>
                      <w:szCs w:val="21"/>
                    </w:rPr>
                  </w:pPr>
                  <w:r>
                    <w:rPr>
                      <w:color w:val="auto"/>
                      <w:sz w:val="21"/>
                      <w:szCs w:val="21"/>
                    </w:rPr>
                    <w:t>固体废物</w:t>
                  </w:r>
                </w:p>
              </w:tc>
              <w:tc>
                <w:tcPr>
                  <w:tcW w:w="2835" w:type="dxa"/>
                  <w:vAlign w:val="center"/>
                </w:tcPr>
                <w:p w14:paraId="4CF4D162">
                  <w:pPr>
                    <w:adjustRightInd w:val="0"/>
                    <w:snapToGrid w:val="0"/>
                    <w:spacing w:line="240" w:lineRule="auto"/>
                    <w:ind w:firstLine="0" w:firstLineChars="0"/>
                    <w:jc w:val="center"/>
                    <w:rPr>
                      <w:color w:val="auto"/>
                      <w:sz w:val="21"/>
                      <w:szCs w:val="21"/>
                    </w:rPr>
                  </w:pPr>
                  <w:r>
                    <w:rPr>
                      <w:color w:val="auto"/>
                      <w:sz w:val="21"/>
                      <w:szCs w:val="21"/>
                    </w:rPr>
                    <w:t>分类收集，统一处置</w:t>
                  </w:r>
                </w:p>
              </w:tc>
              <w:tc>
                <w:tcPr>
                  <w:tcW w:w="1201" w:type="dxa"/>
                  <w:vAlign w:val="center"/>
                </w:tcPr>
                <w:p w14:paraId="273050B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w:t>
                  </w:r>
                </w:p>
              </w:tc>
            </w:tr>
            <w:tr w14:paraId="0F342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4" w:type="dxa"/>
                  <w:gridSpan w:val="5"/>
                  <w:vAlign w:val="center"/>
                </w:tcPr>
                <w:p w14:paraId="088F0230">
                  <w:pPr>
                    <w:adjustRightInd w:val="0"/>
                    <w:snapToGrid w:val="0"/>
                    <w:spacing w:line="240" w:lineRule="auto"/>
                    <w:ind w:firstLine="0" w:firstLineChars="0"/>
                    <w:jc w:val="center"/>
                    <w:rPr>
                      <w:color w:val="auto"/>
                      <w:sz w:val="21"/>
                      <w:szCs w:val="21"/>
                    </w:rPr>
                  </w:pPr>
                  <w:r>
                    <w:rPr>
                      <w:color w:val="auto"/>
                      <w:sz w:val="21"/>
                      <w:szCs w:val="21"/>
                    </w:rPr>
                    <w:t>运营期</w:t>
                  </w:r>
                </w:p>
              </w:tc>
            </w:tr>
            <w:tr w14:paraId="13AE8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Align w:val="center"/>
                </w:tcPr>
                <w:p w14:paraId="4F0DBB9A">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1</w:t>
                  </w:r>
                </w:p>
              </w:tc>
              <w:tc>
                <w:tcPr>
                  <w:tcW w:w="1134" w:type="dxa"/>
                  <w:vAlign w:val="center"/>
                </w:tcPr>
                <w:p w14:paraId="1FD9A1D6">
                  <w:pPr>
                    <w:adjustRightInd w:val="0"/>
                    <w:snapToGrid w:val="0"/>
                    <w:spacing w:line="240" w:lineRule="auto"/>
                    <w:ind w:firstLine="0" w:firstLineChars="0"/>
                    <w:jc w:val="center"/>
                    <w:rPr>
                      <w:color w:val="auto"/>
                      <w:sz w:val="21"/>
                      <w:szCs w:val="21"/>
                    </w:rPr>
                  </w:pPr>
                  <w:r>
                    <w:rPr>
                      <w:color w:val="auto"/>
                      <w:sz w:val="21"/>
                      <w:szCs w:val="21"/>
                    </w:rPr>
                    <w:t>水环境保护措施</w:t>
                  </w:r>
                </w:p>
              </w:tc>
              <w:tc>
                <w:tcPr>
                  <w:tcW w:w="1559" w:type="dxa"/>
                  <w:vAlign w:val="center"/>
                </w:tcPr>
                <w:p w14:paraId="45EB0548">
                  <w:pPr>
                    <w:adjustRightInd w:val="0"/>
                    <w:snapToGrid w:val="0"/>
                    <w:spacing w:line="240" w:lineRule="auto"/>
                    <w:ind w:firstLine="0" w:firstLineChars="0"/>
                    <w:jc w:val="center"/>
                    <w:rPr>
                      <w:color w:val="auto"/>
                      <w:sz w:val="21"/>
                      <w:szCs w:val="21"/>
                    </w:rPr>
                  </w:pPr>
                  <w:r>
                    <w:rPr>
                      <w:color w:val="auto"/>
                      <w:sz w:val="21"/>
                      <w:szCs w:val="21"/>
                    </w:rPr>
                    <w:t>生活污水</w:t>
                  </w:r>
                </w:p>
              </w:tc>
              <w:tc>
                <w:tcPr>
                  <w:tcW w:w="2835" w:type="dxa"/>
                  <w:vAlign w:val="center"/>
                </w:tcPr>
                <w:p w14:paraId="1DECA1FE">
                  <w:pPr>
                    <w:adjustRightInd w:val="0"/>
                    <w:snapToGrid w:val="0"/>
                    <w:spacing w:line="240" w:lineRule="auto"/>
                    <w:ind w:firstLine="0" w:firstLineChars="0"/>
                    <w:jc w:val="center"/>
                    <w:rPr>
                      <w:rFonts w:hint="eastAsia" w:eastAsia="宋体"/>
                      <w:color w:val="auto"/>
                      <w:sz w:val="21"/>
                      <w:szCs w:val="21"/>
                      <w:lang w:eastAsia="zh-CN"/>
                    </w:rPr>
                  </w:pPr>
                  <w:r>
                    <w:rPr>
                      <w:color w:val="auto"/>
                      <w:sz w:val="21"/>
                      <w:szCs w:val="21"/>
                    </w:rPr>
                    <w:t>生活污水进入化粪池（50m</w:t>
                  </w:r>
                  <w:r>
                    <w:rPr>
                      <w:color w:val="auto"/>
                      <w:sz w:val="21"/>
                      <w:szCs w:val="21"/>
                      <w:vertAlign w:val="superscript"/>
                    </w:rPr>
                    <w:t>3</w:t>
                  </w:r>
                  <w:r>
                    <w:rPr>
                      <w:color w:val="auto"/>
                      <w:sz w:val="21"/>
                      <w:szCs w:val="21"/>
                    </w:rPr>
                    <w:t>）处理后，进入医院污水处理站</w:t>
                  </w:r>
                  <w:r>
                    <w:rPr>
                      <w:rFonts w:hint="eastAsia"/>
                      <w:color w:val="auto"/>
                      <w:sz w:val="21"/>
                      <w:szCs w:val="21"/>
                      <w:lang w:eastAsia="zh-CN"/>
                    </w:rPr>
                    <w:t>（</w:t>
                  </w:r>
                  <w:r>
                    <w:rPr>
                      <w:rFonts w:hint="eastAsia"/>
                      <w:color w:val="auto"/>
                      <w:sz w:val="21"/>
                      <w:szCs w:val="21"/>
                      <w:lang w:val="en-US" w:eastAsia="zh-CN"/>
                    </w:rPr>
                    <w:t>江城卫生院新建</w:t>
                  </w:r>
                  <w:r>
                    <w:rPr>
                      <w:rFonts w:hint="eastAsia"/>
                      <w:color w:val="auto"/>
                      <w:sz w:val="21"/>
                      <w:szCs w:val="21"/>
                      <w:lang w:eastAsia="zh-CN"/>
                    </w:rPr>
                    <w:t>）</w:t>
                  </w:r>
                </w:p>
              </w:tc>
              <w:tc>
                <w:tcPr>
                  <w:tcW w:w="1201" w:type="dxa"/>
                  <w:vAlign w:val="center"/>
                </w:tcPr>
                <w:p w14:paraId="6852076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20.0</w:t>
                  </w:r>
                </w:p>
              </w:tc>
            </w:tr>
            <w:tr w14:paraId="2BF5C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5" w:type="dxa"/>
                  <w:vAlign w:val="center"/>
                </w:tcPr>
                <w:p w14:paraId="7298B383">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p>
              </w:tc>
              <w:tc>
                <w:tcPr>
                  <w:tcW w:w="1134" w:type="dxa"/>
                  <w:vAlign w:val="center"/>
                </w:tcPr>
                <w:p w14:paraId="0CDC8B7A">
                  <w:pPr>
                    <w:adjustRightInd w:val="0"/>
                    <w:snapToGrid w:val="0"/>
                    <w:spacing w:line="240" w:lineRule="auto"/>
                    <w:ind w:firstLine="0" w:firstLineChars="0"/>
                    <w:jc w:val="center"/>
                    <w:rPr>
                      <w:color w:val="auto"/>
                      <w:sz w:val="21"/>
                      <w:szCs w:val="21"/>
                    </w:rPr>
                  </w:pPr>
                  <w:r>
                    <w:rPr>
                      <w:color w:val="auto"/>
                      <w:sz w:val="21"/>
                      <w:szCs w:val="21"/>
                    </w:rPr>
                    <w:t>噪声处置措施</w:t>
                  </w:r>
                </w:p>
              </w:tc>
              <w:tc>
                <w:tcPr>
                  <w:tcW w:w="1559" w:type="dxa"/>
                  <w:vAlign w:val="center"/>
                </w:tcPr>
                <w:p w14:paraId="71528777">
                  <w:pPr>
                    <w:adjustRightInd w:val="0"/>
                    <w:snapToGrid w:val="0"/>
                    <w:spacing w:line="240" w:lineRule="auto"/>
                    <w:ind w:firstLine="0" w:firstLineChars="0"/>
                    <w:jc w:val="center"/>
                    <w:rPr>
                      <w:color w:val="auto"/>
                      <w:sz w:val="21"/>
                      <w:szCs w:val="21"/>
                    </w:rPr>
                  </w:pPr>
                  <w:r>
                    <w:rPr>
                      <w:color w:val="auto"/>
                      <w:sz w:val="21"/>
                      <w:szCs w:val="21"/>
                    </w:rPr>
                    <w:t>噪声</w:t>
                  </w:r>
                </w:p>
              </w:tc>
              <w:tc>
                <w:tcPr>
                  <w:tcW w:w="2835" w:type="dxa"/>
                  <w:vAlign w:val="center"/>
                </w:tcPr>
                <w:p w14:paraId="57D5B095">
                  <w:pPr>
                    <w:adjustRightInd w:val="0"/>
                    <w:snapToGrid w:val="0"/>
                    <w:spacing w:line="240" w:lineRule="auto"/>
                    <w:ind w:firstLine="0" w:firstLineChars="0"/>
                    <w:jc w:val="center"/>
                    <w:rPr>
                      <w:color w:val="auto"/>
                      <w:sz w:val="21"/>
                      <w:szCs w:val="21"/>
                    </w:rPr>
                  </w:pPr>
                  <w:r>
                    <w:rPr>
                      <w:color w:val="auto"/>
                      <w:sz w:val="21"/>
                      <w:szCs w:val="21"/>
                    </w:rPr>
                    <w:t>基础减震、厂房隔声、距离衰减</w:t>
                  </w:r>
                </w:p>
              </w:tc>
              <w:tc>
                <w:tcPr>
                  <w:tcW w:w="1201" w:type="dxa"/>
                  <w:vAlign w:val="center"/>
                </w:tcPr>
                <w:p w14:paraId="39E825D7">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7.</w:t>
                  </w:r>
                  <w:r>
                    <w:rPr>
                      <w:color w:val="auto"/>
                      <w:sz w:val="21"/>
                      <w:szCs w:val="21"/>
                    </w:rPr>
                    <w:t>0</w:t>
                  </w:r>
                </w:p>
              </w:tc>
            </w:tr>
            <w:tr w14:paraId="4BA6E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Merge w:val="restart"/>
                  <w:vAlign w:val="center"/>
                </w:tcPr>
                <w:p w14:paraId="52A4C503">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3</w:t>
                  </w:r>
                </w:p>
              </w:tc>
              <w:tc>
                <w:tcPr>
                  <w:tcW w:w="1134" w:type="dxa"/>
                  <w:vMerge w:val="restart"/>
                  <w:vAlign w:val="center"/>
                </w:tcPr>
                <w:p w14:paraId="025FED57">
                  <w:pPr>
                    <w:adjustRightInd w:val="0"/>
                    <w:snapToGrid w:val="0"/>
                    <w:spacing w:line="240" w:lineRule="auto"/>
                    <w:ind w:firstLine="0" w:firstLineChars="0"/>
                    <w:jc w:val="center"/>
                    <w:rPr>
                      <w:color w:val="auto"/>
                      <w:sz w:val="21"/>
                      <w:szCs w:val="21"/>
                    </w:rPr>
                  </w:pPr>
                  <w:r>
                    <w:rPr>
                      <w:color w:val="auto"/>
                      <w:sz w:val="21"/>
                      <w:szCs w:val="21"/>
                    </w:rPr>
                    <w:t>固废处置措施</w:t>
                  </w:r>
                </w:p>
              </w:tc>
              <w:tc>
                <w:tcPr>
                  <w:tcW w:w="1559" w:type="dxa"/>
                  <w:vAlign w:val="center"/>
                </w:tcPr>
                <w:p w14:paraId="3A9FA58E">
                  <w:pPr>
                    <w:adjustRightInd w:val="0"/>
                    <w:snapToGrid w:val="0"/>
                    <w:spacing w:line="240" w:lineRule="auto"/>
                    <w:ind w:firstLine="0" w:firstLineChars="0"/>
                    <w:jc w:val="center"/>
                    <w:rPr>
                      <w:color w:val="auto"/>
                      <w:sz w:val="21"/>
                      <w:szCs w:val="21"/>
                    </w:rPr>
                  </w:pPr>
                  <w:r>
                    <w:rPr>
                      <w:color w:val="auto"/>
                      <w:sz w:val="21"/>
                      <w:szCs w:val="21"/>
                    </w:rPr>
                    <w:t>一般固废</w:t>
                  </w:r>
                </w:p>
              </w:tc>
              <w:tc>
                <w:tcPr>
                  <w:tcW w:w="2835" w:type="dxa"/>
                  <w:vAlign w:val="center"/>
                </w:tcPr>
                <w:p w14:paraId="0AC92131">
                  <w:pPr>
                    <w:adjustRightInd w:val="0"/>
                    <w:snapToGrid w:val="0"/>
                    <w:spacing w:line="240" w:lineRule="auto"/>
                    <w:ind w:firstLine="0" w:firstLineChars="0"/>
                    <w:jc w:val="center"/>
                    <w:rPr>
                      <w:color w:val="auto"/>
                      <w:sz w:val="21"/>
                      <w:szCs w:val="21"/>
                    </w:rPr>
                  </w:pPr>
                  <w:r>
                    <w:rPr>
                      <w:color w:val="auto"/>
                      <w:sz w:val="21"/>
                      <w:szCs w:val="21"/>
                    </w:rPr>
                    <w:t>设置小型垃圾桶，收集后委托处置</w:t>
                  </w:r>
                </w:p>
              </w:tc>
              <w:tc>
                <w:tcPr>
                  <w:tcW w:w="1201" w:type="dxa"/>
                  <w:vAlign w:val="center"/>
                </w:tcPr>
                <w:p w14:paraId="753DB292">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5.</w:t>
                  </w:r>
                  <w:r>
                    <w:rPr>
                      <w:color w:val="auto"/>
                      <w:sz w:val="21"/>
                      <w:szCs w:val="21"/>
                    </w:rPr>
                    <w:t>0</w:t>
                  </w:r>
                </w:p>
              </w:tc>
            </w:tr>
            <w:tr w14:paraId="66300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dxa"/>
                  <w:vMerge w:val="continue"/>
                  <w:vAlign w:val="center"/>
                </w:tcPr>
                <w:p w14:paraId="776D4549">
                  <w:pPr>
                    <w:adjustRightInd w:val="0"/>
                    <w:snapToGrid w:val="0"/>
                    <w:spacing w:line="240" w:lineRule="auto"/>
                    <w:ind w:firstLine="0" w:firstLineChars="0"/>
                    <w:jc w:val="center"/>
                    <w:rPr>
                      <w:rFonts w:hint="eastAsia"/>
                      <w:color w:val="auto"/>
                      <w:sz w:val="21"/>
                      <w:szCs w:val="21"/>
                      <w:lang w:val="en-US" w:eastAsia="zh-CN"/>
                    </w:rPr>
                  </w:pPr>
                </w:p>
              </w:tc>
              <w:tc>
                <w:tcPr>
                  <w:tcW w:w="1134" w:type="dxa"/>
                  <w:vMerge w:val="continue"/>
                  <w:vAlign w:val="center"/>
                </w:tcPr>
                <w:p w14:paraId="26445D68">
                  <w:pPr>
                    <w:adjustRightInd w:val="0"/>
                    <w:snapToGrid w:val="0"/>
                    <w:spacing w:line="240" w:lineRule="auto"/>
                    <w:ind w:firstLine="0" w:firstLineChars="0"/>
                    <w:jc w:val="center"/>
                    <w:rPr>
                      <w:color w:val="auto"/>
                      <w:sz w:val="21"/>
                      <w:szCs w:val="21"/>
                    </w:rPr>
                  </w:pPr>
                </w:p>
              </w:tc>
              <w:tc>
                <w:tcPr>
                  <w:tcW w:w="1559" w:type="dxa"/>
                  <w:vAlign w:val="center"/>
                </w:tcPr>
                <w:p w14:paraId="56D3656A">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医疗废弃物</w:t>
                  </w:r>
                </w:p>
              </w:tc>
              <w:tc>
                <w:tcPr>
                  <w:tcW w:w="2835" w:type="dxa"/>
                  <w:vAlign w:val="center"/>
                </w:tcPr>
                <w:p w14:paraId="5316363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医疗废弃物暂存间收集暂存后委托有资质单位处理</w:t>
                  </w:r>
                </w:p>
              </w:tc>
              <w:tc>
                <w:tcPr>
                  <w:tcW w:w="1201" w:type="dxa"/>
                  <w:vAlign w:val="center"/>
                </w:tcPr>
                <w:p w14:paraId="4F7AE6E3">
                  <w:pPr>
                    <w:adjustRightInd w:val="0"/>
                    <w:snapToGrid w:val="0"/>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5.0</w:t>
                  </w:r>
                </w:p>
              </w:tc>
            </w:tr>
            <w:tr w14:paraId="1D3E1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73" w:type="dxa"/>
                  <w:gridSpan w:val="4"/>
                  <w:vAlign w:val="center"/>
                </w:tcPr>
                <w:p w14:paraId="41D88AAA">
                  <w:pPr>
                    <w:adjustRightInd w:val="0"/>
                    <w:snapToGrid w:val="0"/>
                    <w:spacing w:line="240" w:lineRule="auto"/>
                    <w:ind w:firstLine="0" w:firstLineChars="0"/>
                    <w:jc w:val="center"/>
                    <w:rPr>
                      <w:color w:val="auto"/>
                      <w:sz w:val="21"/>
                      <w:szCs w:val="21"/>
                    </w:rPr>
                  </w:pPr>
                  <w:r>
                    <w:rPr>
                      <w:color w:val="auto"/>
                      <w:sz w:val="21"/>
                      <w:szCs w:val="21"/>
                    </w:rPr>
                    <w:t>合计</w:t>
                  </w:r>
                </w:p>
              </w:tc>
              <w:tc>
                <w:tcPr>
                  <w:tcW w:w="1201" w:type="dxa"/>
                  <w:vAlign w:val="center"/>
                </w:tcPr>
                <w:p w14:paraId="5AD667E6">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53</w:t>
                  </w:r>
                </w:p>
              </w:tc>
            </w:tr>
          </w:tbl>
          <w:p w14:paraId="3CF18514">
            <w:pPr>
              <w:ind w:firstLine="480"/>
              <w:rPr>
                <w:color w:val="auto"/>
              </w:rPr>
            </w:pPr>
          </w:p>
        </w:tc>
      </w:tr>
      <w:tr w14:paraId="620B08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5" w:type="dxa"/>
            <w:vAlign w:val="center"/>
          </w:tcPr>
          <w:p w14:paraId="4BD18F67">
            <w:pPr>
              <w:ind w:firstLine="0" w:firstLineChars="0"/>
              <w:rPr>
                <w:color w:val="auto"/>
              </w:rPr>
            </w:pPr>
            <w:r>
              <w:rPr>
                <w:color w:val="auto"/>
              </w:rPr>
              <w:t>工艺流程和产排污环节</w:t>
            </w:r>
          </w:p>
        </w:tc>
        <w:tc>
          <w:tcPr>
            <w:tcW w:w="7797" w:type="dxa"/>
            <w:vAlign w:val="center"/>
          </w:tcPr>
          <w:p w14:paraId="5B41EA43">
            <w:pPr>
              <w:ind w:firstLine="480"/>
              <w:rPr>
                <w:color w:val="auto"/>
              </w:rPr>
            </w:pPr>
            <w:r>
              <w:rPr>
                <w:color w:val="auto"/>
              </w:rPr>
              <w:t>1、施工期：</w:t>
            </w:r>
          </w:p>
          <w:p w14:paraId="76574256">
            <w:pPr>
              <w:widowControl/>
              <w:ind w:firstLine="480"/>
              <w:jc w:val="left"/>
              <w:rPr>
                <w:color w:val="auto"/>
              </w:rPr>
            </w:pPr>
            <w:r>
              <w:rPr>
                <w:color w:val="auto"/>
              </w:rPr>
              <w:t>本项目施工期进行基础工程、主体工程、装修工程、设备安装等施工过程中，会对周围环境产生一定影响，主要产污为施工扬尘、机械噪声、建筑垃圾、生活垃圾、生活污水等。</w:t>
            </w:r>
          </w:p>
          <w:p w14:paraId="3719BA97">
            <w:pPr>
              <w:widowControl/>
              <w:ind w:firstLine="480"/>
              <w:jc w:val="left"/>
              <w:rPr>
                <w:color w:val="auto"/>
              </w:rPr>
            </w:pPr>
            <w:r>
              <w:rPr>
                <w:color w:val="auto"/>
              </w:rPr>
              <w:t>施工期工艺流程及产污环节如下图。</w:t>
            </w:r>
          </w:p>
          <w:p w14:paraId="221BDBC6">
            <w:pPr>
              <w:widowControl/>
              <w:ind w:firstLine="480"/>
              <w:jc w:val="center"/>
              <w:rPr>
                <w:color w:val="auto"/>
              </w:rPr>
            </w:pPr>
            <w:r>
              <w:rPr>
                <w:color w:val="auto"/>
                <w:lang w:bidi="ar"/>
              </w:rPr>
              <w:drawing>
                <wp:inline distT="0" distB="0" distL="0" distR="0">
                  <wp:extent cx="4519930" cy="17913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553666" cy="1804762"/>
                          </a:xfrm>
                          <a:prstGeom prst="rect">
                            <a:avLst/>
                          </a:prstGeom>
                          <a:noFill/>
                          <a:ln>
                            <a:noFill/>
                          </a:ln>
                        </pic:spPr>
                      </pic:pic>
                    </a:graphicData>
                  </a:graphic>
                </wp:inline>
              </w:drawing>
            </w:r>
          </w:p>
          <w:p w14:paraId="01205D84">
            <w:pPr>
              <w:widowControl/>
              <w:ind w:firstLine="480"/>
              <w:jc w:val="center"/>
              <w:rPr>
                <w:color w:val="auto"/>
              </w:rPr>
            </w:pPr>
            <w:r>
              <w:rPr>
                <w:color w:val="auto"/>
              </w:rPr>
              <w:t>图2-2施工期工艺流程及产污环节图</w:t>
            </w:r>
          </w:p>
          <w:p w14:paraId="1C8144BF">
            <w:pPr>
              <w:widowControl/>
              <w:ind w:firstLine="480"/>
              <w:jc w:val="left"/>
              <w:rPr>
                <w:rFonts w:hint="eastAsia" w:eastAsia="宋体"/>
                <w:color w:val="auto"/>
                <w:lang w:eastAsia="zh-CN"/>
              </w:rPr>
            </w:pPr>
            <w:r>
              <w:rPr>
                <w:color w:val="auto"/>
              </w:rPr>
              <w:t>（1）施工期主要污染工序</w:t>
            </w:r>
          </w:p>
          <w:p w14:paraId="637B003B">
            <w:pPr>
              <w:widowControl/>
              <w:ind w:firstLine="480"/>
              <w:jc w:val="left"/>
              <w:rPr>
                <w:color w:val="auto"/>
              </w:rPr>
            </w:pPr>
            <w:r>
              <w:rPr>
                <w:rFonts w:hint="eastAsia" w:ascii="宋体" w:hAnsi="宋体" w:cs="宋体"/>
                <w:color w:val="auto"/>
              </w:rPr>
              <w:t>①</w:t>
            </w:r>
            <w:r>
              <w:rPr>
                <w:color w:val="auto"/>
              </w:rPr>
              <w:t>基础工程施工</w:t>
            </w:r>
          </w:p>
          <w:p w14:paraId="7F2350D3">
            <w:pPr>
              <w:widowControl/>
              <w:ind w:firstLine="480"/>
              <w:jc w:val="left"/>
              <w:rPr>
                <w:color w:val="auto"/>
              </w:rPr>
            </w:pPr>
            <w:r>
              <w:rPr>
                <w:color w:val="auto"/>
              </w:rPr>
              <w:t>施工人员主要利用挖掘机等机械设备开挖基坑，开挖完成后利用夯土机将地基夯实。基础工程施工期间主要产污为施工扬尘、临时土方及机械噪声，还会产生少量燃烧废气、施工废水及生活垃圾。</w:t>
            </w:r>
          </w:p>
          <w:p w14:paraId="77479846">
            <w:pPr>
              <w:widowControl/>
              <w:ind w:firstLine="480"/>
              <w:jc w:val="left"/>
              <w:rPr>
                <w:color w:val="auto"/>
              </w:rPr>
            </w:pPr>
            <w:r>
              <w:rPr>
                <w:rFonts w:hint="eastAsia" w:ascii="宋体" w:hAnsi="宋体" w:cs="宋体"/>
                <w:color w:val="auto"/>
              </w:rPr>
              <w:t>②</w:t>
            </w:r>
            <w:r>
              <w:rPr>
                <w:color w:val="auto"/>
              </w:rPr>
              <w:t>主体工程及附属工程施工</w:t>
            </w:r>
          </w:p>
          <w:p w14:paraId="2DCE0F30">
            <w:pPr>
              <w:widowControl/>
              <w:ind w:firstLine="480"/>
              <w:jc w:val="left"/>
              <w:rPr>
                <w:color w:val="auto"/>
              </w:rPr>
            </w:pPr>
            <w:r>
              <w:rPr>
                <w:color w:val="auto"/>
              </w:rPr>
              <w:t>项目基础工程完成后，利用砼车、卷扬机、钢筋切割机等设备及砖、钢筋等材料进行主体工程施工。施工机械运行过程中会产生噪声，其噪声值随机械负荷大小而变化；场地清扫、临时土方堆放、建材搬运及汽车运输过程中会产生施工扬尘；整个施工期还会产生如砖块、废设备等建筑垃圾。因此，项目主体工程施工过程主要产污为施工扬尘、建筑垃圾及机械噪声，还会产生少量施工废水及生活垃圾。</w:t>
            </w:r>
          </w:p>
          <w:p w14:paraId="0AA1E16B">
            <w:pPr>
              <w:widowControl/>
              <w:ind w:firstLine="480"/>
              <w:jc w:val="left"/>
              <w:rPr>
                <w:color w:val="auto"/>
              </w:rPr>
            </w:pPr>
            <w:r>
              <w:rPr>
                <w:rFonts w:hint="eastAsia" w:ascii="宋体" w:hAnsi="宋体" w:cs="宋体"/>
                <w:color w:val="auto"/>
              </w:rPr>
              <w:t>③</w:t>
            </w:r>
            <w:r>
              <w:rPr>
                <w:color w:val="auto"/>
              </w:rPr>
              <w:t>装饰工程施工</w:t>
            </w:r>
          </w:p>
          <w:p w14:paraId="3747C4BE">
            <w:pPr>
              <w:widowControl/>
              <w:ind w:firstLine="480"/>
              <w:jc w:val="left"/>
              <w:rPr>
                <w:color w:val="auto"/>
              </w:rPr>
            </w:pPr>
            <w:r>
              <w:rPr>
                <w:color w:val="auto"/>
              </w:rPr>
              <w:t>装饰工程施工主要利用钻机、电锤、切割机等设备及木条、木工板、乳胶漆等材料进行。装修设备运行过程中将产生机械噪声；裁料过程中会产生少量废气；材料使用过程中会产生装修垃圾。因此，项目装饰工程施工过程主要产污为装修垃圾及机械噪声，还有少量废气。</w:t>
            </w:r>
          </w:p>
          <w:p w14:paraId="50E06361">
            <w:pPr>
              <w:widowControl/>
              <w:ind w:firstLine="480"/>
              <w:jc w:val="left"/>
              <w:rPr>
                <w:color w:val="auto"/>
              </w:rPr>
            </w:pPr>
            <w:r>
              <w:rPr>
                <w:rFonts w:hint="eastAsia" w:ascii="宋体" w:hAnsi="宋体" w:cs="宋体"/>
                <w:color w:val="auto"/>
              </w:rPr>
              <w:t>④</w:t>
            </w:r>
            <w:r>
              <w:rPr>
                <w:color w:val="auto"/>
              </w:rPr>
              <w:t>设备安装</w:t>
            </w:r>
          </w:p>
          <w:p w14:paraId="5DA4169E">
            <w:pPr>
              <w:widowControl/>
              <w:ind w:firstLine="480"/>
              <w:jc w:val="left"/>
              <w:rPr>
                <w:color w:val="auto"/>
              </w:rPr>
            </w:pPr>
            <w:r>
              <w:rPr>
                <w:color w:val="auto"/>
              </w:rPr>
              <w:t>本项目需要安装的设备有医疗、消防设备等，设备安装机械有起重机、电焊机、打孔机、切割机等。设备安装工程中会产生噪声、建筑垃圾等。</w:t>
            </w:r>
          </w:p>
          <w:p w14:paraId="3C5457B1">
            <w:pPr>
              <w:ind w:firstLine="480"/>
              <w:rPr>
                <w:color w:val="auto"/>
              </w:rPr>
            </w:pPr>
            <w:r>
              <w:rPr>
                <w:color w:val="auto"/>
              </w:rPr>
              <w:t>2、运营期：</w:t>
            </w:r>
          </w:p>
          <w:p w14:paraId="3714761F">
            <w:pPr>
              <w:ind w:firstLine="480"/>
              <w:rPr>
                <w:b w:val="0"/>
                <w:bCs w:val="0"/>
                <w:color w:val="auto"/>
                <w:kern w:val="0"/>
                <w:szCs w:val="24"/>
                <w:lang w:bidi="ar"/>
              </w:rPr>
            </w:pPr>
            <w:r>
              <w:rPr>
                <w:b w:val="0"/>
                <w:bCs w:val="0"/>
                <w:color w:val="auto"/>
                <w:kern w:val="0"/>
                <w:szCs w:val="24"/>
                <w:lang w:bidi="ar"/>
              </w:rPr>
              <w:t>本项目属于医疗社会服务行业，为来院就医的病人提供专业的诊断治疗服务。</w:t>
            </w:r>
          </w:p>
          <w:p w14:paraId="7EFF4B60">
            <w:pPr>
              <w:bidi w:val="0"/>
              <w:rPr>
                <w:rFonts w:hint="eastAsia"/>
                <w:b w:val="0"/>
                <w:bCs w:val="0"/>
                <w:color w:val="auto"/>
                <w:kern w:val="0"/>
                <w:szCs w:val="24"/>
                <w:lang w:val="en-US" w:eastAsia="zh-CN" w:bidi="ar"/>
              </w:rPr>
            </w:pPr>
            <w:r>
              <w:rPr>
                <w:rFonts w:hint="eastAsia"/>
                <w:b w:val="0"/>
                <w:bCs w:val="0"/>
                <w:color w:val="auto"/>
                <w:kern w:val="0"/>
                <w:szCs w:val="24"/>
                <w:lang w:val="en-US" w:eastAsia="zh-CN" w:bidi="ar"/>
              </w:rPr>
              <w:t>江川区医共体总院扩建消毒中心工艺流程如下：</w:t>
            </w:r>
          </w:p>
          <w:p w14:paraId="47EE7870">
            <w:pPr>
              <w:ind w:firstLine="480"/>
              <w:rPr>
                <w:rFonts w:hint="eastAsia"/>
                <w:b w:val="0"/>
                <w:bCs w:val="0"/>
                <w:color w:val="auto"/>
                <w:kern w:val="0"/>
                <w:szCs w:val="24"/>
                <w:lang w:bidi="ar"/>
              </w:rPr>
            </w:pPr>
            <w:r>
              <w:rPr>
                <w:rFonts w:hint="eastAsia"/>
                <w:b w:val="0"/>
                <w:bCs w:val="0"/>
                <w:color w:val="auto"/>
                <w:kern w:val="0"/>
                <w:szCs w:val="24"/>
                <w:lang w:bidi="ar"/>
              </w:rPr>
              <w:t>第一步：回收与分类</w:t>
            </w:r>
          </w:p>
          <w:p w14:paraId="576903E0">
            <w:pPr>
              <w:ind w:firstLine="480"/>
              <w:rPr>
                <w:rFonts w:hint="eastAsia"/>
                <w:b w:val="0"/>
                <w:bCs w:val="0"/>
                <w:color w:val="auto"/>
                <w:kern w:val="0"/>
                <w:szCs w:val="24"/>
                <w:lang w:bidi="ar"/>
              </w:rPr>
            </w:pPr>
            <w:r>
              <w:rPr>
                <w:rFonts w:hint="eastAsia"/>
                <w:b w:val="0"/>
                <w:bCs w:val="0"/>
                <w:color w:val="auto"/>
                <w:kern w:val="0"/>
                <w:szCs w:val="24"/>
                <w:lang w:val="en-US" w:eastAsia="zh-CN" w:bidi="ar"/>
              </w:rPr>
              <w:t>1、</w:t>
            </w:r>
            <w:r>
              <w:rPr>
                <w:rFonts w:hint="eastAsia"/>
                <w:b w:val="0"/>
                <w:bCs w:val="0"/>
                <w:color w:val="auto"/>
                <w:kern w:val="0"/>
                <w:szCs w:val="24"/>
                <w:lang w:bidi="ar"/>
              </w:rPr>
              <w:t>回收：使用封闭的、有盖的专用容器将使用后的器械从使用部门运送到消毒供应中心的去污区。</w:t>
            </w:r>
          </w:p>
          <w:p w14:paraId="51902342">
            <w:pPr>
              <w:ind w:firstLine="480"/>
              <w:rPr>
                <w:rFonts w:hint="eastAsia"/>
                <w:b w:val="0"/>
                <w:bCs w:val="0"/>
                <w:color w:val="auto"/>
                <w:kern w:val="0"/>
                <w:szCs w:val="24"/>
                <w:lang w:bidi="ar"/>
              </w:rPr>
            </w:pPr>
            <w:r>
              <w:rPr>
                <w:rFonts w:hint="eastAsia"/>
                <w:b w:val="0"/>
                <w:bCs w:val="0"/>
                <w:color w:val="auto"/>
                <w:kern w:val="0"/>
                <w:szCs w:val="24"/>
                <w:lang w:val="en-US" w:eastAsia="zh-CN" w:bidi="ar"/>
              </w:rPr>
              <w:t>2、</w:t>
            </w:r>
            <w:r>
              <w:rPr>
                <w:rFonts w:hint="eastAsia"/>
                <w:b w:val="0"/>
                <w:bCs w:val="0"/>
                <w:color w:val="auto"/>
                <w:kern w:val="0"/>
                <w:szCs w:val="24"/>
                <w:lang w:bidi="ar"/>
              </w:rPr>
              <w:t>分类：在去污区，根据器械的材质（金属、玻璃、塑料）、精密程度（普通、精密、腔镜）、污染程度和清洗方式进行初步分类。</w:t>
            </w:r>
          </w:p>
          <w:p w14:paraId="4A71E7D8">
            <w:pPr>
              <w:ind w:firstLine="480"/>
              <w:rPr>
                <w:rFonts w:hint="eastAsia"/>
                <w:b w:val="0"/>
                <w:bCs w:val="0"/>
                <w:color w:val="auto"/>
                <w:kern w:val="0"/>
                <w:szCs w:val="24"/>
                <w:lang w:bidi="ar"/>
              </w:rPr>
            </w:pPr>
            <w:r>
              <w:rPr>
                <w:rFonts w:hint="eastAsia"/>
                <w:b w:val="0"/>
                <w:bCs w:val="0"/>
                <w:color w:val="auto"/>
                <w:kern w:val="0"/>
                <w:szCs w:val="24"/>
                <w:lang w:bidi="ar"/>
              </w:rPr>
              <w:t>·要点：尖锐器械需单独放置，防止刺伤</w:t>
            </w:r>
          </w:p>
          <w:p w14:paraId="5C189AE6">
            <w:pPr>
              <w:ind w:firstLine="480"/>
              <w:rPr>
                <w:rFonts w:hint="eastAsia"/>
                <w:b w:val="0"/>
                <w:bCs w:val="0"/>
                <w:color w:val="auto"/>
                <w:kern w:val="0"/>
                <w:szCs w:val="24"/>
                <w:lang w:bidi="ar"/>
              </w:rPr>
            </w:pPr>
            <w:r>
              <w:rPr>
                <w:rFonts w:hint="eastAsia"/>
                <w:b w:val="0"/>
                <w:bCs w:val="0"/>
                <w:color w:val="auto"/>
                <w:kern w:val="0"/>
                <w:szCs w:val="24"/>
                <w:lang w:bidi="ar"/>
              </w:rPr>
              <w:t>第二步：预处理（在使用点）</w:t>
            </w:r>
          </w:p>
          <w:p w14:paraId="0183C08A">
            <w:pPr>
              <w:ind w:firstLine="480"/>
              <w:rPr>
                <w:rFonts w:hint="eastAsia"/>
                <w:b w:val="0"/>
                <w:bCs w:val="0"/>
                <w:color w:val="auto"/>
                <w:kern w:val="0"/>
                <w:szCs w:val="24"/>
                <w:lang w:bidi="ar"/>
              </w:rPr>
            </w:pPr>
            <w:r>
              <w:rPr>
                <w:rFonts w:hint="eastAsia"/>
                <w:b w:val="0"/>
                <w:bCs w:val="0"/>
                <w:color w:val="auto"/>
                <w:kern w:val="0"/>
                <w:szCs w:val="24"/>
                <w:lang w:bidi="ar"/>
              </w:rPr>
              <w:t>·理想情况：器械使用后，操作人员应立即用无菌纱布或专用湿巾擦拭掉明显的血液、组织残留物。</w:t>
            </w:r>
          </w:p>
          <w:p w14:paraId="3D7FDE81">
            <w:pPr>
              <w:ind w:firstLine="480"/>
              <w:rPr>
                <w:rFonts w:hint="eastAsia"/>
                <w:b w:val="0"/>
                <w:bCs w:val="0"/>
                <w:color w:val="auto"/>
                <w:kern w:val="0"/>
                <w:szCs w:val="24"/>
                <w:lang w:bidi="ar"/>
              </w:rPr>
            </w:pPr>
            <w:r>
              <w:rPr>
                <w:rFonts w:hint="eastAsia"/>
                <w:b w:val="0"/>
                <w:bCs w:val="0"/>
                <w:color w:val="auto"/>
                <w:kern w:val="0"/>
                <w:szCs w:val="24"/>
                <w:lang w:bidi="ar"/>
              </w:rPr>
              <w:t>·保湿：对于不能立即清洗的器械，应使用专用的保湿剂喷洒或浸泡，以防止污染物干涸。</w:t>
            </w:r>
          </w:p>
          <w:p w14:paraId="10645EF2">
            <w:pPr>
              <w:ind w:firstLine="480"/>
              <w:rPr>
                <w:rFonts w:hint="eastAsia"/>
                <w:b w:val="0"/>
                <w:bCs w:val="0"/>
                <w:color w:val="auto"/>
                <w:kern w:val="0"/>
                <w:szCs w:val="24"/>
                <w:lang w:bidi="ar"/>
              </w:rPr>
            </w:pPr>
            <w:r>
              <w:rPr>
                <w:rFonts w:hint="eastAsia"/>
                <w:b w:val="0"/>
                <w:bCs w:val="0"/>
                <w:color w:val="auto"/>
                <w:kern w:val="0"/>
                <w:szCs w:val="24"/>
                <w:lang w:bidi="ar"/>
              </w:rPr>
              <w:t>第三步：装载与运输</w:t>
            </w:r>
          </w:p>
          <w:p w14:paraId="1813FA07">
            <w:pPr>
              <w:ind w:firstLine="480"/>
              <w:rPr>
                <w:rFonts w:hint="eastAsia"/>
                <w:b w:val="0"/>
                <w:bCs w:val="0"/>
                <w:color w:val="auto"/>
                <w:kern w:val="0"/>
                <w:szCs w:val="24"/>
                <w:lang w:bidi="ar"/>
              </w:rPr>
            </w:pPr>
            <w:r>
              <w:rPr>
                <w:rFonts w:hint="eastAsia"/>
                <w:b w:val="0"/>
                <w:bCs w:val="0"/>
                <w:color w:val="auto"/>
                <w:kern w:val="0"/>
                <w:szCs w:val="24"/>
                <w:lang w:val="en-US" w:eastAsia="zh-CN" w:bidi="ar"/>
              </w:rPr>
              <w:t>1、</w:t>
            </w:r>
            <w:r>
              <w:rPr>
                <w:rFonts w:hint="eastAsia"/>
                <w:b w:val="0"/>
                <w:bCs w:val="0"/>
                <w:color w:val="auto"/>
                <w:kern w:val="0"/>
                <w:szCs w:val="24"/>
                <w:lang w:bidi="ar"/>
              </w:rPr>
              <w:t>安全装载：将器械放置在带盖的、防刺穿的专用收集箱中，确保运输途中无泄漏、无尖锐物暴露。</w:t>
            </w:r>
          </w:p>
          <w:p w14:paraId="61969D6C">
            <w:pPr>
              <w:ind w:firstLine="480"/>
              <w:rPr>
                <w:rFonts w:hint="eastAsia"/>
                <w:b w:val="0"/>
                <w:bCs w:val="0"/>
                <w:color w:val="auto"/>
                <w:kern w:val="0"/>
                <w:szCs w:val="24"/>
                <w:lang w:bidi="ar"/>
              </w:rPr>
            </w:pPr>
            <w:r>
              <w:rPr>
                <w:rFonts w:hint="eastAsia"/>
                <w:b w:val="0"/>
                <w:bCs w:val="0"/>
                <w:color w:val="auto"/>
                <w:kern w:val="0"/>
                <w:szCs w:val="24"/>
                <w:lang w:val="en-US" w:eastAsia="zh-CN" w:bidi="ar"/>
              </w:rPr>
              <w:t>2、</w:t>
            </w:r>
            <w:r>
              <w:rPr>
                <w:rFonts w:hint="eastAsia"/>
                <w:b w:val="0"/>
                <w:bCs w:val="0"/>
                <w:color w:val="auto"/>
                <w:kern w:val="0"/>
                <w:szCs w:val="24"/>
                <w:lang w:bidi="ar"/>
              </w:rPr>
              <w:t>密闭运输：确保运输过程密闭，防止对环境和人员造成污染。</w:t>
            </w:r>
          </w:p>
          <w:p w14:paraId="08895E29">
            <w:pPr>
              <w:ind w:firstLine="480"/>
              <w:rPr>
                <w:rFonts w:hint="eastAsia"/>
                <w:b w:val="0"/>
                <w:bCs w:val="0"/>
                <w:color w:val="auto"/>
                <w:kern w:val="0"/>
                <w:szCs w:val="24"/>
                <w:lang w:bidi="ar"/>
              </w:rPr>
            </w:pPr>
            <w:r>
              <w:rPr>
                <w:rFonts w:hint="eastAsia"/>
                <w:b w:val="0"/>
                <w:bCs w:val="0"/>
                <w:color w:val="auto"/>
                <w:kern w:val="0"/>
                <w:szCs w:val="24"/>
                <w:lang w:bidi="ar"/>
              </w:rPr>
              <w:t>第四步：冲洗（初步清洗）</w:t>
            </w:r>
          </w:p>
          <w:p w14:paraId="197A9234">
            <w:pPr>
              <w:ind w:firstLine="480"/>
              <w:rPr>
                <w:rFonts w:hint="eastAsia"/>
                <w:b w:val="0"/>
                <w:bCs w:val="0"/>
                <w:color w:val="auto"/>
                <w:kern w:val="0"/>
                <w:szCs w:val="24"/>
                <w:lang w:bidi="ar"/>
              </w:rPr>
            </w:pPr>
            <w:r>
              <w:rPr>
                <w:rFonts w:hint="eastAsia"/>
                <w:b w:val="0"/>
                <w:bCs w:val="0"/>
                <w:color w:val="auto"/>
                <w:kern w:val="0"/>
                <w:szCs w:val="24"/>
                <w:lang w:bidi="ar"/>
              </w:rPr>
              <w:t>·目的：在正式清洗前，用流动的冷水或温水冲洗掉器械表面大块的污染物。</w:t>
            </w:r>
          </w:p>
          <w:p w14:paraId="5B4D9957">
            <w:pPr>
              <w:ind w:firstLine="480"/>
              <w:rPr>
                <w:rFonts w:hint="eastAsia"/>
                <w:b w:val="0"/>
                <w:bCs w:val="0"/>
                <w:color w:val="auto"/>
                <w:kern w:val="0"/>
                <w:szCs w:val="24"/>
                <w:lang w:bidi="ar"/>
              </w:rPr>
            </w:pPr>
            <w:r>
              <w:rPr>
                <w:rFonts w:hint="eastAsia"/>
                <w:b w:val="0"/>
                <w:bCs w:val="0"/>
                <w:color w:val="auto"/>
                <w:kern w:val="0"/>
                <w:szCs w:val="24"/>
                <w:lang w:bidi="ar"/>
              </w:rPr>
              <w:t>·注意：避免使用热水，因为热水会使蛋白质类污物凝固，更难清除。</w:t>
            </w:r>
          </w:p>
          <w:p w14:paraId="42F07A73">
            <w:pPr>
              <w:ind w:firstLine="480"/>
              <w:rPr>
                <w:rFonts w:hint="eastAsia"/>
                <w:b w:val="0"/>
                <w:bCs w:val="0"/>
                <w:color w:val="auto"/>
                <w:kern w:val="0"/>
                <w:szCs w:val="24"/>
                <w:lang w:bidi="ar"/>
              </w:rPr>
            </w:pPr>
            <w:r>
              <w:rPr>
                <w:rFonts w:hint="eastAsia"/>
                <w:b w:val="0"/>
                <w:bCs w:val="0"/>
                <w:color w:val="auto"/>
                <w:kern w:val="0"/>
                <w:szCs w:val="24"/>
                <w:lang w:bidi="ar"/>
              </w:rPr>
              <w:t>第五步：浸泡与酶清洁剂清洗</w:t>
            </w:r>
          </w:p>
          <w:p w14:paraId="46C51427">
            <w:pPr>
              <w:ind w:firstLine="480"/>
              <w:rPr>
                <w:rFonts w:hint="eastAsia"/>
                <w:b w:val="0"/>
                <w:bCs w:val="0"/>
                <w:color w:val="auto"/>
                <w:kern w:val="0"/>
                <w:szCs w:val="24"/>
                <w:lang w:bidi="ar"/>
              </w:rPr>
            </w:pPr>
            <w:r>
              <w:rPr>
                <w:rFonts w:hint="eastAsia"/>
                <w:b w:val="0"/>
                <w:bCs w:val="0"/>
                <w:color w:val="auto"/>
                <w:kern w:val="0"/>
                <w:szCs w:val="24"/>
                <w:lang w:val="en-US" w:eastAsia="zh-CN" w:bidi="ar"/>
              </w:rPr>
              <w:t>1、</w:t>
            </w:r>
            <w:r>
              <w:rPr>
                <w:rFonts w:hint="eastAsia"/>
                <w:b w:val="0"/>
                <w:bCs w:val="0"/>
                <w:color w:val="auto"/>
                <w:kern w:val="0"/>
                <w:szCs w:val="24"/>
                <w:lang w:bidi="ar"/>
              </w:rPr>
              <w:t>浸泡：将器械完全浸没在多酶清洗液中。</w:t>
            </w:r>
          </w:p>
          <w:p w14:paraId="2B2234B6">
            <w:pPr>
              <w:ind w:firstLine="480"/>
              <w:rPr>
                <w:rFonts w:hint="eastAsia"/>
                <w:b w:val="0"/>
                <w:bCs w:val="0"/>
                <w:color w:val="auto"/>
                <w:kern w:val="0"/>
                <w:szCs w:val="24"/>
                <w:lang w:bidi="ar"/>
              </w:rPr>
            </w:pPr>
            <w:r>
              <w:rPr>
                <w:rFonts w:hint="eastAsia"/>
                <w:b w:val="0"/>
                <w:bCs w:val="0"/>
                <w:color w:val="auto"/>
                <w:kern w:val="0"/>
                <w:szCs w:val="24"/>
                <w:lang w:val="en-US" w:eastAsia="zh-CN" w:bidi="ar"/>
              </w:rPr>
              <w:t>2、</w:t>
            </w:r>
            <w:r>
              <w:rPr>
                <w:rFonts w:hint="eastAsia"/>
                <w:b w:val="0"/>
                <w:bCs w:val="0"/>
                <w:color w:val="auto"/>
                <w:kern w:val="0"/>
                <w:szCs w:val="24"/>
                <w:lang w:bidi="ar"/>
              </w:rPr>
              <w:t>多酶清洗液：含有能分解蛋白质、脂肪、碳水化合物和淀粉的多种酶，能有效分解器械上复杂的生物污染物。</w:t>
            </w:r>
          </w:p>
          <w:p w14:paraId="0A2E2706">
            <w:pPr>
              <w:ind w:firstLine="480"/>
              <w:rPr>
                <w:rFonts w:hint="eastAsia"/>
                <w:b w:val="0"/>
                <w:bCs w:val="0"/>
                <w:color w:val="auto"/>
                <w:kern w:val="0"/>
                <w:szCs w:val="24"/>
                <w:lang w:bidi="ar"/>
              </w:rPr>
            </w:pPr>
            <w:r>
              <w:rPr>
                <w:rFonts w:hint="eastAsia"/>
                <w:b w:val="0"/>
                <w:bCs w:val="0"/>
                <w:color w:val="auto"/>
                <w:kern w:val="0"/>
                <w:szCs w:val="24"/>
                <w:lang w:bidi="ar"/>
              </w:rPr>
              <w:t>·要求：</w:t>
            </w:r>
          </w:p>
          <w:p w14:paraId="75C41596">
            <w:pPr>
              <w:ind w:firstLine="480"/>
              <w:rPr>
                <w:rFonts w:hint="eastAsia"/>
                <w:b w:val="0"/>
                <w:bCs w:val="0"/>
                <w:color w:val="auto"/>
                <w:kern w:val="0"/>
                <w:szCs w:val="24"/>
                <w:lang w:bidi="ar"/>
              </w:rPr>
            </w:pPr>
            <w:r>
              <w:rPr>
                <w:rFonts w:hint="eastAsia"/>
                <w:b w:val="0"/>
                <w:bCs w:val="0"/>
                <w:color w:val="auto"/>
                <w:kern w:val="0"/>
                <w:szCs w:val="24"/>
                <w:lang w:bidi="ar"/>
              </w:rPr>
              <w:t>·必须现用现配，根据产品说明和污染程度决定浓度和浸泡时间。</w:t>
            </w:r>
          </w:p>
          <w:p w14:paraId="67BAA854">
            <w:pPr>
              <w:ind w:firstLine="480"/>
              <w:rPr>
                <w:rFonts w:hint="eastAsia"/>
                <w:b w:val="0"/>
                <w:bCs w:val="0"/>
                <w:color w:val="auto"/>
                <w:kern w:val="0"/>
                <w:szCs w:val="24"/>
                <w:lang w:bidi="ar"/>
              </w:rPr>
            </w:pPr>
            <w:r>
              <w:rPr>
                <w:rFonts w:hint="eastAsia"/>
                <w:b w:val="0"/>
                <w:bCs w:val="0"/>
                <w:color w:val="auto"/>
                <w:kern w:val="0"/>
                <w:szCs w:val="24"/>
                <w:lang w:bidi="ar"/>
              </w:rPr>
              <w:t>·水温通常控制在30°C-40°C，以保持酶的活性。</w:t>
            </w:r>
          </w:p>
          <w:p w14:paraId="3C974700">
            <w:pPr>
              <w:ind w:firstLine="480"/>
              <w:rPr>
                <w:rFonts w:hint="eastAsia"/>
                <w:b w:val="0"/>
                <w:bCs w:val="0"/>
                <w:color w:val="auto"/>
                <w:kern w:val="0"/>
                <w:szCs w:val="24"/>
                <w:lang w:bidi="ar"/>
              </w:rPr>
            </w:pPr>
            <w:r>
              <w:rPr>
                <w:rFonts w:hint="eastAsia"/>
                <w:b w:val="0"/>
                <w:bCs w:val="0"/>
                <w:color w:val="auto"/>
                <w:kern w:val="0"/>
                <w:szCs w:val="24"/>
                <w:lang w:bidi="ar"/>
              </w:rPr>
              <w:t>·管腔类器械需确保腔内充满酶液。</w:t>
            </w:r>
          </w:p>
          <w:p w14:paraId="77DA2EEA">
            <w:pPr>
              <w:ind w:firstLine="480"/>
              <w:rPr>
                <w:rFonts w:hint="eastAsia"/>
                <w:b w:val="0"/>
                <w:bCs w:val="0"/>
                <w:color w:val="auto"/>
                <w:kern w:val="0"/>
                <w:szCs w:val="24"/>
                <w:lang w:bidi="ar"/>
              </w:rPr>
            </w:pPr>
            <w:r>
              <w:rPr>
                <w:rFonts w:hint="eastAsia"/>
                <w:b w:val="0"/>
                <w:bCs w:val="0"/>
                <w:color w:val="auto"/>
                <w:kern w:val="0"/>
                <w:szCs w:val="24"/>
                <w:lang w:bidi="ar"/>
              </w:rPr>
              <w:t>第六步：刷洗与擦洗（手工清洗关键步骤）</w:t>
            </w:r>
          </w:p>
          <w:p w14:paraId="05694AF3">
            <w:pPr>
              <w:ind w:firstLine="480"/>
              <w:rPr>
                <w:rFonts w:hint="eastAsia"/>
                <w:b w:val="0"/>
                <w:bCs w:val="0"/>
                <w:color w:val="auto"/>
                <w:kern w:val="0"/>
                <w:szCs w:val="24"/>
                <w:lang w:bidi="ar"/>
              </w:rPr>
            </w:pPr>
            <w:r>
              <w:rPr>
                <w:rFonts w:hint="eastAsia"/>
                <w:b w:val="0"/>
                <w:bCs w:val="0"/>
                <w:color w:val="auto"/>
                <w:kern w:val="0"/>
                <w:szCs w:val="24"/>
                <w:lang w:bidi="ar"/>
              </w:rPr>
              <w:t>·工具：使用软毛刷、纱布、管道刷等专用工具。</w:t>
            </w:r>
          </w:p>
          <w:p w14:paraId="5EC93A2B">
            <w:pPr>
              <w:ind w:firstLine="480"/>
              <w:rPr>
                <w:rFonts w:hint="eastAsia"/>
                <w:b w:val="0"/>
                <w:bCs w:val="0"/>
                <w:color w:val="auto"/>
                <w:kern w:val="0"/>
                <w:szCs w:val="24"/>
                <w:lang w:bidi="ar"/>
              </w:rPr>
            </w:pPr>
            <w:r>
              <w:rPr>
                <w:rFonts w:hint="eastAsia"/>
                <w:b w:val="0"/>
                <w:bCs w:val="0"/>
                <w:color w:val="auto"/>
                <w:kern w:val="0"/>
                <w:szCs w:val="24"/>
                <w:lang w:bidi="ar"/>
              </w:rPr>
              <w:t>·方法：</w:t>
            </w:r>
          </w:p>
          <w:p w14:paraId="49DB0939">
            <w:pPr>
              <w:ind w:firstLine="480"/>
              <w:rPr>
                <w:rFonts w:hint="eastAsia"/>
                <w:b w:val="0"/>
                <w:bCs w:val="0"/>
                <w:color w:val="auto"/>
                <w:kern w:val="0"/>
                <w:szCs w:val="24"/>
                <w:lang w:bidi="ar"/>
              </w:rPr>
            </w:pPr>
            <w:r>
              <w:rPr>
                <w:rFonts w:hint="eastAsia"/>
                <w:b w:val="0"/>
                <w:bCs w:val="0"/>
                <w:color w:val="auto"/>
                <w:kern w:val="0"/>
                <w:szCs w:val="24"/>
                <w:lang w:val="en-US" w:eastAsia="zh-CN" w:bidi="ar"/>
              </w:rPr>
              <w:t>1、</w:t>
            </w:r>
            <w:r>
              <w:rPr>
                <w:rFonts w:hint="eastAsia"/>
                <w:b w:val="0"/>
                <w:bCs w:val="0"/>
                <w:color w:val="auto"/>
                <w:kern w:val="0"/>
                <w:szCs w:val="24"/>
                <w:lang w:bidi="ar"/>
              </w:rPr>
              <w:t>在酶液水面下进行刷洗，防止气溶胶产生。</w:t>
            </w:r>
          </w:p>
          <w:p w14:paraId="62F824F3">
            <w:pPr>
              <w:ind w:firstLine="480"/>
              <w:rPr>
                <w:rFonts w:hint="eastAsia"/>
                <w:b w:val="0"/>
                <w:bCs w:val="0"/>
                <w:color w:val="auto"/>
                <w:kern w:val="0"/>
                <w:szCs w:val="24"/>
                <w:lang w:bidi="ar"/>
              </w:rPr>
            </w:pPr>
            <w:r>
              <w:rPr>
                <w:rFonts w:hint="eastAsia"/>
                <w:b w:val="0"/>
                <w:bCs w:val="0"/>
                <w:color w:val="auto"/>
                <w:kern w:val="0"/>
                <w:szCs w:val="24"/>
                <w:lang w:val="en-US" w:eastAsia="zh-CN" w:bidi="ar"/>
              </w:rPr>
              <w:t>2、</w:t>
            </w:r>
            <w:r>
              <w:rPr>
                <w:rFonts w:hint="eastAsia"/>
                <w:b w:val="0"/>
                <w:bCs w:val="0"/>
                <w:color w:val="auto"/>
                <w:kern w:val="0"/>
                <w:szCs w:val="24"/>
                <w:lang w:bidi="ar"/>
              </w:rPr>
              <w:t>对器械的关节、齿牙、缝隙、管腔内壁等难以清洗的部位进行重点刷洗。</w:t>
            </w:r>
          </w:p>
          <w:p w14:paraId="350C8FEF">
            <w:pPr>
              <w:ind w:firstLine="480"/>
              <w:rPr>
                <w:rFonts w:hint="eastAsia"/>
                <w:b w:val="0"/>
                <w:bCs w:val="0"/>
                <w:color w:val="auto"/>
                <w:kern w:val="0"/>
                <w:szCs w:val="24"/>
                <w:lang w:bidi="ar"/>
              </w:rPr>
            </w:pPr>
            <w:r>
              <w:rPr>
                <w:rFonts w:hint="eastAsia"/>
                <w:b w:val="0"/>
                <w:bCs w:val="0"/>
                <w:color w:val="auto"/>
                <w:kern w:val="0"/>
                <w:szCs w:val="24"/>
                <w:lang w:val="en-US" w:eastAsia="zh-CN" w:bidi="ar"/>
              </w:rPr>
              <w:t>3、</w:t>
            </w:r>
            <w:r>
              <w:rPr>
                <w:rFonts w:hint="eastAsia"/>
                <w:b w:val="0"/>
                <w:bCs w:val="0"/>
                <w:color w:val="auto"/>
                <w:kern w:val="0"/>
                <w:szCs w:val="24"/>
                <w:lang w:bidi="ar"/>
              </w:rPr>
              <w:t>确保所有表面都被彻底刷洗到。</w:t>
            </w:r>
          </w:p>
          <w:p w14:paraId="5E765F76">
            <w:pPr>
              <w:ind w:firstLine="480"/>
              <w:rPr>
                <w:rFonts w:hint="eastAsia"/>
                <w:b w:val="0"/>
                <w:bCs w:val="0"/>
                <w:color w:val="auto"/>
                <w:kern w:val="0"/>
                <w:szCs w:val="24"/>
                <w:lang w:bidi="ar"/>
              </w:rPr>
            </w:pPr>
            <w:r>
              <w:rPr>
                <w:rFonts w:hint="eastAsia"/>
                <w:b w:val="0"/>
                <w:bCs w:val="0"/>
                <w:color w:val="auto"/>
                <w:kern w:val="0"/>
                <w:szCs w:val="24"/>
                <w:lang w:val="en-US" w:eastAsia="zh-CN" w:bidi="ar"/>
              </w:rPr>
              <w:t>4、</w:t>
            </w:r>
            <w:r>
              <w:rPr>
                <w:rFonts w:hint="eastAsia"/>
                <w:b w:val="0"/>
                <w:bCs w:val="0"/>
                <w:color w:val="auto"/>
                <w:kern w:val="0"/>
                <w:szCs w:val="24"/>
                <w:lang w:bidi="ar"/>
              </w:rPr>
              <w:t>注意：动作要轻柔，避免损坏器械尖端和功能部位。</w:t>
            </w:r>
          </w:p>
          <w:p w14:paraId="68D4D8AB">
            <w:pPr>
              <w:ind w:firstLine="480"/>
              <w:rPr>
                <w:rFonts w:hint="eastAsia"/>
                <w:b w:val="0"/>
                <w:bCs w:val="0"/>
                <w:color w:val="auto"/>
                <w:kern w:val="0"/>
                <w:szCs w:val="24"/>
                <w:lang w:bidi="ar"/>
              </w:rPr>
            </w:pPr>
            <w:r>
              <w:rPr>
                <w:rFonts w:hint="eastAsia"/>
                <w:b w:val="0"/>
                <w:bCs w:val="0"/>
                <w:color w:val="auto"/>
                <w:kern w:val="0"/>
                <w:szCs w:val="24"/>
                <w:lang w:bidi="ar"/>
              </w:rPr>
              <w:t>第七步：漂洗</w:t>
            </w:r>
          </w:p>
          <w:p w14:paraId="5B56958A">
            <w:pPr>
              <w:ind w:firstLine="480"/>
              <w:rPr>
                <w:rFonts w:hint="eastAsia"/>
                <w:b w:val="0"/>
                <w:bCs w:val="0"/>
                <w:color w:val="auto"/>
                <w:kern w:val="0"/>
                <w:szCs w:val="24"/>
                <w:lang w:bidi="ar"/>
              </w:rPr>
            </w:pPr>
            <w:r>
              <w:rPr>
                <w:rFonts w:hint="eastAsia"/>
                <w:b w:val="0"/>
                <w:bCs w:val="0"/>
                <w:color w:val="auto"/>
                <w:kern w:val="0"/>
                <w:szCs w:val="24"/>
                <w:lang w:bidi="ar"/>
              </w:rPr>
              <w:t>·目的：彻底冲洗掉器械上所有的污染物残留和化学清洗剂。</w:t>
            </w:r>
          </w:p>
          <w:p w14:paraId="1A1A864A">
            <w:pPr>
              <w:ind w:firstLine="480"/>
              <w:rPr>
                <w:rFonts w:hint="eastAsia"/>
                <w:b w:val="0"/>
                <w:bCs w:val="0"/>
                <w:color w:val="auto"/>
                <w:kern w:val="0"/>
                <w:szCs w:val="24"/>
                <w:lang w:bidi="ar"/>
              </w:rPr>
            </w:pPr>
            <w:r>
              <w:rPr>
                <w:rFonts w:hint="eastAsia"/>
                <w:b w:val="0"/>
                <w:bCs w:val="0"/>
                <w:color w:val="auto"/>
                <w:kern w:val="0"/>
                <w:szCs w:val="24"/>
                <w:lang w:bidi="ar"/>
              </w:rPr>
              <w:t>·方法：</w:t>
            </w:r>
          </w:p>
          <w:p w14:paraId="5F0B9818">
            <w:pPr>
              <w:ind w:firstLine="480"/>
              <w:rPr>
                <w:rFonts w:hint="eastAsia"/>
                <w:b w:val="0"/>
                <w:bCs w:val="0"/>
                <w:color w:val="auto"/>
                <w:kern w:val="0"/>
                <w:szCs w:val="24"/>
                <w:lang w:bidi="ar"/>
              </w:rPr>
            </w:pPr>
            <w:r>
              <w:rPr>
                <w:rFonts w:hint="eastAsia"/>
                <w:b w:val="0"/>
                <w:bCs w:val="0"/>
                <w:color w:val="auto"/>
                <w:kern w:val="0"/>
                <w:szCs w:val="24"/>
                <w:lang w:val="en-US" w:eastAsia="zh-CN" w:bidi="ar"/>
              </w:rPr>
              <w:t>1、</w:t>
            </w:r>
            <w:r>
              <w:rPr>
                <w:rFonts w:hint="eastAsia"/>
                <w:b w:val="0"/>
                <w:bCs w:val="0"/>
                <w:color w:val="auto"/>
                <w:kern w:val="0"/>
                <w:szCs w:val="24"/>
                <w:lang w:bidi="ar"/>
              </w:rPr>
              <w:t>先用流动水进行彻底冲洗。</w:t>
            </w:r>
          </w:p>
          <w:p w14:paraId="28C659DF">
            <w:pPr>
              <w:ind w:firstLine="480"/>
              <w:rPr>
                <w:rFonts w:hint="eastAsia"/>
                <w:b w:val="0"/>
                <w:bCs w:val="0"/>
                <w:color w:val="auto"/>
                <w:kern w:val="0"/>
                <w:szCs w:val="24"/>
                <w:lang w:bidi="ar"/>
              </w:rPr>
            </w:pPr>
            <w:r>
              <w:rPr>
                <w:rFonts w:hint="eastAsia"/>
                <w:b w:val="0"/>
                <w:bCs w:val="0"/>
                <w:color w:val="auto"/>
                <w:kern w:val="0"/>
                <w:szCs w:val="24"/>
                <w:lang w:val="en-US" w:eastAsia="zh-CN" w:bidi="ar"/>
              </w:rPr>
              <w:t>2、</w:t>
            </w:r>
            <w:r>
              <w:rPr>
                <w:rFonts w:hint="eastAsia"/>
                <w:b w:val="0"/>
                <w:bCs w:val="0"/>
                <w:color w:val="auto"/>
                <w:kern w:val="0"/>
                <w:szCs w:val="24"/>
                <w:lang w:bidi="ar"/>
              </w:rPr>
              <w:t>再用纯水/软化水进行终末漂洗，以防止水中的矿物质在器械表面形成斑点或水垢。</w:t>
            </w:r>
          </w:p>
          <w:p w14:paraId="276DEB4F">
            <w:pPr>
              <w:ind w:firstLine="480"/>
              <w:rPr>
                <w:rFonts w:hint="eastAsia"/>
                <w:b w:val="0"/>
                <w:bCs w:val="0"/>
                <w:color w:val="auto"/>
                <w:kern w:val="0"/>
                <w:szCs w:val="24"/>
                <w:lang w:bidi="ar"/>
              </w:rPr>
            </w:pPr>
            <w:r>
              <w:rPr>
                <w:rFonts w:hint="eastAsia"/>
                <w:b w:val="0"/>
                <w:bCs w:val="0"/>
                <w:color w:val="auto"/>
                <w:kern w:val="0"/>
                <w:szCs w:val="24"/>
                <w:lang w:val="en-US" w:eastAsia="zh-CN" w:bidi="ar"/>
              </w:rPr>
              <w:t>3、</w:t>
            </w:r>
            <w:r>
              <w:rPr>
                <w:rFonts w:hint="eastAsia"/>
                <w:b w:val="0"/>
                <w:bCs w:val="0"/>
                <w:color w:val="auto"/>
                <w:kern w:val="0"/>
                <w:szCs w:val="24"/>
                <w:lang w:bidi="ar"/>
              </w:rPr>
              <w:t>管腔器械：需使用高压水枪进行管腔内部的冲洗。</w:t>
            </w:r>
          </w:p>
          <w:p w14:paraId="11EF6507">
            <w:pPr>
              <w:ind w:firstLine="480"/>
              <w:rPr>
                <w:rFonts w:hint="eastAsia"/>
                <w:b w:val="0"/>
                <w:bCs w:val="0"/>
                <w:color w:val="auto"/>
                <w:kern w:val="0"/>
                <w:szCs w:val="24"/>
                <w:lang w:bidi="ar"/>
              </w:rPr>
            </w:pPr>
            <w:r>
              <w:rPr>
                <w:rFonts w:hint="eastAsia"/>
                <w:b w:val="0"/>
                <w:bCs w:val="0"/>
                <w:color w:val="auto"/>
                <w:kern w:val="0"/>
                <w:szCs w:val="24"/>
                <w:lang w:bidi="ar"/>
              </w:rPr>
              <w:t>第八步：终末处理与干燥</w:t>
            </w:r>
          </w:p>
          <w:p w14:paraId="6BAB1950">
            <w:pPr>
              <w:ind w:firstLine="480"/>
              <w:rPr>
                <w:rFonts w:hint="eastAsia"/>
                <w:b w:val="0"/>
                <w:bCs w:val="0"/>
                <w:color w:val="auto"/>
                <w:kern w:val="0"/>
                <w:szCs w:val="24"/>
                <w:lang w:bidi="ar"/>
              </w:rPr>
            </w:pPr>
            <w:r>
              <w:rPr>
                <w:rFonts w:hint="eastAsia"/>
                <w:b w:val="0"/>
                <w:bCs w:val="0"/>
                <w:color w:val="auto"/>
                <w:kern w:val="0"/>
                <w:szCs w:val="24"/>
                <w:lang w:bidi="ar"/>
              </w:rPr>
              <w:t>·干燥：</w:t>
            </w:r>
          </w:p>
          <w:p w14:paraId="741910C9">
            <w:pPr>
              <w:ind w:firstLine="480"/>
              <w:rPr>
                <w:rFonts w:hint="eastAsia"/>
                <w:b w:val="0"/>
                <w:bCs w:val="0"/>
                <w:color w:val="auto"/>
                <w:kern w:val="0"/>
                <w:szCs w:val="24"/>
                <w:lang w:bidi="ar"/>
              </w:rPr>
            </w:pPr>
            <w:r>
              <w:rPr>
                <w:rFonts w:hint="eastAsia"/>
                <w:b w:val="0"/>
                <w:bCs w:val="0"/>
                <w:color w:val="auto"/>
                <w:kern w:val="0"/>
                <w:szCs w:val="24"/>
                <w:lang w:bidi="ar"/>
              </w:rPr>
              <w:t>·手工干燥：用低纤维絮擦布彻底擦干器械表面。</w:t>
            </w:r>
          </w:p>
          <w:p w14:paraId="1D163586">
            <w:pPr>
              <w:ind w:firstLine="480"/>
              <w:rPr>
                <w:rFonts w:hint="eastAsia"/>
                <w:b w:val="0"/>
                <w:bCs w:val="0"/>
                <w:color w:val="auto"/>
                <w:kern w:val="0"/>
                <w:szCs w:val="24"/>
                <w:lang w:bidi="ar"/>
              </w:rPr>
            </w:pPr>
            <w:r>
              <w:rPr>
                <w:rFonts w:hint="eastAsia"/>
                <w:b w:val="0"/>
                <w:bCs w:val="0"/>
                <w:color w:val="auto"/>
                <w:kern w:val="0"/>
                <w:szCs w:val="24"/>
                <w:lang w:bidi="ar"/>
              </w:rPr>
              <w:t>·机械干燥：使用医用干燥柜（70°C-90°C）进行烘干，这是首选方法，尤其适用于管腔器械。</w:t>
            </w:r>
          </w:p>
          <w:p w14:paraId="0DCA0E6D">
            <w:pPr>
              <w:ind w:firstLine="480"/>
              <w:rPr>
                <w:rFonts w:hint="eastAsia"/>
                <w:b w:val="0"/>
                <w:bCs w:val="0"/>
                <w:color w:val="auto"/>
                <w:kern w:val="0"/>
                <w:szCs w:val="24"/>
                <w:lang w:bidi="ar"/>
              </w:rPr>
            </w:pPr>
            <w:r>
              <w:rPr>
                <w:rFonts w:hint="eastAsia"/>
                <w:b w:val="0"/>
                <w:bCs w:val="0"/>
                <w:color w:val="auto"/>
                <w:kern w:val="0"/>
                <w:szCs w:val="24"/>
                <w:lang w:bidi="ar"/>
              </w:rPr>
              <w:t>·管腔器械：必须使用高压气枪吹干内部水分。</w:t>
            </w:r>
          </w:p>
          <w:p w14:paraId="0D0B1CC9">
            <w:pPr>
              <w:ind w:firstLine="480"/>
              <w:rPr>
                <w:rFonts w:hint="eastAsia"/>
                <w:b w:val="0"/>
                <w:bCs w:val="0"/>
                <w:color w:val="auto"/>
                <w:kern w:val="0"/>
                <w:szCs w:val="24"/>
                <w:lang w:bidi="ar"/>
              </w:rPr>
            </w:pPr>
            <w:r>
              <w:rPr>
                <w:rFonts w:hint="eastAsia"/>
                <w:b w:val="0"/>
                <w:bCs w:val="0"/>
                <w:color w:val="auto"/>
                <w:kern w:val="0"/>
                <w:szCs w:val="24"/>
                <w:lang w:bidi="ar"/>
              </w:rPr>
              <w:t>·检查与保养：</w:t>
            </w:r>
          </w:p>
          <w:p w14:paraId="12DFB584">
            <w:pPr>
              <w:ind w:firstLine="480"/>
              <w:rPr>
                <w:rFonts w:hint="eastAsia"/>
                <w:b w:val="0"/>
                <w:bCs w:val="0"/>
                <w:color w:val="auto"/>
                <w:kern w:val="0"/>
                <w:szCs w:val="24"/>
                <w:lang w:bidi="ar"/>
              </w:rPr>
            </w:pPr>
            <w:r>
              <w:rPr>
                <w:rFonts w:hint="eastAsia"/>
                <w:b w:val="0"/>
                <w:bCs w:val="0"/>
                <w:color w:val="auto"/>
                <w:kern w:val="0"/>
                <w:szCs w:val="24"/>
                <w:lang w:bidi="ar"/>
              </w:rPr>
              <w:t>·检查：在光源放大镜下检查器械是否清洁、无残留、功能完好、无锈无垢。不合格者返回重洗。</w:t>
            </w:r>
          </w:p>
          <w:p w14:paraId="05582410">
            <w:pPr>
              <w:ind w:firstLine="480"/>
              <w:rPr>
                <w:rFonts w:hint="eastAsia"/>
                <w:b w:val="0"/>
                <w:bCs w:val="0"/>
                <w:color w:val="auto"/>
                <w:kern w:val="0"/>
                <w:szCs w:val="24"/>
                <w:lang w:bidi="ar"/>
              </w:rPr>
            </w:pPr>
            <w:r>
              <w:rPr>
                <w:rFonts w:hint="eastAsia"/>
                <w:b w:val="0"/>
                <w:bCs w:val="0"/>
                <w:color w:val="auto"/>
                <w:kern w:val="0"/>
                <w:szCs w:val="24"/>
                <w:lang w:bidi="ar"/>
              </w:rPr>
              <w:t>·保养：对金属器械（如手术剪刀、钳类）进行上油保养，特别是有关节和锁齿的部位。</w:t>
            </w:r>
          </w:p>
          <w:p w14:paraId="341633E1">
            <w:pPr>
              <w:ind w:firstLine="480"/>
              <w:rPr>
                <w:rFonts w:hint="eastAsia"/>
                <w:b w:val="0"/>
                <w:bCs w:val="0"/>
                <w:color w:val="auto"/>
                <w:kern w:val="0"/>
                <w:szCs w:val="24"/>
                <w:lang w:bidi="ar"/>
              </w:rPr>
            </w:pPr>
            <w:r>
              <w:rPr>
                <w:rFonts w:hint="eastAsia"/>
                <w:b w:val="0"/>
                <w:bCs w:val="0"/>
                <w:color w:val="auto"/>
                <w:kern w:val="0"/>
                <w:szCs w:val="24"/>
                <w:lang w:bidi="ar"/>
              </w:rPr>
              <w:t>第九步：包装</w:t>
            </w:r>
          </w:p>
          <w:p w14:paraId="56F528C0">
            <w:pPr>
              <w:ind w:firstLine="480"/>
              <w:rPr>
                <w:rFonts w:hint="eastAsia"/>
                <w:b w:val="0"/>
                <w:bCs w:val="0"/>
                <w:color w:val="auto"/>
                <w:kern w:val="0"/>
                <w:szCs w:val="24"/>
                <w:lang w:bidi="ar"/>
              </w:rPr>
            </w:pPr>
            <w:r>
              <w:rPr>
                <w:rFonts w:hint="eastAsia"/>
                <w:b w:val="0"/>
                <w:bCs w:val="0"/>
                <w:color w:val="auto"/>
                <w:kern w:val="0"/>
                <w:szCs w:val="24"/>
                <w:lang w:bidi="ar"/>
              </w:rPr>
              <w:t>·将彻底清洗并干燥后的器械，按照使用要求进行包装，为下一步的灭菌做好准备。</w:t>
            </w:r>
          </w:p>
          <w:p w14:paraId="2C9542B9">
            <w:pPr>
              <w:ind w:firstLine="480"/>
              <w:rPr>
                <w:rFonts w:hint="eastAsia"/>
                <w:b w:val="0"/>
                <w:bCs w:val="0"/>
                <w:color w:val="auto"/>
                <w:kern w:val="0"/>
                <w:szCs w:val="24"/>
                <w:lang w:bidi="ar"/>
              </w:rPr>
            </w:pPr>
            <w:r>
              <w:rPr>
                <w:rFonts w:hint="eastAsia"/>
                <w:b w:val="0"/>
                <w:bCs w:val="0"/>
                <w:color w:val="auto"/>
                <w:kern w:val="0"/>
                <w:szCs w:val="24"/>
                <w:lang w:bidi="ar"/>
              </w:rPr>
              <w:t>·包装材料应允许灭菌因子穿透并能保持无菌状态。</w:t>
            </w:r>
          </w:p>
          <w:p w14:paraId="417992DF">
            <w:pPr>
              <w:ind w:firstLine="480"/>
              <w:rPr>
                <w:rFonts w:hint="eastAsia"/>
                <w:b w:val="0"/>
                <w:bCs w:val="0"/>
                <w:color w:val="auto"/>
                <w:kern w:val="0"/>
                <w:szCs w:val="24"/>
                <w:lang w:bidi="ar"/>
              </w:rPr>
            </w:pPr>
            <w:r>
              <w:rPr>
                <w:rFonts w:hint="eastAsia"/>
                <w:b w:val="0"/>
                <w:bCs w:val="0"/>
                <w:color w:val="auto"/>
                <w:kern w:val="0"/>
                <w:szCs w:val="24"/>
                <w:lang w:bidi="ar"/>
              </w:rPr>
              <w:t>第十步：灭菌与储存</w:t>
            </w:r>
          </w:p>
          <w:p w14:paraId="670B5351">
            <w:pPr>
              <w:ind w:firstLine="480"/>
              <w:rPr>
                <w:rFonts w:hint="eastAsia"/>
                <w:b w:val="0"/>
                <w:bCs w:val="0"/>
                <w:color w:val="auto"/>
                <w:kern w:val="0"/>
                <w:szCs w:val="24"/>
                <w:lang w:bidi="ar"/>
              </w:rPr>
            </w:pPr>
            <w:r>
              <w:rPr>
                <w:rFonts w:hint="eastAsia"/>
                <w:b w:val="0"/>
                <w:bCs w:val="0"/>
                <w:color w:val="auto"/>
                <w:kern w:val="0"/>
                <w:szCs w:val="24"/>
                <w:lang w:bidi="ar"/>
              </w:rPr>
              <w:t>·灭菌：根据器械的材质和耐受性，选择合适的灭菌方法（如压力蒸汽灭菌、</w:t>
            </w:r>
            <w:r>
              <w:rPr>
                <w:rFonts w:hint="eastAsia"/>
                <w:b w:val="0"/>
                <w:bCs w:val="0"/>
                <w:color w:val="auto"/>
                <w:kern w:val="0"/>
                <w:szCs w:val="24"/>
                <w:lang w:val="en-US" w:eastAsia="zh-CN" w:bidi="ar"/>
              </w:rPr>
              <w:t>低温甲醛灭菌</w:t>
            </w:r>
            <w:r>
              <w:rPr>
                <w:rFonts w:hint="eastAsia"/>
                <w:b w:val="0"/>
                <w:bCs w:val="0"/>
                <w:color w:val="auto"/>
                <w:kern w:val="0"/>
                <w:szCs w:val="24"/>
                <w:lang w:bidi="ar"/>
              </w:rPr>
              <w:t>等）。</w:t>
            </w:r>
          </w:p>
          <w:p w14:paraId="2058D628">
            <w:pPr>
              <w:pStyle w:val="57"/>
              <w:spacing w:before="185" w:line="359" w:lineRule="auto"/>
              <w:ind w:left="13" w:firstLine="477"/>
              <w:rPr>
                <w:color w:val="auto"/>
              </w:rPr>
            </w:pPr>
            <w:r>
              <w:rPr>
                <w:color w:val="auto"/>
              </w:rPr>
              <w:t>根据医疗器械类型不同，选用不同的灭菌工艺，主</w:t>
            </w:r>
            <w:r>
              <w:rPr>
                <w:color w:val="auto"/>
                <w:spacing w:val="-1"/>
              </w:rPr>
              <w:t>要包括压力蒸汽灭菌、低温</w:t>
            </w:r>
            <w:r>
              <w:rPr>
                <w:color w:val="auto"/>
                <w:spacing w:val="3"/>
              </w:rPr>
              <w:t>灭菌</w:t>
            </w:r>
            <w:r>
              <w:rPr>
                <w:rFonts w:ascii="Times New Roman" w:hAnsi="Times New Roman" w:eastAsia="Times New Roman" w:cs="Times New Roman"/>
                <w:color w:val="auto"/>
                <w:spacing w:val="3"/>
              </w:rPr>
              <w:t>2</w:t>
            </w:r>
            <w:r>
              <w:rPr>
                <w:color w:val="auto"/>
                <w:spacing w:val="3"/>
              </w:rPr>
              <w:t>种。其中低温灭菌分为环氧乙烷灭菌及过氧化氢低温等离子灭菌。各</w:t>
            </w:r>
            <w:r>
              <w:rPr>
                <w:color w:val="auto"/>
                <w:spacing w:val="2"/>
              </w:rPr>
              <w:t>种灭菌</w:t>
            </w:r>
            <w:r>
              <w:rPr>
                <w:color w:val="auto"/>
                <w:spacing w:val="-1"/>
              </w:rPr>
              <w:t>工艺适用情况及工艺叙述如下：</w:t>
            </w:r>
          </w:p>
          <w:p w14:paraId="743075B7">
            <w:pPr>
              <w:pStyle w:val="57"/>
              <w:spacing w:line="219" w:lineRule="auto"/>
              <w:ind w:left="482"/>
              <w:rPr>
                <w:color w:val="auto"/>
              </w:rPr>
            </w:pPr>
            <w:r>
              <w:rPr>
                <w:rFonts w:ascii="Times New Roman" w:hAnsi="Times New Roman" w:eastAsia="Times New Roman" w:cs="Times New Roman"/>
                <w:color w:val="auto"/>
                <w:spacing w:val="-1"/>
              </w:rPr>
              <w:t>A.</w:t>
            </w:r>
            <w:r>
              <w:rPr>
                <w:color w:val="auto"/>
                <w:spacing w:val="-1"/>
              </w:rPr>
              <w:t>压力蒸汽灭菌</w:t>
            </w:r>
          </w:p>
          <w:p w14:paraId="6217CAEB">
            <w:pPr>
              <w:pStyle w:val="57"/>
              <w:spacing w:before="184" w:line="219" w:lineRule="auto"/>
              <w:ind w:left="490"/>
              <w:rPr>
                <w:color w:val="auto"/>
              </w:rPr>
            </w:pPr>
            <w:r>
              <w:rPr>
                <w:color w:val="auto"/>
                <w:spacing w:val="-1"/>
              </w:rPr>
              <w:t>适用情况：耐湿、耐热的器械、器具和物品应首选压力蒸汽灭菌。</w:t>
            </w:r>
          </w:p>
          <w:p w14:paraId="634E97C8">
            <w:pPr>
              <w:pStyle w:val="57"/>
              <w:spacing w:before="35" w:line="359" w:lineRule="auto"/>
              <w:ind w:left="8" w:right="1" w:firstLine="485"/>
              <w:rPr>
                <w:color w:val="auto"/>
              </w:rPr>
            </w:pPr>
            <w:r>
              <w:rPr>
                <w:color w:val="auto"/>
                <w:spacing w:val="7"/>
              </w:rPr>
              <w:t>工艺叙述：压力蒸汽灭菌操作程序包括灭菌前准备、灭菌物品</w:t>
            </w:r>
            <w:r>
              <w:rPr>
                <w:color w:val="auto"/>
                <w:spacing w:val="6"/>
              </w:rPr>
              <w:t>装载、灭菌操</w:t>
            </w:r>
            <w:r>
              <w:rPr>
                <w:color w:val="auto"/>
                <w:spacing w:val="-1"/>
              </w:rPr>
              <w:t>作、无菌物品卸载等步骤。</w:t>
            </w:r>
            <w:r>
              <w:rPr>
                <w:color w:val="auto"/>
                <w:spacing w:val="7"/>
              </w:rPr>
              <w:t>灭菌前准备：设备运行前应进行安全检查，包括灭菌器压力表处在</w:t>
            </w:r>
            <w:r>
              <w:rPr>
                <w:rFonts w:ascii="Times New Roman" w:hAnsi="Times New Roman" w:eastAsia="Times New Roman" w:cs="Times New Roman"/>
                <w:color w:val="auto"/>
                <w:spacing w:val="7"/>
              </w:rPr>
              <w:t>“</w:t>
            </w:r>
            <w:r>
              <w:rPr>
                <w:color w:val="auto"/>
                <w:spacing w:val="7"/>
              </w:rPr>
              <w:t>零</w:t>
            </w:r>
            <w:r>
              <w:rPr>
                <w:rFonts w:ascii="Times New Roman" w:hAnsi="Times New Roman" w:eastAsia="Times New Roman" w:cs="Times New Roman"/>
                <w:color w:val="auto"/>
                <w:spacing w:val="7"/>
              </w:rPr>
              <w:t>”</w:t>
            </w:r>
            <w:r>
              <w:rPr>
                <w:color w:val="auto"/>
                <w:spacing w:val="7"/>
              </w:rPr>
              <w:t>的位</w:t>
            </w:r>
            <w:r>
              <w:rPr>
                <w:color w:val="auto"/>
              </w:rPr>
              <w:t>置，密封圈平整无损坏，冷凝水排出口通畅，设备内壁清</w:t>
            </w:r>
            <w:r>
              <w:rPr>
                <w:color w:val="auto"/>
                <w:spacing w:val="-1"/>
              </w:rPr>
              <w:t>洁；电源、水源、蒸汽、压缩空气等运行条件符合设备要求。</w:t>
            </w:r>
          </w:p>
          <w:p w14:paraId="00830027">
            <w:pPr>
              <w:pStyle w:val="57"/>
              <w:spacing w:line="359" w:lineRule="auto"/>
              <w:ind w:left="14" w:firstLine="478"/>
              <w:rPr>
                <w:color w:val="auto"/>
              </w:rPr>
            </w:pPr>
            <w:r>
              <w:rPr>
                <w:color w:val="auto"/>
              </w:rPr>
              <w:t>灭菌物品装载：使用专用灭菌架或篮筐装载</w:t>
            </w:r>
            <w:r>
              <w:rPr>
                <w:color w:val="auto"/>
                <w:spacing w:val="-1"/>
              </w:rPr>
              <w:t>灭菌物品，将同类材质的器械、器具和物品，置于同一批次进行灭菌。</w:t>
            </w:r>
          </w:p>
          <w:p w14:paraId="4DA8D0E2">
            <w:pPr>
              <w:pStyle w:val="57"/>
              <w:spacing w:before="1" w:line="359" w:lineRule="auto"/>
              <w:ind w:left="14" w:firstLine="479"/>
              <w:jc w:val="both"/>
              <w:rPr>
                <w:color w:val="auto"/>
              </w:rPr>
            </w:pPr>
            <w:r>
              <w:rPr>
                <w:color w:val="auto"/>
                <w:spacing w:val="3"/>
              </w:rPr>
              <w:t>灭菌操作：压力蒸汽灭菌温度一般为</w:t>
            </w:r>
            <w:r>
              <w:rPr>
                <w:rFonts w:ascii="Times New Roman" w:hAnsi="Times New Roman" w:eastAsia="Times New Roman" w:cs="Times New Roman"/>
                <w:color w:val="auto"/>
                <w:spacing w:val="3"/>
              </w:rPr>
              <w:t>121~134℃</w:t>
            </w:r>
            <w:r>
              <w:rPr>
                <w:color w:val="auto"/>
                <w:spacing w:val="3"/>
              </w:rPr>
              <w:t>,灭菌时间</w:t>
            </w:r>
            <w:r>
              <w:rPr>
                <w:rFonts w:ascii="Times New Roman" w:hAnsi="Times New Roman" w:eastAsia="Times New Roman" w:cs="Times New Roman"/>
                <w:color w:val="auto"/>
                <w:spacing w:val="3"/>
              </w:rPr>
              <w:t>20~40</w:t>
            </w:r>
            <w:r>
              <w:rPr>
                <w:rFonts w:ascii="Times New Roman" w:hAnsi="Times New Roman" w:eastAsia="Times New Roman" w:cs="Times New Roman"/>
                <w:color w:val="auto"/>
              </w:rPr>
              <w:t>min</w:t>
            </w:r>
            <w:r>
              <w:rPr>
                <w:color w:val="auto"/>
                <w:spacing w:val="3"/>
              </w:rPr>
              <w:t>，压力</w:t>
            </w:r>
            <w:r>
              <w:rPr>
                <w:rFonts w:ascii="Times New Roman" w:hAnsi="Times New Roman" w:eastAsia="Times New Roman" w:cs="Times New Roman"/>
                <w:color w:val="auto"/>
                <w:spacing w:val="3"/>
              </w:rPr>
              <w:t>102.9</w:t>
            </w:r>
            <w:r>
              <w:rPr>
                <w:rFonts w:ascii="Times New Roman" w:hAnsi="Times New Roman" w:eastAsia="Times New Roman" w:cs="Times New Roman"/>
                <w:color w:val="auto"/>
              </w:rPr>
              <w:t>kPa</w:t>
            </w:r>
            <w:r>
              <w:rPr>
                <w:rFonts w:ascii="Times New Roman" w:hAnsi="Times New Roman" w:eastAsia="Times New Roman" w:cs="Times New Roman"/>
                <w:color w:val="auto"/>
                <w:spacing w:val="3"/>
              </w:rPr>
              <w:t>~205.8</w:t>
            </w:r>
            <w:r>
              <w:rPr>
                <w:rFonts w:ascii="Times New Roman" w:hAnsi="Times New Roman" w:eastAsia="Times New Roman" w:cs="Times New Roman"/>
                <w:color w:val="auto"/>
              </w:rPr>
              <w:t>kPa</w:t>
            </w:r>
            <w:r>
              <w:rPr>
                <w:color w:val="auto"/>
                <w:spacing w:val="3"/>
              </w:rPr>
              <w:t>。观测并记录灭菌时的温度、压力和时间等灭菌参数及设</w:t>
            </w:r>
            <w:r>
              <w:rPr>
                <w:color w:val="auto"/>
                <w:spacing w:val="2"/>
              </w:rPr>
              <w:t>备运</w:t>
            </w:r>
            <w:r>
              <w:rPr>
                <w:color w:val="auto"/>
                <w:spacing w:val="-4"/>
              </w:rPr>
              <w:t>行状况。</w:t>
            </w:r>
          </w:p>
          <w:p w14:paraId="6C8C7F2E">
            <w:pPr>
              <w:pStyle w:val="57"/>
              <w:spacing w:line="359" w:lineRule="auto"/>
              <w:ind w:left="21" w:firstLine="470"/>
              <w:rPr>
                <w:color w:val="auto"/>
              </w:rPr>
            </w:pPr>
            <w:r>
              <w:rPr>
                <w:color w:val="auto"/>
              </w:rPr>
              <w:t>无菌物品卸载：从灭菌器卸载取出的物品，待</w:t>
            </w:r>
            <w:r>
              <w:rPr>
                <w:color w:val="auto"/>
                <w:spacing w:val="-1"/>
              </w:rPr>
              <w:t>温度降至室温时方可移动，冷却</w:t>
            </w:r>
            <w:r>
              <w:rPr>
                <w:color w:val="auto"/>
                <w:spacing w:val="-2"/>
              </w:rPr>
              <w:t>时间应＞</w:t>
            </w:r>
            <w:r>
              <w:rPr>
                <w:rFonts w:ascii="Times New Roman" w:hAnsi="Times New Roman" w:eastAsia="Times New Roman" w:cs="Times New Roman"/>
                <w:color w:val="auto"/>
                <w:spacing w:val="-2"/>
              </w:rPr>
              <w:t>30min</w:t>
            </w:r>
            <w:r>
              <w:rPr>
                <w:color w:val="auto"/>
                <w:spacing w:val="-2"/>
              </w:rPr>
              <w:t>。</w:t>
            </w:r>
          </w:p>
          <w:p w14:paraId="4904A126">
            <w:pPr>
              <w:pStyle w:val="57"/>
              <w:spacing w:line="359" w:lineRule="auto"/>
              <w:ind w:left="27" w:firstLine="463"/>
              <w:rPr>
                <w:color w:val="auto"/>
              </w:rPr>
            </w:pPr>
            <w:r>
              <w:rPr>
                <w:color w:val="auto"/>
              </w:rPr>
              <w:t>压力蒸汽灭菌过程蒸汽大部分在使用过程损耗，</w:t>
            </w:r>
            <w:r>
              <w:rPr>
                <w:color w:val="auto"/>
                <w:spacing w:val="-1"/>
              </w:rPr>
              <w:t>少量蒸汽冷凝水收集后排至厂</w:t>
            </w:r>
            <w:r>
              <w:rPr>
                <w:color w:val="auto"/>
                <w:spacing w:val="-4"/>
              </w:rPr>
              <w:t>区污水处理站。</w:t>
            </w:r>
          </w:p>
          <w:p w14:paraId="161C2C84">
            <w:pPr>
              <w:pStyle w:val="57"/>
              <w:spacing w:line="218" w:lineRule="auto"/>
              <w:ind w:left="484"/>
              <w:rPr>
                <w:rFonts w:hint="eastAsia" w:eastAsia="宋体"/>
                <w:color w:val="auto"/>
                <w:lang w:val="en-US" w:eastAsia="zh-CN"/>
              </w:rPr>
            </w:pPr>
            <w:r>
              <w:rPr>
                <w:rFonts w:ascii="Times New Roman" w:hAnsi="Times New Roman" w:eastAsia="Times New Roman" w:cs="Times New Roman"/>
                <w:color w:val="auto"/>
                <w:spacing w:val="-1"/>
              </w:rPr>
              <w:t>B.</w:t>
            </w:r>
            <w:r>
              <w:rPr>
                <w:color w:val="auto"/>
                <w:spacing w:val="-1"/>
              </w:rPr>
              <w:t>低温消毒</w:t>
            </w:r>
            <w:r>
              <w:rPr>
                <w:rFonts w:ascii="Times New Roman" w:hAnsi="Times New Roman" w:eastAsia="Times New Roman" w:cs="Times New Roman"/>
                <w:color w:val="auto"/>
                <w:spacing w:val="-1"/>
              </w:rPr>
              <w:t>—</w:t>
            </w:r>
            <w:r>
              <w:rPr>
                <w:rFonts w:hint="eastAsia"/>
                <w:color w:val="auto"/>
                <w:spacing w:val="-1"/>
                <w:lang w:val="en-US" w:eastAsia="zh-CN"/>
              </w:rPr>
              <w:t>甲醛</w:t>
            </w:r>
          </w:p>
          <w:p w14:paraId="2FEDDBBA">
            <w:pPr>
              <w:pStyle w:val="57"/>
              <w:spacing w:before="184" w:line="359" w:lineRule="auto"/>
              <w:ind w:left="11" w:firstLine="478"/>
              <w:rPr>
                <w:color w:val="auto"/>
              </w:rPr>
            </w:pPr>
            <w:r>
              <w:rPr>
                <w:color w:val="auto"/>
              </w:rPr>
              <w:t>适用情况：适用于不耐热、不耐湿的器械、器具和</w:t>
            </w:r>
            <w:r>
              <w:rPr>
                <w:color w:val="auto"/>
                <w:spacing w:val="-1"/>
              </w:rPr>
              <w:t>物品的灭菌。本项目使用</w:t>
            </w:r>
            <w:r>
              <w:rPr>
                <w:rFonts w:hint="eastAsia"/>
                <w:color w:val="auto"/>
                <w:spacing w:val="-1"/>
                <w:lang w:val="en-US" w:eastAsia="zh-CN"/>
              </w:rPr>
              <w:t>甲醛</w:t>
            </w:r>
            <w:r>
              <w:rPr>
                <w:color w:val="auto"/>
                <w:spacing w:val="-1"/>
              </w:rPr>
              <w:t>灭菌的情况尤其针对腔体较长，需要穿透性灭菌的医疗器械。</w:t>
            </w:r>
          </w:p>
          <w:p w14:paraId="5284C0F6">
            <w:pPr>
              <w:ind w:firstLine="480"/>
              <w:rPr>
                <w:rFonts w:hint="eastAsia"/>
                <w:b w:val="0"/>
                <w:bCs w:val="0"/>
                <w:color w:val="auto"/>
                <w:kern w:val="0"/>
                <w:szCs w:val="24"/>
                <w:lang w:bidi="ar"/>
              </w:rPr>
            </w:pPr>
            <w:r>
              <w:rPr>
                <w:color w:val="auto"/>
              </w:rPr>
              <w:t>工艺叙述：采用</w:t>
            </w:r>
            <w:r>
              <w:rPr>
                <w:rFonts w:hint="eastAsia"/>
                <w:color w:val="auto"/>
                <w:lang w:val="en-US" w:eastAsia="zh-CN"/>
              </w:rPr>
              <w:t>甲醛</w:t>
            </w:r>
            <w:r>
              <w:rPr>
                <w:color w:val="auto"/>
              </w:rPr>
              <w:t>消毒工艺，该过程在</w:t>
            </w:r>
            <w:r>
              <w:rPr>
                <w:color w:val="auto"/>
                <w:spacing w:val="-1"/>
              </w:rPr>
              <w:t>全自动</w:t>
            </w:r>
            <w:r>
              <w:rPr>
                <w:rFonts w:hint="eastAsia"/>
                <w:color w:val="auto"/>
                <w:spacing w:val="-1"/>
                <w:lang w:val="en-US" w:eastAsia="zh-CN"/>
              </w:rPr>
              <w:t>甲醛</w:t>
            </w:r>
            <w:r>
              <w:rPr>
                <w:color w:val="auto"/>
                <w:spacing w:val="-1"/>
              </w:rPr>
              <w:t>灭菌器内进行。</w:t>
            </w:r>
            <w:r>
              <w:rPr>
                <w:rFonts w:hint="eastAsia"/>
                <w:color w:val="auto"/>
                <w:spacing w:val="-1"/>
                <w:lang w:val="en-US" w:eastAsia="zh-CN"/>
              </w:rPr>
              <w:t>甲醛</w:t>
            </w:r>
            <w:r>
              <w:rPr>
                <w:color w:val="auto"/>
                <w:spacing w:val="-1"/>
              </w:rPr>
              <w:t>灭菌器中，灭菌器在密闭负压条件下自动开启</w:t>
            </w:r>
            <w:r>
              <w:rPr>
                <w:rFonts w:hint="eastAsia"/>
                <w:color w:val="auto"/>
                <w:spacing w:val="-1"/>
                <w:lang w:val="en-US" w:eastAsia="zh-CN"/>
              </w:rPr>
              <w:t>甲醛液</w:t>
            </w:r>
            <w:r>
              <w:rPr>
                <w:color w:val="auto"/>
                <w:spacing w:val="-1"/>
              </w:rPr>
              <w:t>并完成消毒。</w:t>
            </w:r>
          </w:p>
          <w:p w14:paraId="09ACFAC2">
            <w:pPr>
              <w:ind w:firstLine="480"/>
              <w:rPr>
                <w:rFonts w:hint="eastAsia"/>
                <w:b w:val="0"/>
                <w:bCs w:val="0"/>
                <w:color w:val="auto"/>
                <w:kern w:val="0"/>
                <w:szCs w:val="24"/>
                <w:lang w:bidi="ar"/>
              </w:rPr>
            </w:pPr>
            <w:r>
              <w:rPr>
                <w:rFonts w:hint="eastAsia"/>
                <w:b w:val="0"/>
                <w:bCs w:val="0"/>
                <w:color w:val="auto"/>
                <w:kern w:val="0"/>
                <w:szCs w:val="24"/>
                <w:lang w:bidi="ar"/>
              </w:rPr>
              <w:t>·储存：将灭菌后的器械存放在洁净、干燥的无菌物品存放区，并做好标识和记录，遵循“先进先出”的原则。</w:t>
            </w:r>
          </w:p>
          <w:p w14:paraId="7A3BE108">
            <w:pPr>
              <w:ind w:firstLine="480"/>
              <w:rPr>
                <w:rFonts w:hint="default" w:eastAsia="宋体"/>
                <w:color w:val="auto"/>
                <w:kern w:val="0"/>
                <w:szCs w:val="24"/>
                <w:lang w:val="en-US" w:eastAsia="zh-CN" w:bidi="ar"/>
              </w:rPr>
            </w:pPr>
          </w:p>
        </w:tc>
      </w:tr>
    </w:tbl>
    <w:p w14:paraId="70E95A65">
      <w:pPr>
        <w:ind w:firstLine="0" w:firstLineChars="0"/>
        <w:rPr>
          <w:color w:val="auto"/>
        </w:rPr>
        <w:sectPr>
          <w:headerReference r:id="rId11" w:type="default"/>
          <w:footerReference r:id="rId12" w:type="default"/>
          <w:pgSz w:w="11906" w:h="16838"/>
          <w:pgMar w:top="1440" w:right="1800" w:bottom="1440" w:left="1800" w:header="851" w:footer="992" w:gutter="0"/>
          <w:pgNumType w:fmt="decimal" w:start="1"/>
          <w:cols w:space="720" w:num="1"/>
          <w:docGrid w:type="lines" w:linePitch="312" w:charSpace="0"/>
        </w:sectPr>
      </w:pPr>
    </w:p>
    <w:tbl>
      <w:tblPr>
        <w:tblStyle w:val="19"/>
        <w:tblpPr w:leftFromText="180" w:rightFromText="180" w:vertAnchor="text" w:tblpXSpec="right" w:tblpY="1"/>
        <w:tblOverlap w:val="never"/>
        <w:tblW w:w="1395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52"/>
        <w:gridCol w:w="13401"/>
      </w:tblGrid>
      <w:tr w14:paraId="5EDE49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8" w:hRule="atLeast"/>
        </w:trPr>
        <w:tc>
          <w:tcPr>
            <w:tcW w:w="552" w:type="dxa"/>
            <w:vAlign w:val="center"/>
          </w:tcPr>
          <w:p w14:paraId="29C7464E">
            <w:pPr>
              <w:ind w:firstLine="0" w:firstLineChars="0"/>
              <w:rPr>
                <w:color w:val="auto"/>
              </w:rPr>
            </w:pPr>
          </w:p>
        </w:tc>
        <w:tc>
          <w:tcPr>
            <w:tcW w:w="13401" w:type="dxa"/>
            <w:vAlign w:val="center"/>
          </w:tcPr>
          <w:p w14:paraId="71867249">
            <w:pPr>
              <w:pStyle w:val="2"/>
              <w:jc w:val="both"/>
              <w:rPr>
                <w:b/>
                <w:bCs/>
                <w:color w:val="auto"/>
              </w:rPr>
            </w:pPr>
          </w:p>
          <w:p w14:paraId="31E390B1">
            <w:pPr>
              <w:pStyle w:val="2"/>
              <w:jc w:val="center"/>
              <w:rPr>
                <w:b/>
                <w:bCs/>
                <w:color w:val="auto"/>
              </w:rPr>
            </w:pPr>
          </w:p>
          <w:p w14:paraId="125FDAC7">
            <w:pPr>
              <w:pStyle w:val="2"/>
              <w:jc w:val="center"/>
              <w:rPr>
                <w:b/>
                <w:bCs/>
                <w:color w:val="auto"/>
              </w:rPr>
            </w:pPr>
            <w:r>
              <w:rPr>
                <w:color w:val="auto"/>
                <w:sz w:val="20"/>
              </w:rPr>
              <mc:AlternateContent>
                <mc:Choice Requires="wps">
                  <w:drawing>
                    <wp:anchor distT="0" distB="0" distL="114300" distR="114300" simplePos="0" relativeHeight="251687936" behindDoc="0" locked="0" layoutInCell="1" allowOverlap="1">
                      <wp:simplePos x="0" y="0"/>
                      <wp:positionH relativeFrom="column">
                        <wp:posOffset>6295390</wp:posOffset>
                      </wp:positionH>
                      <wp:positionV relativeFrom="paragraph">
                        <wp:posOffset>136525</wp:posOffset>
                      </wp:positionV>
                      <wp:extent cx="895350" cy="400685"/>
                      <wp:effectExtent l="0" t="0" r="0" b="18415"/>
                      <wp:wrapNone/>
                      <wp:docPr id="29" name="文本框 29"/>
                      <wp:cNvGraphicFramePr/>
                      <a:graphic xmlns:a="http://schemas.openxmlformats.org/drawingml/2006/main">
                        <a:graphicData uri="http://schemas.microsoft.com/office/word/2010/wordprocessingShape">
                          <wps:wsp>
                            <wps:cNvSpPr txBox="1"/>
                            <wps:spPr>
                              <a:xfrm>
                                <a:off x="0" y="0"/>
                                <a:ext cx="895350" cy="400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AB1B3CC">
                                  <w:pPr>
                                    <w:rPr>
                                      <w:rFonts w:hint="default"/>
                                      <w:sz w:val="15"/>
                                      <w:szCs w:val="15"/>
                                      <w:lang w:val="en-US" w:eastAsia="zh-CN"/>
                                    </w:rPr>
                                  </w:pPr>
                                  <w:r>
                                    <w:rPr>
                                      <w:rFonts w:hint="eastAsia"/>
                                      <w:sz w:val="15"/>
                                      <w:szCs w:val="15"/>
                                      <w:lang w:val="en-US" w:eastAsia="zh-CN"/>
                                    </w:rPr>
                                    <w:t>废水、噪声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7pt;margin-top:10.75pt;height:31.55pt;width:70.5pt;z-index:251687936;mso-width-relative:page;mso-height-relative:page;" fillcolor="#FFFFFF [3201]" filled="t" stroked="f" coordsize="21600,21600" o:gfxdata="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v/cFfVAAAACgEAAA8AAAAAAAAA&#10;AQAgAAAAIgAAAGRycy9kb3ducmV2LnhtbFBLAQIUABQAAAAIAIdO4kB0xDYtTQIAAJAEAAAOAAAA&#10;AAAAAAEAIAAAACQBAABkcnMvZTJvRG9jLnhtbFBLBQYAAAAABgAGAFkBAADjBQAAAAA=&#10;">
                      <v:fill on="t" focussize="0,0"/>
                      <v:stroke on="f" weight="0.5pt"/>
                      <v:imagedata o:title=""/>
                      <o:lock v:ext="edit" aspectratio="f"/>
                      <v:textbox>
                        <w:txbxContent>
                          <w:p w14:paraId="6AB1B3CC">
                            <w:pPr>
                              <w:rPr>
                                <w:rFonts w:hint="default"/>
                                <w:sz w:val="15"/>
                                <w:szCs w:val="15"/>
                                <w:lang w:val="en-US" w:eastAsia="zh-CN"/>
                              </w:rPr>
                            </w:pPr>
                            <w:r>
                              <w:rPr>
                                <w:rFonts w:hint="eastAsia"/>
                                <w:sz w:val="15"/>
                                <w:szCs w:val="15"/>
                                <w:lang w:val="en-US" w:eastAsia="zh-CN"/>
                              </w:rPr>
                              <w:t>废水、噪声</w:t>
                            </w:r>
                          </w:p>
                        </w:txbxContent>
                      </v:textbox>
                    </v:shape>
                  </w:pict>
                </mc:Fallback>
              </mc:AlternateContent>
            </w:r>
            <w:r>
              <w:rPr>
                <w:color w:val="auto"/>
                <w:sz w:val="20"/>
              </w:rPr>
              <mc:AlternateContent>
                <mc:Choice Requires="wps">
                  <w:drawing>
                    <wp:anchor distT="0" distB="0" distL="114300" distR="114300" simplePos="0" relativeHeight="251686912" behindDoc="0" locked="0" layoutInCell="1" allowOverlap="1">
                      <wp:simplePos x="0" y="0"/>
                      <wp:positionH relativeFrom="column">
                        <wp:posOffset>4707255</wp:posOffset>
                      </wp:positionH>
                      <wp:positionV relativeFrom="paragraph">
                        <wp:posOffset>219075</wp:posOffset>
                      </wp:positionV>
                      <wp:extent cx="923925" cy="371475"/>
                      <wp:effectExtent l="0" t="0" r="9525" b="9525"/>
                      <wp:wrapNone/>
                      <wp:docPr id="28" name="文本框 28"/>
                      <wp:cNvGraphicFramePr/>
                      <a:graphic xmlns:a="http://schemas.openxmlformats.org/drawingml/2006/main">
                        <a:graphicData uri="http://schemas.microsoft.com/office/word/2010/wordprocessingShape">
                          <wps:wsp>
                            <wps:cNvSpPr txBox="1"/>
                            <wps:spPr>
                              <a:xfrm>
                                <a:off x="6500495" y="1610360"/>
                                <a:ext cx="923925" cy="371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C3CB22A">
                                  <w:pPr>
                                    <w:rPr>
                                      <w:rFonts w:hint="default"/>
                                      <w:sz w:val="15"/>
                                      <w:szCs w:val="15"/>
                                      <w:lang w:val="en-US" w:eastAsia="zh-CN"/>
                                    </w:rPr>
                                  </w:pPr>
                                  <w:r>
                                    <w:rPr>
                                      <w:rFonts w:hint="eastAsia"/>
                                      <w:sz w:val="15"/>
                                      <w:szCs w:val="15"/>
                                      <w:lang w:val="en-US" w:eastAsia="zh-CN"/>
                                    </w:rPr>
                                    <w:t>废水、噪声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65pt;margin-top:17.25pt;height:29.25pt;width:72.75pt;z-index:251686912;mso-width-relative:page;mso-height-relative:page;" fillcolor="#FFFFFF [3201]" filled="t" stroked="f" coordsize="21600,21600" o:gfxdata="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tLPLr1QAA&#10;AAkBAAAPAAAAAAAAAAEAIAAAACIAAABkcnMvZG93bnJldi54bWxQSwECFAAUAAAACACHTuJATmux&#10;RloCAACcBAAADgAAAAAAAAABACAAAAAkAQAAZHJzL2Uyb0RvYy54bWxQSwUGAAAAAAYABgBZAQAA&#10;8AUAAAAA&#10;">
                      <v:fill on="t" focussize="0,0"/>
                      <v:stroke on="f" weight="0.5pt"/>
                      <v:imagedata o:title=""/>
                      <o:lock v:ext="edit" aspectratio="f"/>
                      <v:textbox>
                        <w:txbxContent>
                          <w:p w14:paraId="0C3CB22A">
                            <w:pPr>
                              <w:rPr>
                                <w:rFonts w:hint="default"/>
                                <w:sz w:val="15"/>
                                <w:szCs w:val="15"/>
                                <w:lang w:val="en-US" w:eastAsia="zh-CN"/>
                              </w:rPr>
                            </w:pPr>
                            <w:r>
                              <w:rPr>
                                <w:rFonts w:hint="eastAsia"/>
                                <w:sz w:val="15"/>
                                <w:szCs w:val="15"/>
                                <w:lang w:val="en-US" w:eastAsia="zh-CN"/>
                              </w:rPr>
                              <w:t>废水、噪声</w:t>
                            </w:r>
                          </w:p>
                        </w:txbxContent>
                      </v:textbox>
                    </v:shape>
                  </w:pict>
                </mc:Fallback>
              </mc:AlternateContent>
            </w:r>
          </w:p>
          <w:p w14:paraId="0AF9DCCC">
            <w:pPr>
              <w:pStyle w:val="2"/>
              <w:jc w:val="center"/>
              <w:rPr>
                <w:b/>
                <w:bCs/>
                <w:color w:val="auto"/>
              </w:rPr>
            </w:pPr>
          </w:p>
          <w:p w14:paraId="4A22A05A">
            <w:pPr>
              <w:pStyle w:val="2"/>
              <w:jc w:val="center"/>
              <w:rPr>
                <w:b/>
                <w:bCs/>
                <w:color w:val="auto"/>
              </w:rPr>
            </w:pPr>
            <w:r>
              <w:rPr>
                <w:color w:val="auto"/>
                <w:sz w:val="20"/>
              </w:rPr>
              <mc:AlternateContent>
                <mc:Choice Requires="wps">
                  <w:drawing>
                    <wp:anchor distT="0" distB="0" distL="114300" distR="114300" simplePos="0" relativeHeight="251681792" behindDoc="0" locked="0" layoutInCell="1" allowOverlap="1">
                      <wp:simplePos x="0" y="0"/>
                      <wp:positionH relativeFrom="column">
                        <wp:posOffset>5425440</wp:posOffset>
                      </wp:positionH>
                      <wp:positionV relativeFrom="paragraph">
                        <wp:posOffset>97155</wp:posOffset>
                      </wp:positionV>
                      <wp:extent cx="424180" cy="183515"/>
                      <wp:effectExtent l="0" t="6350" r="16510" b="0"/>
                      <wp:wrapNone/>
                      <wp:docPr id="23" name="弧形 23"/>
                      <wp:cNvGraphicFramePr/>
                      <a:graphic xmlns:a="http://schemas.openxmlformats.org/drawingml/2006/main">
                        <a:graphicData uri="http://schemas.microsoft.com/office/word/2010/wordprocessingShape">
                          <wps:wsp>
                            <wps:cNvSpPr/>
                            <wps:spPr>
                              <a:xfrm>
                                <a:off x="7028180" y="1778635"/>
                                <a:ext cx="424180" cy="183515"/>
                              </a:xfrm>
                              <a:prstGeom prst="arc">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style="position:absolute;left:0pt;margin-left:427.2pt;margin-top:7.65pt;height:14.45pt;width:33.4pt;z-index:251681792;mso-width-relative:page;mso-height-relative:page;" filled="f" stroked="t" coordsize="424180,183515" o:gfxdata="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u/UjW&#10;AAAACQEAAA8AAAAAAAAAAQAgAAAAIgAAAGRycy9kb3ducmV2LnhtbFBLAQIUABQAAAAIAIdO4kCK&#10;XfmP6QEAALoDAAAOAAAAAAAAAAEAIAAAACUBAABkcnMvZTJvRG9jLnhtbFBLBQYAAAAABgAGAFkB&#10;AACABQAAAAA=&#10;" path="m212089,0nsc329223,0,424179,41081,424179,91757l212090,91757xem212089,0nfc329223,0,424179,41081,424179,91757e">
                      <v:path o:connectlocs="212089,0;212090,91757;424180,91757" o:connectangles="164,123,82"/>
                      <v:fill on="f" focussize="0,0"/>
                      <v:stroke weight="1pt" color="#5B9BD5 [3204]" miterlimit="8" joinstyle="miter"/>
                      <v:imagedata o:title=""/>
                      <o:lock v:ext="edit" aspectratio="f"/>
                    </v:shape>
                  </w:pict>
                </mc:Fallback>
              </mc:AlternateContent>
            </w:r>
            <w:r>
              <w:rPr>
                <w:color w:val="auto"/>
                <w:sz w:val="20"/>
              </w:rPr>
              <mc:AlternateContent>
                <mc:Choice Requires="wps">
                  <w:drawing>
                    <wp:anchor distT="0" distB="0" distL="114300" distR="114300" simplePos="0" relativeHeight="251682816" behindDoc="0" locked="0" layoutInCell="1" allowOverlap="1">
                      <wp:simplePos x="0" y="0"/>
                      <wp:positionH relativeFrom="column">
                        <wp:posOffset>7042785</wp:posOffset>
                      </wp:positionH>
                      <wp:positionV relativeFrom="paragraph">
                        <wp:posOffset>81280</wp:posOffset>
                      </wp:positionV>
                      <wp:extent cx="424180" cy="183515"/>
                      <wp:effectExtent l="0" t="6350" r="16510" b="0"/>
                      <wp:wrapNone/>
                      <wp:docPr id="24" name="弧形 24"/>
                      <wp:cNvGraphicFramePr/>
                      <a:graphic xmlns:a="http://schemas.openxmlformats.org/drawingml/2006/main">
                        <a:graphicData uri="http://schemas.microsoft.com/office/word/2010/wordprocessingShape">
                          <wps:wsp>
                            <wps:cNvSpPr/>
                            <wps:spPr>
                              <a:xfrm>
                                <a:off x="0" y="0"/>
                                <a:ext cx="424180" cy="183515"/>
                              </a:xfrm>
                              <a:prstGeom prst="arc">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style="position:absolute;left:0pt;margin-left:554.55pt;margin-top:6.4pt;height:14.45pt;width:33.4pt;z-index:251682816;mso-width-relative:page;mso-height-relative:page;" filled="f" stroked="t" coordsize="424180,183515" o:gfxdata="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JseR1tcAAAALAQAADwAA&#10;AAAAAAABACAAAAAiAAAAZHJzL2Rvd25yZXYueG1sUEsBAhQAFAAAAAgAh07iQD1DIureAQAArgMA&#10;AA4AAAAAAAAAAQAgAAAAJgEAAGRycy9lMm9Eb2MueG1sUEsFBgAAAAAGAAYAWQEAAHYFAAAAAA==&#10;" path="m212089,0nsc329223,0,424179,41081,424179,91757l212090,91757xem212089,0nfc329223,0,424179,41081,424179,91757e">
                      <v:path o:connectlocs="212089,0;212090,91757;424180,91757" o:connectangles="164,123,82"/>
                      <v:fill on="f" focussize="0,0"/>
                      <v:stroke weight="1pt" color="#5B9BD5 [3204]" miterlimit="8" joinstyle="miter"/>
                      <v:imagedata o:title=""/>
                      <o:lock v:ext="edit" aspectratio="f"/>
                    </v:shape>
                  </w:pict>
                </mc:Fallback>
              </mc:AlternateContent>
            </w:r>
            <w:r>
              <w:rPr>
                <w:color w:val="auto"/>
                <w:sz w:val="20"/>
              </w:rPr>
              <mc:AlternateContent>
                <mc:Choice Requires="wps">
                  <w:drawing>
                    <wp:anchor distT="0" distB="0" distL="114300" distR="114300" simplePos="0" relativeHeight="251666432" behindDoc="0" locked="0" layoutInCell="1" allowOverlap="1">
                      <wp:simplePos x="0" y="0"/>
                      <wp:positionH relativeFrom="column">
                        <wp:posOffset>6675120</wp:posOffset>
                      </wp:positionH>
                      <wp:positionV relativeFrom="paragraph">
                        <wp:posOffset>203200</wp:posOffset>
                      </wp:positionV>
                      <wp:extent cx="1714500" cy="381000"/>
                      <wp:effectExtent l="4445" t="4445" r="14605" b="14605"/>
                      <wp:wrapNone/>
                      <wp:docPr id="6" name="文本框 6"/>
                      <wp:cNvGraphicFramePr/>
                      <a:graphic xmlns:a="http://schemas.openxmlformats.org/drawingml/2006/main">
                        <a:graphicData uri="http://schemas.microsoft.com/office/word/2010/wordprocessingShape">
                          <wps:wsp>
                            <wps:cNvSpPr txBox="1"/>
                            <wps:spPr>
                              <a:xfrm>
                                <a:off x="0" y="0"/>
                                <a:ext cx="1714500" cy="38100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679A176D">
                                  <w:pPr>
                                    <w:ind w:left="0" w:leftChars="0" w:firstLine="0" w:firstLineChars="0"/>
                                    <w:rPr>
                                      <w:rFonts w:hint="default"/>
                                      <w:lang w:val="en-US" w:eastAsia="zh-CN"/>
                                    </w:rPr>
                                  </w:pPr>
                                  <w:r>
                                    <w:rPr>
                                      <w:rFonts w:hint="eastAsia"/>
                                      <w:b/>
                                      <w:bCs/>
                                      <w:lang w:val="en-US" w:eastAsia="zh-CN"/>
                                    </w:rPr>
                                    <w:t>酶清洁剂清洗与浸泡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6pt;margin-top:16pt;height:30pt;width:135pt;z-index:251666432;mso-width-relative:page;mso-height-relative:page;" fillcolor="#FFFFFF [3201]" filled="t" stroked="t" coordsize="21600,21600" o:gfxdata="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9U6zgdQAAAALAQAA&#10;DwAAAAAAAAABACAAAAAiAAAAZHJzL2Rvd25yZXYueG1sUEsBAhQAFAAAAAgAh07iQIrnPVtWAgAA&#10;uAQAAA4AAAAAAAAAAQAgAAAAIwEAAGRycy9lMm9Eb2MueG1sUEsFBgAAAAAGAAYAWQEAAOsFAAAA&#10;AA==&#10;">
                      <v:fill on="t" focussize="0,0"/>
                      <v:stroke weight="0.5pt" color="#000000 [3213]" joinstyle="round"/>
                      <v:imagedata o:title=""/>
                      <o:lock v:ext="edit" aspectratio="f"/>
                      <v:textbox>
                        <w:txbxContent>
                          <w:p w14:paraId="679A176D">
                            <w:pPr>
                              <w:ind w:left="0" w:leftChars="0" w:firstLine="0" w:firstLineChars="0"/>
                              <w:rPr>
                                <w:rFonts w:hint="default"/>
                                <w:lang w:val="en-US" w:eastAsia="zh-CN"/>
                              </w:rPr>
                            </w:pPr>
                            <w:r>
                              <w:rPr>
                                <w:rFonts w:hint="eastAsia"/>
                                <w:b/>
                                <w:bCs/>
                                <w:lang w:val="en-US" w:eastAsia="zh-CN"/>
                              </w:rPr>
                              <w:t>酶清洁剂清洗与浸泡</w:t>
                            </w:r>
                          </w:p>
                        </w:txbxContent>
                      </v:textbox>
                    </v:shape>
                  </w:pict>
                </mc:Fallback>
              </mc:AlternateContent>
            </w:r>
            <w:r>
              <w:rPr>
                <w:color w:val="auto"/>
                <w:sz w:val="20"/>
              </w:rPr>
              <mc:AlternateContent>
                <mc:Choice Requires="wps">
                  <w:drawing>
                    <wp:anchor distT="0" distB="0" distL="114300" distR="114300" simplePos="0" relativeHeight="251664384" behindDoc="0" locked="0" layoutInCell="1" allowOverlap="1">
                      <wp:simplePos x="0" y="0"/>
                      <wp:positionH relativeFrom="column">
                        <wp:posOffset>3665220</wp:posOffset>
                      </wp:positionH>
                      <wp:positionV relativeFrom="paragraph">
                        <wp:posOffset>198120</wp:posOffset>
                      </wp:positionV>
                      <wp:extent cx="996950" cy="381000"/>
                      <wp:effectExtent l="4445" t="4445" r="8255" b="14605"/>
                      <wp:wrapNone/>
                      <wp:docPr id="4" name="文本框 4"/>
                      <wp:cNvGraphicFramePr/>
                      <a:graphic xmlns:a="http://schemas.openxmlformats.org/drawingml/2006/main">
                        <a:graphicData uri="http://schemas.microsoft.com/office/word/2010/wordprocessingShape">
                          <wps:wsp>
                            <wps:cNvSpPr txBox="1"/>
                            <wps:spPr>
                              <a:xfrm>
                                <a:off x="0" y="0"/>
                                <a:ext cx="996950" cy="38100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7CD7ABB">
                                  <w:pPr>
                                    <w:ind w:left="0" w:leftChars="0" w:firstLine="0" w:firstLineChars="0"/>
                                    <w:rPr>
                                      <w:rFonts w:hint="default" w:eastAsia="宋体"/>
                                      <w:b/>
                                      <w:bCs/>
                                      <w:lang w:val="en-US" w:eastAsia="zh-CN"/>
                                    </w:rPr>
                                  </w:pPr>
                                  <w:r>
                                    <w:rPr>
                                      <w:rFonts w:hint="eastAsia"/>
                                      <w:b/>
                                      <w:bCs/>
                                      <w:lang w:val="en-US" w:eastAsia="zh-CN"/>
                                    </w:rPr>
                                    <w:t>装载与运输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6pt;margin-top:15.6pt;height:30pt;width:78.5pt;z-index:251664384;mso-width-relative:page;mso-height-relative:page;" fillcolor="#FFFFFF [3201]" filled="t" stroked="t" coordsize="21600,21600" o:gfxdata="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dYmvtUAAAAJAQAA&#10;DwAAAAAAAAABACAAAAAiAAAAZHJzL2Rvd25yZXYueG1sUEsBAhQAFAAAAAgAh07iQMD0AD9VAgAA&#10;twQAAA4AAAAAAAAAAQAgAAAAJAEAAGRycy9lMm9Eb2MueG1sUEsFBgAAAAAGAAYAWQEAAOsFAAAA&#10;AA==&#10;">
                      <v:fill on="t" focussize="0,0"/>
                      <v:stroke weight="0.5pt" color="#000000 [3213]" joinstyle="round"/>
                      <v:imagedata o:title=""/>
                      <o:lock v:ext="edit" aspectratio="f"/>
                      <v:textbox>
                        <w:txbxContent>
                          <w:p w14:paraId="27CD7ABB">
                            <w:pPr>
                              <w:ind w:left="0" w:leftChars="0" w:firstLine="0" w:firstLineChars="0"/>
                              <w:rPr>
                                <w:rFonts w:hint="default" w:eastAsia="宋体"/>
                                <w:b/>
                                <w:bCs/>
                                <w:lang w:val="en-US" w:eastAsia="zh-CN"/>
                              </w:rPr>
                            </w:pPr>
                            <w:r>
                              <w:rPr>
                                <w:rFonts w:hint="eastAsia"/>
                                <w:b/>
                                <w:bCs/>
                                <w:lang w:val="en-US" w:eastAsia="zh-CN"/>
                              </w:rPr>
                              <w:t>装载与运输</w:t>
                            </w:r>
                          </w:p>
                        </w:txbxContent>
                      </v:textbox>
                    </v:shape>
                  </w:pict>
                </mc:Fallback>
              </mc:AlternateContent>
            </w:r>
            <w:r>
              <w:rPr>
                <w:color w:val="auto"/>
                <w:sz w:val="20"/>
              </w:rPr>
              <mc:AlternateContent>
                <mc:Choice Requires="wps">
                  <w:drawing>
                    <wp:anchor distT="0" distB="0" distL="114300" distR="114300" simplePos="0" relativeHeight="251665408" behindDoc="0" locked="0" layoutInCell="1" allowOverlap="1">
                      <wp:simplePos x="0" y="0"/>
                      <wp:positionH relativeFrom="column">
                        <wp:posOffset>5393055</wp:posOffset>
                      </wp:positionH>
                      <wp:positionV relativeFrom="paragraph">
                        <wp:posOffset>189865</wp:posOffset>
                      </wp:positionV>
                      <wp:extent cx="821690" cy="381000"/>
                      <wp:effectExtent l="4445" t="4445" r="12065" b="14605"/>
                      <wp:wrapNone/>
                      <wp:docPr id="5" name="文本框 5"/>
                      <wp:cNvGraphicFramePr/>
                      <a:graphic xmlns:a="http://schemas.openxmlformats.org/drawingml/2006/main">
                        <a:graphicData uri="http://schemas.microsoft.com/office/word/2010/wordprocessingShape">
                          <wps:wsp>
                            <wps:cNvSpPr txBox="1"/>
                            <wps:spPr>
                              <a:xfrm>
                                <a:off x="0" y="0"/>
                                <a:ext cx="821690" cy="38100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496E781">
                                  <w:pPr>
                                    <w:ind w:left="0" w:leftChars="0" w:firstLine="0" w:firstLineChars="0"/>
                                    <w:rPr>
                                      <w:rFonts w:hint="default" w:eastAsia="宋体"/>
                                      <w:b/>
                                      <w:bCs/>
                                      <w:lang w:val="en-US" w:eastAsia="zh-CN"/>
                                    </w:rPr>
                                  </w:pPr>
                                  <w:r>
                                    <w:rPr>
                                      <w:rFonts w:hint="eastAsia"/>
                                      <w:b/>
                                      <w:bCs/>
                                      <w:lang w:val="en-US" w:eastAsia="zh-CN"/>
                                    </w:rPr>
                                    <w:t>初步清洗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4.65pt;margin-top:14.95pt;height:30pt;width:64.7pt;z-index:251665408;mso-width-relative:page;mso-height-relative:page;" fillcolor="#FFFFFF [3201]" filled="t" stroked="t" coordsize="21600,21600" o:gfxdata="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dl5WS1gAA&#10;AAkBAAAPAAAAAAAAAAEAIAAAACIAAABkcnMvZG93bnJldi54bWxQSwECFAAUAAAACACHTuJA2VQv&#10;LVkCAAC3BAAADgAAAAAAAAABACAAAAAlAQAAZHJzL2Uyb0RvYy54bWxQSwUGAAAAAAYABgBZAQAA&#10;8AUAAAAA&#10;">
                      <v:fill on="t" focussize="0,0"/>
                      <v:stroke weight="0.5pt" color="#000000 [3213]" joinstyle="round"/>
                      <v:imagedata o:title=""/>
                      <o:lock v:ext="edit" aspectratio="f"/>
                      <v:textbox>
                        <w:txbxContent>
                          <w:p w14:paraId="5496E781">
                            <w:pPr>
                              <w:ind w:left="0" w:leftChars="0" w:firstLine="0" w:firstLineChars="0"/>
                              <w:rPr>
                                <w:rFonts w:hint="default" w:eastAsia="宋体"/>
                                <w:b/>
                                <w:bCs/>
                                <w:lang w:val="en-US" w:eastAsia="zh-CN"/>
                              </w:rPr>
                            </w:pPr>
                            <w:r>
                              <w:rPr>
                                <w:rFonts w:hint="eastAsia"/>
                                <w:b/>
                                <w:bCs/>
                                <w:lang w:val="en-US" w:eastAsia="zh-CN"/>
                              </w:rPr>
                              <w:t>初步清洗</w:t>
                            </w:r>
                          </w:p>
                        </w:txbxContent>
                      </v:textbox>
                    </v:shape>
                  </w:pict>
                </mc:Fallback>
              </mc:AlternateContent>
            </w:r>
            <w:r>
              <w:rPr>
                <w:color w:val="auto"/>
                <w:sz w:val="20"/>
              </w:rPr>
              <mc:AlternateContent>
                <mc:Choice Requires="wps">
                  <w:drawing>
                    <wp:anchor distT="0" distB="0" distL="114300" distR="114300" simplePos="0" relativeHeight="251663360" behindDoc="0" locked="0" layoutInCell="1" allowOverlap="1">
                      <wp:simplePos x="0" y="0"/>
                      <wp:positionH relativeFrom="column">
                        <wp:posOffset>2230120</wp:posOffset>
                      </wp:positionH>
                      <wp:positionV relativeFrom="paragraph">
                        <wp:posOffset>191770</wp:posOffset>
                      </wp:positionV>
                      <wp:extent cx="683260" cy="381000"/>
                      <wp:effectExtent l="4445" t="4445" r="17145" b="14605"/>
                      <wp:wrapNone/>
                      <wp:docPr id="3" name="文本框 3"/>
                      <wp:cNvGraphicFramePr/>
                      <a:graphic xmlns:a="http://schemas.openxmlformats.org/drawingml/2006/main">
                        <a:graphicData uri="http://schemas.microsoft.com/office/word/2010/wordprocessingShape">
                          <wps:wsp>
                            <wps:cNvSpPr txBox="1"/>
                            <wps:spPr>
                              <a:xfrm>
                                <a:off x="0" y="0"/>
                                <a:ext cx="683260" cy="38100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3B23EA5">
                                  <w:pPr>
                                    <w:ind w:left="0" w:leftChars="0" w:firstLine="0" w:firstLineChars="0"/>
                                    <w:rPr>
                                      <w:rFonts w:hint="default" w:eastAsia="宋体"/>
                                      <w:b/>
                                      <w:bCs/>
                                      <w:lang w:val="en-US" w:eastAsia="zh-CN"/>
                                    </w:rPr>
                                  </w:pPr>
                                  <w:r>
                                    <w:rPr>
                                      <w:rFonts w:hint="eastAsia"/>
                                      <w:b/>
                                      <w:bCs/>
                                      <w:lang w:val="en-US" w:eastAsia="zh-CN"/>
                                    </w:rPr>
                                    <w:t>预处理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6pt;margin-top:15.1pt;height:30pt;width:53.8pt;z-index:251663360;mso-width-relative:page;mso-height-relative:page;" fillcolor="#FFFFFF [3201]" filled="t" stroked="t" coordsize="21600,21600" o:gfxdata="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dgTxttUAAAAJ&#10;AQAADwAAAAAAAAABACAAAAAiAAAAZHJzL2Rvd25yZXYueG1sUEsBAhQAFAAAAAgAh07iQAxNj7pY&#10;AgAAtwQAAA4AAAAAAAAAAQAgAAAAJAEAAGRycy9lMm9Eb2MueG1sUEsFBgAAAAAGAAYAWQEAAO4F&#10;AAAAAA==&#10;">
                      <v:fill on="t" focussize="0,0"/>
                      <v:stroke weight="0.5pt" color="#000000 [3213]" joinstyle="round"/>
                      <v:imagedata o:title=""/>
                      <o:lock v:ext="edit" aspectratio="f"/>
                      <v:textbox>
                        <w:txbxContent>
                          <w:p w14:paraId="03B23EA5">
                            <w:pPr>
                              <w:ind w:left="0" w:leftChars="0" w:firstLine="0" w:firstLineChars="0"/>
                              <w:rPr>
                                <w:rFonts w:hint="default" w:eastAsia="宋体"/>
                                <w:b/>
                                <w:bCs/>
                                <w:lang w:val="en-US" w:eastAsia="zh-CN"/>
                              </w:rPr>
                            </w:pPr>
                            <w:r>
                              <w:rPr>
                                <w:rFonts w:hint="eastAsia"/>
                                <w:b/>
                                <w:bCs/>
                                <w:lang w:val="en-US" w:eastAsia="zh-CN"/>
                              </w:rPr>
                              <w:t>预处理</w:t>
                            </w:r>
                          </w:p>
                        </w:txbxContent>
                      </v:textbox>
                    </v:shape>
                  </w:pict>
                </mc:Fallback>
              </mc:AlternateContent>
            </w:r>
            <w:r>
              <w:rPr>
                <w:color w:val="auto"/>
                <w:sz w:val="20"/>
              </w:rPr>
              <mc:AlternateContent>
                <mc:Choice Requires="wps">
                  <w:drawing>
                    <wp:anchor distT="0" distB="0" distL="114300" distR="114300" simplePos="0" relativeHeight="251662336" behindDoc="0" locked="0" layoutInCell="1" allowOverlap="1">
                      <wp:simplePos x="0" y="0"/>
                      <wp:positionH relativeFrom="column">
                        <wp:posOffset>481330</wp:posOffset>
                      </wp:positionH>
                      <wp:positionV relativeFrom="paragraph">
                        <wp:posOffset>186690</wp:posOffset>
                      </wp:positionV>
                      <wp:extent cx="982345" cy="381000"/>
                      <wp:effectExtent l="4445" t="4445" r="22860" b="14605"/>
                      <wp:wrapNone/>
                      <wp:docPr id="2" name="文本框 2"/>
                      <wp:cNvGraphicFramePr/>
                      <a:graphic xmlns:a="http://schemas.openxmlformats.org/drawingml/2006/main">
                        <a:graphicData uri="http://schemas.microsoft.com/office/word/2010/wordprocessingShape">
                          <wps:wsp>
                            <wps:cNvSpPr txBox="1"/>
                            <wps:spPr>
                              <a:xfrm>
                                <a:off x="1798320" y="2754630"/>
                                <a:ext cx="982345" cy="38100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62C7B29E">
                                  <w:pPr>
                                    <w:ind w:left="0" w:leftChars="0" w:firstLine="0" w:firstLineChars="0"/>
                                    <w:rPr>
                                      <w:rFonts w:hint="default" w:eastAsia="宋体"/>
                                      <w:b/>
                                      <w:bCs/>
                                      <w:lang w:val="en-US" w:eastAsia="zh-CN"/>
                                    </w:rPr>
                                  </w:pPr>
                                  <w:r>
                                    <w:rPr>
                                      <w:rFonts w:hint="eastAsia"/>
                                      <w:b/>
                                      <w:bCs/>
                                      <w:lang w:val="en-US" w:eastAsia="zh-CN"/>
                                    </w:rPr>
                                    <w:t>回收与分类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pt;margin-top:14.7pt;height:30pt;width:77.35pt;z-index:251662336;mso-width-relative:page;mso-height-relative:page;" fillcolor="#FFFFFF [3201]" filled="t" stroked="t" coordsize="21600,21600" o:gfxdata="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s669H1QAAAAgBAAAPAAAAAAAAAAEAIAAAACIAAABkcnMvZG93bnJldi54bWxQSwECFAAUAAAA&#10;CACHTuJAT6tp/GMCAADDBAAADgAAAAAAAAABACAAAAAkAQAAZHJzL2Uyb0RvYy54bWxQSwUGAAAA&#10;AAYABgBZAQAA+QUAAAAA&#10;">
                      <v:fill on="t" focussize="0,0"/>
                      <v:stroke weight="0.5pt" color="#000000 [3213]" joinstyle="round"/>
                      <v:imagedata o:title=""/>
                      <o:lock v:ext="edit" aspectratio="f"/>
                      <v:textbox>
                        <w:txbxContent>
                          <w:p w14:paraId="62C7B29E">
                            <w:pPr>
                              <w:ind w:left="0" w:leftChars="0" w:firstLine="0" w:firstLineChars="0"/>
                              <w:rPr>
                                <w:rFonts w:hint="default" w:eastAsia="宋体"/>
                                <w:b/>
                                <w:bCs/>
                                <w:lang w:val="en-US" w:eastAsia="zh-CN"/>
                              </w:rPr>
                            </w:pPr>
                            <w:r>
                              <w:rPr>
                                <w:rFonts w:hint="eastAsia"/>
                                <w:b/>
                                <w:bCs/>
                                <w:lang w:val="en-US" w:eastAsia="zh-CN"/>
                              </w:rPr>
                              <w:t>回收与分类</w:t>
                            </w:r>
                          </w:p>
                        </w:txbxContent>
                      </v:textbox>
                    </v:shape>
                  </w:pict>
                </mc:Fallback>
              </mc:AlternateContent>
            </w:r>
          </w:p>
          <w:p w14:paraId="4920CE27">
            <w:pPr>
              <w:pStyle w:val="2"/>
              <w:jc w:val="center"/>
              <w:rPr>
                <w:b/>
                <w:bCs/>
                <w:color w:val="auto"/>
              </w:rPr>
            </w:pPr>
            <w:r>
              <w:rPr>
                <w:color w:val="auto"/>
                <w:sz w:val="20"/>
              </w:rPr>
              <mc:AlternateContent>
                <mc:Choice Requires="wps">
                  <w:drawing>
                    <wp:anchor distT="0" distB="0" distL="114300" distR="114300" simplePos="0" relativeHeight="251670528" behindDoc="0" locked="0" layoutInCell="1" allowOverlap="1">
                      <wp:simplePos x="0" y="0"/>
                      <wp:positionH relativeFrom="column">
                        <wp:posOffset>6214745</wp:posOffset>
                      </wp:positionH>
                      <wp:positionV relativeFrom="paragraph">
                        <wp:posOffset>158115</wp:posOffset>
                      </wp:positionV>
                      <wp:extent cx="460375" cy="13335"/>
                      <wp:effectExtent l="0" t="40005" r="15875" b="60960"/>
                      <wp:wrapNone/>
                      <wp:docPr id="11" name="直接箭头连接符 11"/>
                      <wp:cNvGraphicFramePr/>
                      <a:graphic xmlns:a="http://schemas.openxmlformats.org/drawingml/2006/main">
                        <a:graphicData uri="http://schemas.microsoft.com/office/word/2010/wordprocessingShape">
                          <wps:wsp>
                            <wps:cNvCnPr>
                              <a:stCxn id="5" idx="3"/>
                              <a:endCxn id="6" idx="1"/>
                            </wps:cNvCnPr>
                            <wps:spPr>
                              <a:xfrm>
                                <a:off x="7620000" y="2192655"/>
                                <a:ext cx="460375" cy="133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89.35pt;margin-top:12.45pt;height:1.05pt;width:36.25pt;z-index:251670528;mso-width-relative:page;mso-height-relative:page;" filled="f" stroked="t" coordsize="21600,21600" o:gfxdata="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IMOENsAAAAKAQAADwAAAAAAAAABACAAAAAiAAAAZHJzL2Rvd25yZXYu&#10;eG1sUEsBAhQAFAAAAAgAh07iQLsocz0xAgAAMAQAAA4AAAAAAAAAAQAgAAAAKgEAAGRycy9lMm9E&#10;b2MueG1sUEsFBgAAAAAGAAYAWQEAAM0FA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69504" behindDoc="0" locked="0" layoutInCell="1" allowOverlap="1">
                      <wp:simplePos x="0" y="0"/>
                      <wp:positionH relativeFrom="column">
                        <wp:posOffset>4662170</wp:posOffset>
                      </wp:positionH>
                      <wp:positionV relativeFrom="paragraph">
                        <wp:posOffset>166370</wp:posOffset>
                      </wp:positionV>
                      <wp:extent cx="695325" cy="635"/>
                      <wp:effectExtent l="0" t="50165" r="9525" b="63500"/>
                      <wp:wrapNone/>
                      <wp:docPr id="9" name="直接箭头连接符 9"/>
                      <wp:cNvGraphicFramePr/>
                      <a:graphic xmlns:a="http://schemas.openxmlformats.org/drawingml/2006/main">
                        <a:graphicData uri="http://schemas.microsoft.com/office/word/2010/wordprocessingShape">
                          <wps:wsp>
                            <wps:cNvCnPr>
                              <a:stCxn id="4" idx="3"/>
                            </wps:cNvCnPr>
                            <wps:spPr>
                              <a:xfrm>
                                <a:off x="0" y="0"/>
                                <a:ext cx="695325" cy="6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7.1pt;margin-top:13.1pt;height:0.05pt;width:54.75pt;z-index:251669504;mso-width-relative:page;mso-height-relative:page;" filled="f" stroked="t" coordsize="21600,21600" o:gfxdata="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hV2D7ZAAAA&#10;CQEAAA8AAAAAAAAAAQAgAAAAIgAAAGRycy9kb3ducmV2LnhtbFBLAQIUABQAAAAIAIdO4kBib6wG&#10;HAIAAAYEAAAOAAAAAAAAAAEAIAAAACgBAABkcnMvZTJvRG9jLnhtbFBLBQYAAAAABgAGAFkBAAC2&#10;BQ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68480" behindDoc="0" locked="0" layoutInCell="1" allowOverlap="1">
                      <wp:simplePos x="0" y="0"/>
                      <wp:positionH relativeFrom="column">
                        <wp:posOffset>2920365</wp:posOffset>
                      </wp:positionH>
                      <wp:positionV relativeFrom="paragraph">
                        <wp:posOffset>131445</wp:posOffset>
                      </wp:positionV>
                      <wp:extent cx="730250" cy="6985"/>
                      <wp:effectExtent l="0" t="44450" r="12700" b="62865"/>
                      <wp:wrapNone/>
                      <wp:docPr id="8" name="直接箭头连接符 8"/>
                      <wp:cNvGraphicFramePr/>
                      <a:graphic xmlns:a="http://schemas.openxmlformats.org/drawingml/2006/main">
                        <a:graphicData uri="http://schemas.microsoft.com/office/word/2010/wordprocessingShape">
                          <wps:wsp>
                            <wps:cNvCnPr/>
                            <wps:spPr>
                              <a:xfrm>
                                <a:off x="0" y="0"/>
                                <a:ext cx="730250" cy="69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9.95pt;margin-top:10.35pt;height:0.55pt;width:57.5pt;z-index:251668480;mso-width-relative:page;mso-height-relative:page;" filled="f" stroked="t" coordsize="21600,21600" o:gfxdata="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eV6jtkAAAAJAQAADwAAAAAAAAABACAAAAAi&#10;AAAAZHJzL2Rvd25yZXYueG1sUEsBAhQAFAAAAAgAh07iQJPbYdgJAgAA4QMAAA4AAAAAAAAAAQAg&#10;AAAAKAEAAGRycy9lMm9Eb2MueG1sUEsFBgAAAAAGAAYAWQEAAKMFA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67456" behindDoc="0" locked="0" layoutInCell="1" allowOverlap="1">
                      <wp:simplePos x="0" y="0"/>
                      <wp:positionH relativeFrom="column">
                        <wp:posOffset>1463675</wp:posOffset>
                      </wp:positionH>
                      <wp:positionV relativeFrom="paragraph">
                        <wp:posOffset>154940</wp:posOffset>
                      </wp:positionV>
                      <wp:extent cx="730250" cy="6985"/>
                      <wp:effectExtent l="0" t="44450" r="12700" b="62865"/>
                      <wp:wrapNone/>
                      <wp:docPr id="7" name="直接箭头连接符 7"/>
                      <wp:cNvGraphicFramePr/>
                      <a:graphic xmlns:a="http://schemas.openxmlformats.org/drawingml/2006/main">
                        <a:graphicData uri="http://schemas.microsoft.com/office/word/2010/wordprocessingShape">
                          <wps:wsp>
                            <wps:cNvCnPr>
                              <a:stCxn id="2" idx="3"/>
                            </wps:cNvCnPr>
                            <wps:spPr>
                              <a:xfrm>
                                <a:off x="2868930" y="2205355"/>
                                <a:ext cx="730250" cy="69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5.25pt;margin-top:12.2pt;height:0.55pt;width:57.5pt;z-index:251667456;mso-width-relative:page;mso-height-relative:page;" filled="f" stroked="t" coordsize="21600,21600" o:gfxdata="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au1wmdgAAAAJAQAADwAAAAAAAAABACAAAAAiAAAAZHJzL2Rvd25yZXYueG1sUEsBAhQAFAAA&#10;AAgAh07iQOAnlnMoAgAAEwQAAA4AAAAAAAAAAQAgAAAAJwEAAGRycy9lMm9Eb2MueG1sUEsFBgAA&#10;AAAGAAYAWQEAAMEFAAAAAA==&#10;">
                      <v:fill on="f" focussize="0,0"/>
                      <v:stroke weight="1pt" color="#5B9BD5 [3204]" miterlimit="8" joinstyle="miter" endarrow="open"/>
                      <v:imagedata o:title=""/>
                      <o:lock v:ext="edit" aspectratio="f"/>
                    </v:shape>
                  </w:pict>
                </mc:Fallback>
              </mc:AlternateContent>
            </w:r>
          </w:p>
          <w:p w14:paraId="014285A9">
            <w:pPr>
              <w:pStyle w:val="2"/>
              <w:jc w:val="center"/>
              <w:rPr>
                <w:b/>
                <w:bCs/>
                <w:color w:val="auto"/>
              </w:rPr>
            </w:pPr>
            <w:r>
              <w:rPr>
                <w:color w:val="auto"/>
                <w:sz w:val="20"/>
              </w:rPr>
              <mc:AlternateContent>
                <mc:Choice Requires="wps">
                  <w:drawing>
                    <wp:anchor distT="0" distB="0" distL="114300" distR="114300" simplePos="0" relativeHeight="251676672" behindDoc="0" locked="0" layoutInCell="1" allowOverlap="1">
                      <wp:simplePos x="0" y="0"/>
                      <wp:positionH relativeFrom="column">
                        <wp:posOffset>7520305</wp:posOffset>
                      </wp:positionH>
                      <wp:positionV relativeFrom="paragraph">
                        <wp:posOffset>139700</wp:posOffset>
                      </wp:positionV>
                      <wp:extent cx="12065" cy="810895"/>
                      <wp:effectExtent l="49530" t="0" r="52705" b="8255"/>
                      <wp:wrapNone/>
                      <wp:docPr id="18" name="直接箭头连接符 18"/>
                      <wp:cNvGraphicFramePr/>
                      <a:graphic xmlns:a="http://schemas.openxmlformats.org/drawingml/2006/main">
                        <a:graphicData uri="http://schemas.microsoft.com/office/word/2010/wordprocessingShape">
                          <wps:wsp>
                            <wps:cNvCnPr>
                              <a:stCxn id="6" idx="2"/>
                            </wps:cNvCnPr>
                            <wps:spPr>
                              <a:xfrm flipH="1">
                                <a:off x="8925560" y="2412365"/>
                                <a:ext cx="12065" cy="81089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592.15pt;margin-top:11pt;height:63.85pt;width:0.95pt;z-index:251676672;mso-width-relative:page;mso-height-relative:page;" filled="f" stroked="t" coordsize="21600,21600" o:gfxdata="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VZl1NgAAAAMAQAADwAAAAAAAAABACAAAAAiAAAAZHJzL2Rvd25yZXYueG1sUEsB&#10;AhQAFAAAAAgAh07iQEPGayUuAgAAIAQAAA4AAAAAAAAAAQAgAAAAJwEAAGRycy9lMm9Eb2MueG1s&#10;UEsFBgAAAAAGAAYAWQEAAMcFAAAAAA==&#10;">
                      <v:fill on="f" focussize="0,0"/>
                      <v:stroke weight="1pt" color="#5B9BD5 [3204]" miterlimit="8" joinstyle="miter" endarrow="open"/>
                      <v:imagedata o:title=""/>
                      <o:lock v:ext="edit" aspectratio="f"/>
                    </v:shape>
                  </w:pict>
                </mc:Fallback>
              </mc:AlternateContent>
            </w:r>
          </w:p>
          <w:p w14:paraId="7CF8DCF7">
            <w:pPr>
              <w:pStyle w:val="2"/>
              <w:jc w:val="center"/>
              <w:rPr>
                <w:b/>
                <w:bCs/>
                <w:color w:val="auto"/>
              </w:rPr>
            </w:pPr>
          </w:p>
          <w:p w14:paraId="603D7BF3">
            <w:pPr>
              <w:pStyle w:val="2"/>
              <w:jc w:val="center"/>
              <w:rPr>
                <w:b/>
                <w:bCs/>
                <w:color w:val="auto"/>
              </w:rPr>
            </w:pPr>
            <w:r>
              <w:rPr>
                <w:color w:val="auto"/>
                <w:sz w:val="20"/>
              </w:rPr>
              <mc:AlternateContent>
                <mc:Choice Requires="wps">
                  <w:drawing>
                    <wp:anchor distT="0" distB="0" distL="114300" distR="114300" simplePos="0" relativeHeight="251691008" behindDoc="0" locked="0" layoutInCell="1" allowOverlap="1">
                      <wp:simplePos x="0" y="0"/>
                      <wp:positionH relativeFrom="column">
                        <wp:posOffset>28575</wp:posOffset>
                      </wp:positionH>
                      <wp:positionV relativeFrom="paragraph">
                        <wp:posOffset>53975</wp:posOffset>
                      </wp:positionV>
                      <wp:extent cx="972820" cy="400685"/>
                      <wp:effectExtent l="0" t="0" r="17780" b="18415"/>
                      <wp:wrapNone/>
                      <wp:docPr id="32" name="文本框 32"/>
                      <wp:cNvGraphicFramePr/>
                      <a:graphic xmlns:a="http://schemas.openxmlformats.org/drawingml/2006/main">
                        <a:graphicData uri="http://schemas.microsoft.com/office/word/2010/wordprocessingShape">
                          <wps:wsp>
                            <wps:cNvSpPr txBox="1"/>
                            <wps:spPr>
                              <a:xfrm>
                                <a:off x="0" y="0"/>
                                <a:ext cx="972820" cy="400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901D2BB">
                                  <w:pPr>
                                    <w:rPr>
                                      <w:rFonts w:hint="default"/>
                                      <w:sz w:val="15"/>
                                      <w:szCs w:val="15"/>
                                      <w:lang w:val="en-US" w:eastAsia="zh-CN"/>
                                    </w:rPr>
                                  </w:pPr>
                                  <w:r>
                                    <w:rPr>
                                      <w:rFonts w:hint="eastAsia"/>
                                      <w:sz w:val="15"/>
                                      <w:szCs w:val="15"/>
                                      <w:lang w:val="en-US" w:eastAsia="zh-CN"/>
                                    </w:rPr>
                                    <w:t>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4.25pt;height:31.55pt;width:76.6pt;z-index:251691008;mso-width-relative:page;mso-height-relative:page;" fillcolor="#FFFFFF [3201]" filled="t" stroked="f" coordsize="21600,21600" o:gfxdata="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bSSwgtIAAAAGAQAADwAAAAAAAAAB&#10;ACAAAAAiAAAAZHJzL2Rvd25yZXYueG1sUEsBAhQAFAAAAAgAh07iQDUEkNFPAgAAkAQAAA4AAAAA&#10;AAAAAQAgAAAAIQEAAGRycy9lMm9Eb2MueG1sUEsFBgAAAAAGAAYAWQEAAOIFAAAAAA==&#10;">
                      <v:fill on="t" focussize="0,0"/>
                      <v:stroke on="f" weight="0.5pt"/>
                      <v:imagedata o:title=""/>
                      <o:lock v:ext="edit" aspectratio="f"/>
                      <v:textbox>
                        <w:txbxContent>
                          <w:p w14:paraId="2901D2BB">
                            <w:pPr>
                              <w:rPr>
                                <w:rFonts w:hint="default"/>
                                <w:sz w:val="15"/>
                                <w:szCs w:val="15"/>
                                <w:lang w:val="en-US" w:eastAsia="zh-CN"/>
                              </w:rPr>
                            </w:pPr>
                            <w:r>
                              <w:rPr>
                                <w:rFonts w:hint="eastAsia"/>
                                <w:sz w:val="15"/>
                                <w:szCs w:val="15"/>
                                <w:lang w:val="en-US" w:eastAsia="zh-CN"/>
                              </w:rPr>
                              <w:t>废气、噪声</w:t>
                            </w:r>
                          </w:p>
                        </w:txbxContent>
                      </v:textbox>
                    </v:shape>
                  </w:pict>
                </mc:Fallback>
              </mc:AlternateContent>
            </w:r>
            <w:r>
              <w:rPr>
                <w:color w:val="auto"/>
                <w:sz w:val="20"/>
              </w:rPr>
              <mc:AlternateContent>
                <mc:Choice Requires="wps">
                  <w:drawing>
                    <wp:anchor distT="0" distB="0" distL="114300" distR="114300" simplePos="0" relativeHeight="251689984" behindDoc="0" locked="0" layoutInCell="1" allowOverlap="1">
                      <wp:simplePos x="0" y="0"/>
                      <wp:positionH relativeFrom="column">
                        <wp:posOffset>4755515</wp:posOffset>
                      </wp:positionH>
                      <wp:positionV relativeFrom="paragraph">
                        <wp:posOffset>149860</wp:posOffset>
                      </wp:positionV>
                      <wp:extent cx="895350" cy="357505"/>
                      <wp:effectExtent l="0" t="0" r="0" b="4445"/>
                      <wp:wrapNone/>
                      <wp:docPr id="31" name="文本框 31"/>
                      <wp:cNvGraphicFramePr/>
                      <a:graphic xmlns:a="http://schemas.openxmlformats.org/drawingml/2006/main">
                        <a:graphicData uri="http://schemas.microsoft.com/office/word/2010/wordprocessingShape">
                          <wps:wsp>
                            <wps:cNvSpPr txBox="1"/>
                            <wps:spPr>
                              <a:xfrm>
                                <a:off x="0" y="0"/>
                                <a:ext cx="895350" cy="3575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E66EDB4">
                                  <w:pPr>
                                    <w:rPr>
                                      <w:rFonts w:hint="default"/>
                                      <w:sz w:val="15"/>
                                      <w:szCs w:val="15"/>
                                      <w:lang w:val="en-US" w:eastAsia="zh-CN"/>
                                    </w:rPr>
                                  </w:pPr>
                                  <w:r>
                                    <w:rPr>
                                      <w:rFonts w:hint="eastAsia"/>
                                      <w:sz w:val="15"/>
                                      <w:szCs w:val="15"/>
                                      <w:lang w:val="en-US" w:eastAsia="zh-CN"/>
                                    </w:rPr>
                                    <w:t>废水、噪声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45pt;margin-top:11.8pt;height:28.15pt;width:70.5pt;z-index:251689984;mso-width-relative:page;mso-height-relative:page;" fillcolor="#FFFFFF [3201]" filled="t" stroked="f" coordsize="21600,21600" o:gfxdata="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5Pgtq1QAAAAkBAAAPAAAAAAAA&#10;AAEAIAAAACIAAABkcnMvZG93bnJldi54bWxQSwECFAAUAAAACACHTuJAgFPaMk4CAACQBAAADgAA&#10;AAAAAAABACAAAAAkAQAAZHJzL2Uyb0RvYy54bWxQSwUGAAAAAAYABgBZAQAA5AUAAAAA&#10;">
                      <v:fill on="t" focussize="0,0"/>
                      <v:stroke on="f" weight="0.5pt"/>
                      <v:imagedata o:title=""/>
                      <o:lock v:ext="edit" aspectratio="f"/>
                      <v:textbox>
                        <w:txbxContent>
                          <w:p w14:paraId="6E66EDB4">
                            <w:pPr>
                              <w:rPr>
                                <w:rFonts w:hint="default"/>
                                <w:sz w:val="15"/>
                                <w:szCs w:val="15"/>
                                <w:lang w:val="en-US" w:eastAsia="zh-CN"/>
                              </w:rPr>
                            </w:pPr>
                            <w:r>
                              <w:rPr>
                                <w:rFonts w:hint="eastAsia"/>
                                <w:sz w:val="15"/>
                                <w:szCs w:val="15"/>
                                <w:lang w:val="en-US" w:eastAsia="zh-CN"/>
                              </w:rPr>
                              <w:t>废水、噪声</w:t>
                            </w:r>
                          </w:p>
                        </w:txbxContent>
                      </v:textbox>
                    </v:shape>
                  </w:pict>
                </mc:Fallback>
              </mc:AlternateContent>
            </w:r>
            <w:r>
              <w:rPr>
                <w:color w:val="auto"/>
                <w:sz w:val="20"/>
              </w:rPr>
              <mc:AlternateContent>
                <mc:Choice Requires="wps">
                  <w:drawing>
                    <wp:anchor distT="0" distB="0" distL="114300" distR="114300" simplePos="0" relativeHeight="251688960" behindDoc="0" locked="0" layoutInCell="1" allowOverlap="1">
                      <wp:simplePos x="0" y="0"/>
                      <wp:positionH relativeFrom="column">
                        <wp:posOffset>6118225</wp:posOffset>
                      </wp:positionH>
                      <wp:positionV relativeFrom="paragraph">
                        <wp:posOffset>149860</wp:posOffset>
                      </wp:positionV>
                      <wp:extent cx="895350" cy="327660"/>
                      <wp:effectExtent l="0" t="0" r="0" b="15240"/>
                      <wp:wrapNone/>
                      <wp:docPr id="30" name="文本框 30"/>
                      <wp:cNvGraphicFramePr/>
                      <a:graphic xmlns:a="http://schemas.openxmlformats.org/drawingml/2006/main">
                        <a:graphicData uri="http://schemas.microsoft.com/office/word/2010/wordprocessingShape">
                          <wps:wsp>
                            <wps:cNvSpPr txBox="1"/>
                            <wps:spPr>
                              <a:xfrm>
                                <a:off x="0" y="0"/>
                                <a:ext cx="895350" cy="3276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8D4D5C">
                                  <w:pPr>
                                    <w:rPr>
                                      <w:rFonts w:hint="default"/>
                                      <w:sz w:val="15"/>
                                      <w:szCs w:val="15"/>
                                      <w:lang w:val="en-US" w:eastAsia="zh-CN"/>
                                    </w:rPr>
                                  </w:pPr>
                                  <w:r>
                                    <w:rPr>
                                      <w:rFonts w:hint="eastAsia"/>
                                      <w:sz w:val="15"/>
                                      <w:szCs w:val="15"/>
                                      <w:lang w:val="en-US" w:eastAsia="zh-CN"/>
                                    </w:rPr>
                                    <w:t>废水、噪声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1.75pt;margin-top:11.8pt;height:25.8pt;width:70.5pt;z-index:251688960;mso-width-relative:page;mso-height-relative:page;" fillcolor="#FFFFFF [3201]" filled="t" stroked="f" coordsize="21600,21600" o:gfxdata="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2EYqfWAAAACgEAAA8AAAAA&#10;AAAAAQAgAAAAIgAAAGRycy9kb3ducmV2LnhtbFBLAQIUABQAAAAIAIdO4kDtk5lXTwIAAJAEAAAO&#10;AAAAAAAAAAEAIAAAACUBAABkcnMvZTJvRG9jLnhtbFBLBQYAAAAABgAGAFkBAADmBQAAAAA=&#10;">
                      <v:fill on="t" focussize="0,0"/>
                      <v:stroke on="f" weight="0.5pt"/>
                      <v:imagedata o:title=""/>
                      <o:lock v:ext="edit" aspectratio="f"/>
                      <v:textbox>
                        <w:txbxContent>
                          <w:p w14:paraId="218D4D5C">
                            <w:pPr>
                              <w:rPr>
                                <w:rFonts w:hint="default"/>
                                <w:sz w:val="15"/>
                                <w:szCs w:val="15"/>
                                <w:lang w:val="en-US" w:eastAsia="zh-CN"/>
                              </w:rPr>
                            </w:pPr>
                            <w:r>
                              <w:rPr>
                                <w:rFonts w:hint="eastAsia"/>
                                <w:sz w:val="15"/>
                                <w:szCs w:val="15"/>
                                <w:lang w:val="en-US" w:eastAsia="zh-CN"/>
                              </w:rPr>
                              <w:t>废水、噪声</w:t>
                            </w:r>
                          </w:p>
                        </w:txbxContent>
                      </v:textbox>
                    </v:shape>
                  </w:pict>
                </mc:Fallback>
              </mc:AlternateContent>
            </w:r>
          </w:p>
          <w:p w14:paraId="2A891992">
            <w:pPr>
              <w:pStyle w:val="2"/>
              <w:jc w:val="center"/>
              <w:rPr>
                <w:b/>
                <w:bCs/>
                <w:color w:val="auto"/>
              </w:rPr>
            </w:pPr>
            <w:r>
              <w:rPr>
                <w:color w:val="auto"/>
                <w:sz w:val="20"/>
              </w:rPr>
              <mc:AlternateContent>
                <mc:Choice Requires="wps">
                  <w:drawing>
                    <wp:anchor distT="0" distB="0" distL="114300" distR="114300" simplePos="0" relativeHeight="251683840" behindDoc="0" locked="0" layoutInCell="1" allowOverlap="1">
                      <wp:simplePos x="0" y="0"/>
                      <wp:positionH relativeFrom="column">
                        <wp:posOffset>6838315</wp:posOffset>
                      </wp:positionH>
                      <wp:positionV relativeFrom="paragraph">
                        <wp:posOffset>222250</wp:posOffset>
                      </wp:positionV>
                      <wp:extent cx="424180" cy="183515"/>
                      <wp:effectExtent l="0" t="6350" r="16510" b="0"/>
                      <wp:wrapNone/>
                      <wp:docPr id="25" name="弧形 25"/>
                      <wp:cNvGraphicFramePr/>
                      <a:graphic xmlns:a="http://schemas.openxmlformats.org/drawingml/2006/main">
                        <a:graphicData uri="http://schemas.microsoft.com/office/word/2010/wordprocessingShape">
                          <wps:wsp>
                            <wps:cNvSpPr/>
                            <wps:spPr>
                              <a:xfrm>
                                <a:off x="0" y="0"/>
                                <a:ext cx="424180" cy="183515"/>
                              </a:xfrm>
                              <a:prstGeom prst="arc">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style="position:absolute;left:0pt;margin-left:538.45pt;margin-top:17.5pt;height:14.45pt;width:33.4pt;z-index:251683840;mso-width-relative:page;mso-height-relative:page;" filled="f" stroked="t" coordsize="424180,183515" o:gfxdata="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jZCP7dcAAAALAQAADwAA&#10;AAAAAAABACAAAAAiAAAAZHJzL2Rvd25yZXYueG1sUEsBAhQAFAAAAAgAh07iQGV43/reAQAArgMA&#10;AA4AAAAAAAAAAQAgAAAAJgEAAGRycy9lMm9Eb2MueG1sUEsFBgAAAAAGAAYAWQEAAHYFAAAAAA==&#10;" path="m212089,0nsc329223,0,424179,41081,424179,91757l212090,91757xem212089,0nfc329223,0,424179,41081,424179,91757e">
                      <v:path o:connectlocs="212089,0;212090,91757;424180,91757" o:connectangles="164,123,82"/>
                      <v:fill on="f" focussize="0,0"/>
                      <v:stroke weight="1pt" color="#5B9BD5 [3204]" miterlimit="8" joinstyle="miter"/>
                      <v:imagedata o:title=""/>
                      <o:lock v:ext="edit" aspectratio="f"/>
                    </v:shape>
                  </w:pict>
                </mc:Fallback>
              </mc:AlternateContent>
            </w:r>
          </w:p>
          <w:p w14:paraId="4C3F8D7A">
            <w:pPr>
              <w:pStyle w:val="2"/>
              <w:jc w:val="center"/>
              <w:rPr>
                <w:b/>
                <w:bCs/>
                <w:color w:val="auto"/>
              </w:rPr>
            </w:pPr>
            <w:r>
              <w:rPr>
                <w:color w:val="auto"/>
                <w:sz w:val="20"/>
              </w:rPr>
              <mc:AlternateContent>
                <mc:Choice Requires="wps">
                  <w:drawing>
                    <wp:anchor distT="0" distB="0" distL="114300" distR="114300" simplePos="0" relativeHeight="251685888" behindDoc="0" locked="0" layoutInCell="1" allowOverlap="1">
                      <wp:simplePos x="0" y="0"/>
                      <wp:positionH relativeFrom="column">
                        <wp:posOffset>369570</wp:posOffset>
                      </wp:positionH>
                      <wp:positionV relativeFrom="paragraph">
                        <wp:posOffset>38100</wp:posOffset>
                      </wp:positionV>
                      <wp:extent cx="424180" cy="183515"/>
                      <wp:effectExtent l="0" t="6350" r="16510" b="0"/>
                      <wp:wrapNone/>
                      <wp:docPr id="27" name="弧形 27"/>
                      <wp:cNvGraphicFramePr/>
                      <a:graphic xmlns:a="http://schemas.openxmlformats.org/drawingml/2006/main">
                        <a:graphicData uri="http://schemas.microsoft.com/office/word/2010/wordprocessingShape">
                          <wps:wsp>
                            <wps:cNvSpPr/>
                            <wps:spPr>
                              <a:xfrm>
                                <a:off x="0" y="0"/>
                                <a:ext cx="424180" cy="183515"/>
                              </a:xfrm>
                              <a:prstGeom prst="arc">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style="position:absolute;left:0pt;margin-left:29.1pt;margin-top:3pt;height:14.45pt;width:33.4pt;z-index:251685888;mso-width-relative:page;mso-height-relative:page;" filled="f" stroked="t" coordsize="424180,183515" o:gfxdata="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V8E0MdQAAAAHAQAADwAAAAAA&#10;AAABACAAAAAiAAAAZHJzL2Rvd25yZXYueG1sUEsBAhQAFAAAAAgAh07iQNUOJdveAQAArgMAAA4A&#10;AAAAAAAAAQAgAAAAIwEAAGRycy9lMm9Eb2MueG1sUEsFBgAAAAAGAAYAWQEAAHMFAAAAAA==&#10;" path="m212089,0nsc329223,0,424179,41081,424179,91757l212090,91757xem212089,0nfc329223,0,424179,41081,424179,91757e">
                      <v:path o:connectlocs="212089,0;212090,91757;424180,91757" o:connectangles="164,123,82"/>
                      <v:fill on="f" focussize="0,0"/>
                      <v:stroke weight="1pt" color="#5B9BD5 [3204]" miterlimit="8" joinstyle="miter"/>
                      <v:imagedata o:title=""/>
                      <o:lock v:ext="edit" aspectratio="f"/>
                    </v:shape>
                  </w:pict>
                </mc:Fallback>
              </mc:AlternateContent>
            </w:r>
            <w:r>
              <w:rPr>
                <w:color w:val="auto"/>
                <w:sz w:val="20"/>
              </w:rPr>
              <mc:AlternateContent>
                <mc:Choice Requires="wps">
                  <w:drawing>
                    <wp:anchor distT="0" distB="0" distL="114300" distR="114300" simplePos="0" relativeHeight="251684864" behindDoc="0" locked="0" layoutInCell="1" allowOverlap="1">
                      <wp:simplePos x="0" y="0"/>
                      <wp:positionH relativeFrom="column">
                        <wp:posOffset>5462270</wp:posOffset>
                      </wp:positionH>
                      <wp:positionV relativeFrom="paragraph">
                        <wp:posOffset>1905</wp:posOffset>
                      </wp:positionV>
                      <wp:extent cx="424180" cy="183515"/>
                      <wp:effectExtent l="0" t="6350" r="16510" b="0"/>
                      <wp:wrapNone/>
                      <wp:docPr id="26" name="弧形 26"/>
                      <wp:cNvGraphicFramePr/>
                      <a:graphic xmlns:a="http://schemas.openxmlformats.org/drawingml/2006/main">
                        <a:graphicData uri="http://schemas.microsoft.com/office/word/2010/wordprocessingShape">
                          <wps:wsp>
                            <wps:cNvSpPr/>
                            <wps:spPr>
                              <a:xfrm>
                                <a:off x="0" y="0"/>
                                <a:ext cx="424180" cy="183515"/>
                              </a:xfrm>
                              <a:prstGeom prst="arc">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style="position:absolute;left:0pt;margin-left:430.1pt;margin-top:0.15pt;height:14.45pt;width:33.4pt;z-index:251684864;mso-width-relative:page;mso-height-relative:page;" filled="f" stroked="t" coordsize="424180,183515" o:gfxdata="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c49ZHVAAAABwEAAA8AAAAA&#10;AAAAAQAgAAAAIgAAAGRycy9kb3ducmV2LnhtbFBLAQIUABQAAAAIAIdO4kCNNdjL3gEAAK4DAAAO&#10;AAAAAAAAAAEAIAAAACQBAABkcnMvZTJvRG9jLnhtbFBLBQYAAAAABgAGAFkBAAB0BQAAAAA=&#10;" path="m212089,0nsc329223,0,424179,41081,424179,91757l212090,91757xem212089,0nfc329223,0,424179,41081,424179,91757e">
                      <v:path o:connectlocs="212089,0;212090,91757;424180,91757" o:connectangles="164,123,82"/>
                      <v:fill on="f" focussize="0,0"/>
                      <v:stroke weight="1pt" color="#5B9BD5 [3204]" miterlimit="8" joinstyle="miter"/>
                      <v:imagedata o:title=""/>
                      <o:lock v:ext="edit" aspectratio="f"/>
                    </v:shape>
                  </w:pict>
                </mc:Fallback>
              </mc:AlternateContent>
            </w:r>
            <w:r>
              <w:rPr>
                <w:color w:val="auto"/>
                <w:sz w:val="20"/>
              </w:rPr>
              <mc:AlternateContent>
                <mc:Choice Requires="wps">
                  <w:drawing>
                    <wp:anchor distT="0" distB="0" distL="114300" distR="114300" simplePos="0" relativeHeight="251675648" behindDoc="0" locked="0" layoutInCell="1" allowOverlap="1">
                      <wp:simplePos x="0" y="0"/>
                      <wp:positionH relativeFrom="column">
                        <wp:posOffset>322580</wp:posOffset>
                      </wp:positionH>
                      <wp:positionV relativeFrom="paragraph">
                        <wp:posOffset>124460</wp:posOffset>
                      </wp:positionV>
                      <wp:extent cx="982345" cy="395605"/>
                      <wp:effectExtent l="4445" t="4445" r="22860" b="19050"/>
                      <wp:wrapNone/>
                      <wp:docPr id="17" name="文本框 17"/>
                      <wp:cNvGraphicFramePr/>
                      <a:graphic xmlns:a="http://schemas.openxmlformats.org/drawingml/2006/main">
                        <a:graphicData uri="http://schemas.microsoft.com/office/word/2010/wordprocessingShape">
                          <wps:wsp>
                            <wps:cNvSpPr txBox="1"/>
                            <wps:spPr>
                              <a:xfrm>
                                <a:off x="0" y="0"/>
                                <a:ext cx="982345" cy="395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50CABB">
                                  <w:pPr>
                                    <w:ind w:left="0" w:leftChars="0" w:firstLine="0" w:firstLineChars="0"/>
                                    <w:rPr>
                                      <w:rFonts w:hint="eastAsia"/>
                                      <w:lang w:val="en-US" w:eastAsia="zh-CN"/>
                                    </w:rPr>
                                  </w:pPr>
                                  <w:r>
                                    <w:rPr>
                                      <w:rFonts w:hint="eastAsia"/>
                                      <w:b/>
                                      <w:bCs/>
                                      <w:lang w:val="en-US" w:eastAsia="zh-CN"/>
                                    </w:rPr>
                                    <w:t>灭菌与储存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pt;margin-top:9.8pt;height:31.15pt;width:77.35pt;z-index:251675648;mso-width-relative:page;mso-height-relative:page;" fillcolor="#FFFFFF [3201]" filled="t" stroked="t" coordsize="21600,21600" o:gfxdata="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dSDTNUAAAAI&#10;AQAADwAAAAAAAAABACAAAAAiAAAAZHJzL2Rvd25yZXYueG1sUEsBAhQAFAAAAAgAh07iQIqjOtBY&#10;AgAAuAQAAA4AAAAAAAAAAQAgAAAAJAEAAGRycy9lMm9Eb2MueG1sUEsFBgAAAAAGAAYAWQEAAO4F&#10;AAAAAA==&#10;">
                      <v:fill on="t" focussize="0,0"/>
                      <v:stroke weight="0.5pt" color="#000000 [3204]" joinstyle="round"/>
                      <v:imagedata o:title=""/>
                      <o:lock v:ext="edit" aspectratio="f"/>
                      <v:textbox>
                        <w:txbxContent>
                          <w:p w14:paraId="5950CABB">
                            <w:pPr>
                              <w:ind w:left="0" w:leftChars="0" w:firstLine="0" w:firstLineChars="0"/>
                              <w:rPr>
                                <w:rFonts w:hint="eastAsia"/>
                                <w:lang w:val="en-US" w:eastAsia="zh-CN"/>
                              </w:rPr>
                            </w:pPr>
                            <w:r>
                              <w:rPr>
                                <w:rFonts w:hint="eastAsia"/>
                                <w:b/>
                                <w:bCs/>
                                <w:lang w:val="en-US" w:eastAsia="zh-CN"/>
                              </w:rPr>
                              <w:t>灭菌与储存</w:t>
                            </w:r>
                          </w:p>
                        </w:txbxContent>
                      </v:textbox>
                    </v:shape>
                  </w:pict>
                </mc:Fallback>
              </mc:AlternateContent>
            </w:r>
            <w:r>
              <w:rPr>
                <w:color w:val="auto"/>
                <w:sz w:val="20"/>
              </w:rPr>
              <mc:AlternateContent>
                <mc:Choice Requires="wps">
                  <w:drawing>
                    <wp:anchor distT="0" distB="0" distL="114300" distR="114300" simplePos="0" relativeHeight="251674624" behindDoc="0" locked="0" layoutInCell="1" allowOverlap="1">
                      <wp:simplePos x="0" y="0"/>
                      <wp:positionH relativeFrom="column">
                        <wp:posOffset>2138680</wp:posOffset>
                      </wp:positionH>
                      <wp:positionV relativeFrom="paragraph">
                        <wp:posOffset>110490</wp:posOffset>
                      </wp:positionV>
                      <wp:extent cx="549910" cy="395605"/>
                      <wp:effectExtent l="4445" t="4445" r="17145" b="19050"/>
                      <wp:wrapNone/>
                      <wp:docPr id="16" name="文本框 16"/>
                      <wp:cNvGraphicFramePr/>
                      <a:graphic xmlns:a="http://schemas.openxmlformats.org/drawingml/2006/main">
                        <a:graphicData uri="http://schemas.microsoft.com/office/word/2010/wordprocessingShape">
                          <wps:wsp>
                            <wps:cNvSpPr txBox="1"/>
                            <wps:spPr>
                              <a:xfrm>
                                <a:off x="0" y="0"/>
                                <a:ext cx="549910" cy="395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CD376AB">
                                  <w:pPr>
                                    <w:ind w:left="0" w:leftChars="0" w:firstLine="0" w:firstLineChars="0"/>
                                    <w:rPr>
                                      <w:rFonts w:hint="default"/>
                                      <w:b/>
                                      <w:bCs/>
                                      <w:lang w:val="en-US" w:eastAsia="zh-CN"/>
                                    </w:rPr>
                                  </w:pPr>
                                  <w:r>
                                    <w:rPr>
                                      <w:rFonts w:hint="eastAsia"/>
                                      <w:b/>
                                      <w:bCs/>
                                      <w:lang w:val="en-US" w:eastAsia="zh-CN"/>
                                    </w:rPr>
                                    <w:t>包装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4pt;margin-top:8.7pt;height:31.15pt;width:43.3pt;z-index:251674624;mso-width-relative:page;mso-height-relative:page;" fillcolor="#FFFFFF [3201]" filled="t" stroked="t" coordsize="21600,21600" o:gfxdata="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2/qGdYAAAAJ&#10;AQAADwAAAAAAAAABACAAAAAiAAAAZHJzL2Rvd25yZXYueG1sUEsBAhQAFAAAAAgAh07iQMPMq0lX&#10;AgAAuAQAAA4AAAAAAAAAAQAgAAAAJQEAAGRycy9lMm9Eb2MueG1sUEsFBgAAAAAGAAYAWQEAAO4F&#10;AAAAAA==&#10;">
                      <v:fill on="t" focussize="0,0"/>
                      <v:stroke weight="0.5pt" color="#000000 [3204]" joinstyle="round"/>
                      <v:imagedata o:title=""/>
                      <o:lock v:ext="edit" aspectratio="f"/>
                      <v:textbox>
                        <w:txbxContent>
                          <w:p w14:paraId="0CD376AB">
                            <w:pPr>
                              <w:ind w:left="0" w:leftChars="0" w:firstLine="0" w:firstLineChars="0"/>
                              <w:rPr>
                                <w:rFonts w:hint="default"/>
                                <w:b/>
                                <w:bCs/>
                                <w:lang w:val="en-US" w:eastAsia="zh-CN"/>
                              </w:rPr>
                            </w:pPr>
                            <w:r>
                              <w:rPr>
                                <w:rFonts w:hint="eastAsia"/>
                                <w:b/>
                                <w:bCs/>
                                <w:lang w:val="en-US" w:eastAsia="zh-CN"/>
                              </w:rPr>
                              <w:t>包装</w:t>
                            </w:r>
                          </w:p>
                        </w:txbxContent>
                      </v:textbox>
                    </v:shape>
                  </w:pict>
                </mc:Fallback>
              </mc:AlternateContent>
            </w:r>
            <w:r>
              <w:rPr>
                <w:color w:val="auto"/>
                <w:sz w:val="20"/>
              </w:rPr>
              <mc:AlternateContent>
                <mc:Choice Requires="wps">
                  <w:drawing>
                    <wp:anchor distT="0" distB="0" distL="114300" distR="114300" simplePos="0" relativeHeight="251672576" behindDoc="0" locked="0" layoutInCell="1" allowOverlap="1">
                      <wp:simplePos x="0" y="0"/>
                      <wp:positionH relativeFrom="column">
                        <wp:posOffset>5598795</wp:posOffset>
                      </wp:positionH>
                      <wp:positionV relativeFrom="paragraph">
                        <wp:posOffset>96520</wp:posOffset>
                      </wp:positionV>
                      <wp:extent cx="558800" cy="395605"/>
                      <wp:effectExtent l="4445" t="4445" r="8255" b="19050"/>
                      <wp:wrapNone/>
                      <wp:docPr id="13" name="文本框 13"/>
                      <wp:cNvGraphicFramePr/>
                      <a:graphic xmlns:a="http://schemas.openxmlformats.org/drawingml/2006/main">
                        <a:graphicData uri="http://schemas.microsoft.com/office/word/2010/wordprocessingShape">
                          <wps:wsp>
                            <wps:cNvSpPr txBox="1"/>
                            <wps:spPr>
                              <a:xfrm>
                                <a:off x="0" y="0"/>
                                <a:ext cx="558800" cy="395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E879B0">
                                  <w:pPr>
                                    <w:ind w:left="0" w:leftChars="0" w:firstLine="0" w:firstLineChars="0"/>
                                    <w:rPr>
                                      <w:rFonts w:hint="eastAsia"/>
                                      <w:b/>
                                      <w:bCs/>
                                      <w:lang w:val="en-US" w:eastAsia="zh-CN"/>
                                    </w:rPr>
                                  </w:pPr>
                                  <w:r>
                                    <w:rPr>
                                      <w:rFonts w:hint="eastAsia"/>
                                      <w:b/>
                                      <w:bCs/>
                                      <w:lang w:val="en-US" w:eastAsia="zh-CN"/>
                                    </w:rPr>
                                    <w:t>漂洗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85pt;margin-top:7.6pt;height:31.15pt;width:44pt;z-index:251672576;mso-width-relative:page;mso-height-relative:page;" fillcolor="#FFFFFF [3201]" filled="t" stroked="t" coordsize="21600,21600" o:gfxdata="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F7hdtYAAAAJ&#10;AQAADwAAAAAAAAABACAAAAAiAAAAZHJzL2Rvd25yZXYueG1sUEsBAhQAFAAAAAgAh07iQH7wzSdX&#10;AgAAuAQAAA4AAAAAAAAAAQAgAAAAJQEAAGRycy9lMm9Eb2MueG1sUEsFBgAAAAAGAAYAWQEAAO4F&#10;AAAAAA==&#10;">
                      <v:fill on="t" focussize="0,0"/>
                      <v:stroke weight="0.5pt" color="#000000 [3204]" joinstyle="round"/>
                      <v:imagedata o:title=""/>
                      <o:lock v:ext="edit" aspectratio="f"/>
                      <v:textbox>
                        <w:txbxContent>
                          <w:p w14:paraId="63E879B0">
                            <w:pPr>
                              <w:ind w:left="0" w:leftChars="0" w:firstLine="0" w:firstLineChars="0"/>
                              <w:rPr>
                                <w:rFonts w:hint="eastAsia"/>
                                <w:b/>
                                <w:bCs/>
                                <w:lang w:val="en-US" w:eastAsia="zh-CN"/>
                              </w:rPr>
                            </w:pPr>
                            <w:r>
                              <w:rPr>
                                <w:rFonts w:hint="eastAsia"/>
                                <w:b/>
                                <w:bCs/>
                                <w:lang w:val="en-US" w:eastAsia="zh-CN"/>
                              </w:rPr>
                              <w:t>漂洗</w:t>
                            </w:r>
                          </w:p>
                        </w:txbxContent>
                      </v:textbox>
                    </v:shape>
                  </w:pict>
                </mc:Fallback>
              </mc:AlternateContent>
            </w:r>
            <w:r>
              <w:rPr>
                <w:color w:val="auto"/>
                <w:sz w:val="20"/>
              </w:rPr>
              <mc:AlternateContent>
                <mc:Choice Requires="wps">
                  <w:drawing>
                    <wp:anchor distT="0" distB="0" distL="114300" distR="114300" simplePos="0" relativeHeight="251673600" behindDoc="0" locked="0" layoutInCell="1" allowOverlap="1">
                      <wp:simplePos x="0" y="0"/>
                      <wp:positionH relativeFrom="column">
                        <wp:posOffset>3430270</wp:posOffset>
                      </wp:positionH>
                      <wp:positionV relativeFrom="paragraph">
                        <wp:posOffset>104140</wp:posOffset>
                      </wp:positionV>
                      <wp:extent cx="1407160" cy="395605"/>
                      <wp:effectExtent l="4445" t="4445" r="17145" b="19050"/>
                      <wp:wrapNone/>
                      <wp:docPr id="15" name="文本框 15"/>
                      <wp:cNvGraphicFramePr/>
                      <a:graphic xmlns:a="http://schemas.openxmlformats.org/drawingml/2006/main">
                        <a:graphicData uri="http://schemas.microsoft.com/office/word/2010/wordprocessingShape">
                          <wps:wsp>
                            <wps:cNvSpPr txBox="1"/>
                            <wps:spPr>
                              <a:xfrm>
                                <a:off x="0" y="0"/>
                                <a:ext cx="1407160" cy="395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460A76">
                                  <w:pPr>
                                    <w:ind w:left="0" w:leftChars="0" w:firstLine="0" w:firstLineChars="0"/>
                                    <w:rPr>
                                      <w:rFonts w:hint="eastAsia"/>
                                      <w:b/>
                                      <w:bCs/>
                                      <w:lang w:val="en-US" w:eastAsia="zh-CN"/>
                                    </w:rPr>
                                  </w:pPr>
                                  <w:r>
                                    <w:rPr>
                                      <w:rFonts w:hint="eastAsia"/>
                                      <w:b/>
                                      <w:bCs/>
                                      <w:lang w:val="en-US" w:eastAsia="zh-CN"/>
                                    </w:rPr>
                                    <w:t>终末处理与干燥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1pt;margin-top:8.2pt;height:31.15pt;width:110.8pt;z-index:251673600;mso-width-relative:page;mso-height-relative:page;" fillcolor="#FFFFFF [3201]" filled="t" stroked="t" coordsize="21600,21600" o:gfxdata="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vKG5tYA&#10;AAAJAQAADwAAAAAAAAABACAAAAAiAAAAZHJzL2Rvd25yZXYueG1sUEsBAhQAFAAAAAgAh07iQD96&#10;hWBaAgAAuQQAAA4AAAAAAAAAAQAgAAAAJQEAAGRycy9lMm9Eb2MueG1sUEsFBgAAAAAGAAYAWQEA&#10;APEFAAAAAA==&#10;">
                      <v:fill on="t" focussize="0,0"/>
                      <v:stroke weight="0.5pt" color="#000000 [3204]" joinstyle="round"/>
                      <v:imagedata o:title=""/>
                      <o:lock v:ext="edit" aspectratio="f"/>
                      <v:textbox>
                        <w:txbxContent>
                          <w:p w14:paraId="08460A76">
                            <w:pPr>
                              <w:ind w:left="0" w:leftChars="0" w:firstLine="0" w:firstLineChars="0"/>
                              <w:rPr>
                                <w:rFonts w:hint="eastAsia"/>
                                <w:b/>
                                <w:bCs/>
                                <w:lang w:val="en-US" w:eastAsia="zh-CN"/>
                              </w:rPr>
                            </w:pPr>
                            <w:r>
                              <w:rPr>
                                <w:rFonts w:hint="eastAsia"/>
                                <w:b/>
                                <w:bCs/>
                                <w:lang w:val="en-US" w:eastAsia="zh-CN"/>
                              </w:rPr>
                              <w:t>终末处理与干燥</w:t>
                            </w:r>
                          </w:p>
                        </w:txbxContent>
                      </v:textbox>
                    </v:shape>
                  </w:pict>
                </mc:Fallback>
              </mc:AlternateContent>
            </w:r>
            <w:r>
              <w:rPr>
                <w:color w:val="auto"/>
                <w:sz w:val="20"/>
              </w:rPr>
              <mc:AlternateContent>
                <mc:Choice Requires="wps">
                  <w:drawing>
                    <wp:anchor distT="0" distB="0" distL="114300" distR="114300" simplePos="0" relativeHeight="251671552" behindDoc="0" locked="0" layoutInCell="1" allowOverlap="1">
                      <wp:simplePos x="0" y="0"/>
                      <wp:positionH relativeFrom="column">
                        <wp:posOffset>6934200</wp:posOffset>
                      </wp:positionH>
                      <wp:positionV relativeFrom="paragraph">
                        <wp:posOffset>106045</wp:posOffset>
                      </wp:positionV>
                      <wp:extent cx="1092200" cy="395605"/>
                      <wp:effectExtent l="4445" t="4445" r="8255" b="19050"/>
                      <wp:wrapNone/>
                      <wp:docPr id="12" name="文本框 12"/>
                      <wp:cNvGraphicFramePr/>
                      <a:graphic xmlns:a="http://schemas.openxmlformats.org/drawingml/2006/main">
                        <a:graphicData uri="http://schemas.microsoft.com/office/word/2010/wordprocessingShape">
                          <wps:wsp>
                            <wps:cNvSpPr txBox="1"/>
                            <wps:spPr>
                              <a:xfrm>
                                <a:off x="8214995" y="3237865"/>
                                <a:ext cx="1092200" cy="395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E1C8BC">
                                  <w:pPr>
                                    <w:ind w:left="0" w:leftChars="0" w:firstLine="0" w:firstLineChars="0"/>
                                    <w:rPr>
                                      <w:rFonts w:hint="eastAsia"/>
                                      <w:b/>
                                      <w:bCs/>
                                      <w:lang w:val="en-US" w:eastAsia="zh-CN"/>
                                    </w:rPr>
                                  </w:pPr>
                                  <w:r>
                                    <w:rPr>
                                      <w:rFonts w:hint="eastAsia"/>
                                      <w:b/>
                                      <w:bCs/>
                                      <w:lang w:val="en-US" w:eastAsia="zh-CN"/>
                                    </w:rPr>
                                    <w:t>刷洗与擦洗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pt;margin-top:8.35pt;height:31.15pt;width:86pt;z-index:251671552;mso-width-relative:page;mso-height-relative:page;" fillcolor="#FFFFFF [3201]" filled="t" stroked="t" coordsize="21600,21600" o:gfxdata="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piUrzXAAAACwEAAA8AAAAAAAAAAQAgAAAAIgAAAGRycy9kb3ducmV2LnhtbFBLAQIU&#10;ABQAAAAIAIdO4kCJuy9mZgIAAMUEAAAOAAAAAAAAAAEAIAAAACYBAABkcnMvZTJvRG9jLnhtbFBL&#10;BQYAAAAABgAGAFkBAAD+BQAAAAA=&#10;">
                      <v:fill on="t" focussize="0,0"/>
                      <v:stroke weight="0.5pt" color="#000000 [3204]" joinstyle="round"/>
                      <v:imagedata o:title=""/>
                      <o:lock v:ext="edit" aspectratio="f"/>
                      <v:textbox>
                        <w:txbxContent>
                          <w:p w14:paraId="0BE1C8BC">
                            <w:pPr>
                              <w:ind w:left="0" w:leftChars="0" w:firstLine="0" w:firstLineChars="0"/>
                              <w:rPr>
                                <w:rFonts w:hint="eastAsia"/>
                                <w:b/>
                                <w:bCs/>
                                <w:lang w:val="en-US" w:eastAsia="zh-CN"/>
                              </w:rPr>
                            </w:pPr>
                            <w:r>
                              <w:rPr>
                                <w:rFonts w:hint="eastAsia"/>
                                <w:b/>
                                <w:bCs/>
                                <w:lang w:val="en-US" w:eastAsia="zh-CN"/>
                              </w:rPr>
                              <w:t>刷洗与擦洗</w:t>
                            </w:r>
                          </w:p>
                        </w:txbxContent>
                      </v:textbox>
                    </v:shape>
                  </w:pict>
                </mc:Fallback>
              </mc:AlternateContent>
            </w:r>
          </w:p>
          <w:p w14:paraId="7F92D1CE">
            <w:pPr>
              <w:pStyle w:val="2"/>
              <w:jc w:val="center"/>
              <w:rPr>
                <w:b/>
                <w:bCs/>
                <w:color w:val="auto"/>
              </w:rPr>
            </w:pPr>
            <w:r>
              <w:rPr>
                <w:color w:val="auto"/>
                <w:sz w:val="20"/>
              </w:rPr>
              <mc:AlternateContent>
                <mc:Choice Requires="wps">
                  <w:drawing>
                    <wp:anchor distT="0" distB="0" distL="114300" distR="114300" simplePos="0" relativeHeight="251680768" behindDoc="0" locked="0" layoutInCell="1" allowOverlap="1">
                      <wp:simplePos x="0" y="0"/>
                      <wp:positionH relativeFrom="column">
                        <wp:posOffset>1356995</wp:posOffset>
                      </wp:positionH>
                      <wp:positionV relativeFrom="paragraph">
                        <wp:posOffset>49530</wp:posOffset>
                      </wp:positionV>
                      <wp:extent cx="754380" cy="8255"/>
                      <wp:effectExtent l="0" t="49530" r="7620" b="56515"/>
                      <wp:wrapNone/>
                      <wp:docPr id="22" name="直接箭头连接符 22"/>
                      <wp:cNvGraphicFramePr/>
                      <a:graphic xmlns:a="http://schemas.openxmlformats.org/drawingml/2006/main">
                        <a:graphicData uri="http://schemas.microsoft.com/office/word/2010/wordprocessingShape">
                          <wps:wsp>
                            <wps:cNvCnPr/>
                            <wps:spPr>
                              <a:xfrm flipH="1" flipV="1">
                                <a:off x="0" y="0"/>
                                <a:ext cx="754380" cy="82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06.85pt;margin-top:3.9pt;height:0.65pt;width:59.4pt;z-index:251680768;mso-width-relative:page;mso-height-relative:page;" filled="f" stroked="t" coordsize="21600,21600" o:gfxdata="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9uoPC1wAAAAcBAAAPAAAA&#10;AAAAAAEAIAAAACIAAABkcnMvZG93bnJldi54bWxQSwECFAAUAAAACACHTuJAE41UvxYCAAD3AwAA&#10;DgAAAAAAAAABACAAAAAmAQAAZHJzL2Uyb0RvYy54bWxQSwUGAAAAAAYABgBZAQAArgU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79744" behindDoc="0" locked="0" layoutInCell="1" allowOverlap="1">
                      <wp:simplePos x="0" y="0"/>
                      <wp:positionH relativeFrom="column">
                        <wp:posOffset>2691130</wp:posOffset>
                      </wp:positionH>
                      <wp:positionV relativeFrom="paragraph">
                        <wp:posOffset>57785</wp:posOffset>
                      </wp:positionV>
                      <wp:extent cx="754380" cy="8255"/>
                      <wp:effectExtent l="0" t="49530" r="7620" b="56515"/>
                      <wp:wrapNone/>
                      <wp:docPr id="21" name="直接箭头连接符 21"/>
                      <wp:cNvGraphicFramePr/>
                      <a:graphic xmlns:a="http://schemas.openxmlformats.org/drawingml/2006/main">
                        <a:graphicData uri="http://schemas.microsoft.com/office/word/2010/wordprocessingShape">
                          <wps:wsp>
                            <wps:cNvCnPr/>
                            <wps:spPr>
                              <a:xfrm flipH="1" flipV="1">
                                <a:off x="0" y="0"/>
                                <a:ext cx="754380" cy="82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1.9pt;margin-top:4.55pt;height:0.65pt;width:59.4pt;z-index:251679744;mso-width-relative:page;mso-height-relative:page;" filled="f" stroked="t" coordsize="21600,21600" o:gfxdata="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YAFE9gAAAAIAQAADwAA&#10;AAAAAAABACAAAAAiAAAAZHJzL2Rvd25yZXYueG1sUEsBAhQAFAAAAAgAh07iQCU3ySkWAgAA9wMA&#10;AA4AAAAAAAAAAQAgAAAAJwEAAGRycy9lMm9Eb2MueG1sUEsFBgAAAAAGAAYAWQEAAK8FA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78720" behindDoc="0" locked="0" layoutInCell="1" allowOverlap="1">
                      <wp:simplePos x="0" y="0"/>
                      <wp:positionH relativeFrom="column">
                        <wp:posOffset>4845050</wp:posOffset>
                      </wp:positionH>
                      <wp:positionV relativeFrom="paragraph">
                        <wp:posOffset>57150</wp:posOffset>
                      </wp:positionV>
                      <wp:extent cx="754380" cy="8255"/>
                      <wp:effectExtent l="0" t="49530" r="7620" b="56515"/>
                      <wp:wrapNone/>
                      <wp:docPr id="20" name="直接箭头连接符 20"/>
                      <wp:cNvGraphicFramePr/>
                      <a:graphic xmlns:a="http://schemas.openxmlformats.org/drawingml/2006/main">
                        <a:graphicData uri="http://schemas.microsoft.com/office/word/2010/wordprocessingShape">
                          <wps:wsp>
                            <wps:cNvCnPr/>
                            <wps:spPr>
                              <a:xfrm flipH="1" flipV="1">
                                <a:off x="0" y="0"/>
                                <a:ext cx="754380" cy="82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81.5pt;margin-top:4.5pt;height:0.65pt;width:59.4pt;z-index:251678720;mso-width-relative:page;mso-height-relative:page;" filled="f" stroked="t" coordsize="21600,21600" o:gfxdata="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GP/SK2AAAAAgBAAAPAAAA&#10;AAAAAAEAIAAAACIAAABkcnMvZG93bnJldi54bWxQSwECFAAUAAAACACHTuJAN6G9WxUCAAD3AwAA&#10;DgAAAAAAAAABACAAAAAnAQAAZHJzL2Uyb0RvYy54bWxQSwUGAAAAAAYABgBZAQAArgUAAAAA&#10;">
                      <v:fill on="f" focussize="0,0"/>
                      <v:stroke weight="1pt" color="#5B9BD5 [3204]" miterlimit="8" joinstyle="miter" endarrow="open"/>
                      <v:imagedata o:title=""/>
                      <o:lock v:ext="edit" aspectratio="f"/>
                    </v:shape>
                  </w:pict>
                </mc:Fallback>
              </mc:AlternateContent>
            </w:r>
            <w:r>
              <w:rPr>
                <w:color w:val="auto"/>
                <w:sz w:val="20"/>
              </w:rPr>
              <mc:AlternateContent>
                <mc:Choice Requires="wps">
                  <w:drawing>
                    <wp:anchor distT="0" distB="0" distL="114300" distR="114300" simplePos="0" relativeHeight="251677696" behindDoc="0" locked="0" layoutInCell="1" allowOverlap="1">
                      <wp:simplePos x="0" y="0"/>
                      <wp:positionH relativeFrom="column">
                        <wp:posOffset>6179820</wp:posOffset>
                      </wp:positionH>
                      <wp:positionV relativeFrom="paragraph">
                        <wp:posOffset>73660</wp:posOffset>
                      </wp:positionV>
                      <wp:extent cx="754380" cy="8255"/>
                      <wp:effectExtent l="0" t="49530" r="7620" b="56515"/>
                      <wp:wrapNone/>
                      <wp:docPr id="19" name="直接箭头连接符 19"/>
                      <wp:cNvGraphicFramePr/>
                      <a:graphic xmlns:a="http://schemas.openxmlformats.org/drawingml/2006/main">
                        <a:graphicData uri="http://schemas.microsoft.com/office/word/2010/wordprocessingShape">
                          <wps:wsp>
                            <wps:cNvCnPr>
                              <a:stCxn id="12" idx="1"/>
                            </wps:cNvCnPr>
                            <wps:spPr>
                              <a:xfrm flipH="1" flipV="1">
                                <a:off x="7585075" y="3457575"/>
                                <a:ext cx="754380" cy="82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86.6pt;margin-top:5.8pt;height:0.65pt;width:59.4pt;z-index:251677696;mso-width-relative:page;mso-height-relative:page;" filled="f" stroked="t" coordsize="21600,21600" o:gfxdata="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aCzIrZAAAACgEAAA8AAAAAAAAAAQAgAAAAIgAAAGRycy9kb3ducmV2Lnht&#10;bFBLAQIUABQAAAAIAIdO4kArPv7bMQIAACoEAAAOAAAAAAAAAAEAIAAAACgBAABkcnMvZTJvRG9j&#10;LnhtbFBLBQYAAAAABgAGAFkBAADLBQAAAAA=&#10;">
                      <v:fill on="f" focussize="0,0"/>
                      <v:stroke weight="1pt" color="#5B9BD5 [3204]" miterlimit="8" joinstyle="miter" endarrow="open"/>
                      <v:imagedata o:title=""/>
                      <o:lock v:ext="edit" aspectratio="f"/>
                    </v:shape>
                  </w:pict>
                </mc:Fallback>
              </mc:AlternateContent>
            </w:r>
          </w:p>
          <w:p w14:paraId="25434004">
            <w:pPr>
              <w:pStyle w:val="2"/>
              <w:jc w:val="center"/>
              <w:rPr>
                <w:b/>
                <w:bCs/>
                <w:color w:val="auto"/>
              </w:rPr>
            </w:pPr>
          </w:p>
          <w:p w14:paraId="6D3EF718">
            <w:pPr>
              <w:pStyle w:val="2"/>
              <w:jc w:val="both"/>
              <w:rPr>
                <w:b/>
                <w:bCs/>
                <w:color w:val="auto"/>
              </w:rPr>
            </w:pPr>
          </w:p>
          <w:p w14:paraId="37335F55">
            <w:pPr>
              <w:pStyle w:val="2"/>
              <w:jc w:val="center"/>
              <w:rPr>
                <w:b/>
                <w:bCs/>
                <w:color w:val="auto"/>
              </w:rPr>
            </w:pPr>
          </w:p>
          <w:p w14:paraId="0F2EA1E5">
            <w:pPr>
              <w:pStyle w:val="2"/>
              <w:jc w:val="center"/>
              <w:rPr>
                <w:b/>
                <w:bCs/>
                <w:color w:val="auto"/>
              </w:rPr>
            </w:pPr>
          </w:p>
          <w:p w14:paraId="679CE22A">
            <w:pPr>
              <w:pStyle w:val="2"/>
              <w:jc w:val="center"/>
              <w:rPr>
                <w:b/>
                <w:bCs/>
                <w:color w:val="auto"/>
              </w:rPr>
            </w:pPr>
          </w:p>
          <w:p w14:paraId="7BD5A848">
            <w:pPr>
              <w:pStyle w:val="2"/>
              <w:jc w:val="center"/>
              <w:rPr>
                <w:b/>
                <w:bCs/>
                <w:color w:val="auto"/>
              </w:rPr>
            </w:pPr>
            <w:r>
              <w:rPr>
                <w:b/>
                <w:bCs/>
                <w:color w:val="auto"/>
              </w:rPr>
              <w:t>图2-</w:t>
            </w:r>
            <w:r>
              <w:rPr>
                <w:rFonts w:hint="eastAsia"/>
                <w:b/>
                <w:bCs/>
                <w:color w:val="auto"/>
                <w:lang w:val="en-US" w:eastAsia="zh-CN"/>
              </w:rPr>
              <w:t>3江川区医共体总院新增消毒中心</w:t>
            </w:r>
            <w:r>
              <w:rPr>
                <w:b/>
                <w:bCs/>
                <w:color w:val="auto"/>
              </w:rPr>
              <w:t>运营期工艺流程及产污节点图</w:t>
            </w:r>
          </w:p>
          <w:p w14:paraId="2EA38F65">
            <w:pPr>
              <w:pStyle w:val="2"/>
              <w:jc w:val="center"/>
              <w:rPr>
                <w:rFonts w:hint="eastAsia" w:eastAsia="宋体"/>
                <w:b/>
                <w:bCs/>
                <w:color w:val="auto"/>
                <w:lang w:eastAsia="zh-CN"/>
              </w:rPr>
            </w:pPr>
            <w:r>
              <w:rPr>
                <w:rFonts w:hint="eastAsia" w:eastAsia="宋体"/>
                <w:b/>
                <w:bCs/>
                <w:color w:val="auto"/>
                <w:lang w:eastAsia="zh-CN"/>
              </w:rPr>
              <w:drawing>
                <wp:inline distT="0" distB="0" distL="114300" distR="114300">
                  <wp:extent cx="8366760" cy="4396740"/>
                  <wp:effectExtent l="0" t="0" r="2540" b="10160"/>
                  <wp:docPr id="83" name="图片 83" descr="BW$P4}E%BHFL~4QLSZ~{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BW$P4}E%BHFL~4QLSZ~{4]G"/>
                          <pic:cNvPicPr>
                            <a:picLocks noChangeAspect="1"/>
                          </pic:cNvPicPr>
                        </pic:nvPicPr>
                        <pic:blipFill>
                          <a:blip r:embed="rId21"/>
                          <a:stretch>
                            <a:fillRect/>
                          </a:stretch>
                        </pic:blipFill>
                        <pic:spPr>
                          <a:xfrm>
                            <a:off x="0" y="0"/>
                            <a:ext cx="8366760" cy="4396740"/>
                          </a:xfrm>
                          <a:prstGeom prst="rect">
                            <a:avLst/>
                          </a:prstGeom>
                        </pic:spPr>
                      </pic:pic>
                    </a:graphicData>
                  </a:graphic>
                </wp:inline>
              </w:drawing>
            </w:r>
          </w:p>
          <w:p w14:paraId="50282B49">
            <w:pPr>
              <w:pStyle w:val="2"/>
              <w:jc w:val="center"/>
              <w:rPr>
                <w:b/>
                <w:bCs/>
                <w:color w:val="auto"/>
              </w:rPr>
            </w:pPr>
            <w:r>
              <w:rPr>
                <w:b/>
                <w:bCs/>
                <w:color w:val="auto"/>
              </w:rPr>
              <w:t>图2-</w:t>
            </w:r>
            <w:r>
              <w:rPr>
                <w:rFonts w:hint="eastAsia"/>
                <w:b/>
                <w:bCs/>
                <w:color w:val="auto"/>
                <w:lang w:val="en-US" w:eastAsia="zh-CN"/>
              </w:rPr>
              <w:t>4江城镇卫生院</w:t>
            </w:r>
            <w:r>
              <w:rPr>
                <w:b/>
                <w:bCs/>
                <w:color w:val="auto"/>
              </w:rPr>
              <w:t>运营期工艺流程及产污节点图</w:t>
            </w:r>
          </w:p>
          <w:p w14:paraId="5BC0C6E8">
            <w:pPr>
              <w:pStyle w:val="2"/>
              <w:jc w:val="center"/>
              <w:rPr>
                <w:b/>
                <w:bCs/>
                <w:color w:val="auto"/>
              </w:rPr>
            </w:pPr>
          </w:p>
        </w:tc>
      </w:tr>
    </w:tbl>
    <w:p w14:paraId="550ECF3B">
      <w:pPr>
        <w:ind w:firstLine="0" w:firstLineChars="0"/>
        <w:rPr>
          <w:color w:val="auto"/>
        </w:rPr>
        <w:sectPr>
          <w:pgSz w:w="16838" w:h="11906" w:orient="landscape"/>
          <w:pgMar w:top="1800" w:right="1440" w:bottom="1800" w:left="1440" w:header="851" w:footer="992" w:gutter="0"/>
          <w:pgNumType w:fmt="decimal"/>
          <w:cols w:space="720" w:num="1"/>
          <w:docGrid w:type="lines" w:linePitch="326" w:charSpace="0"/>
        </w:sectPr>
      </w:pPr>
    </w:p>
    <w:tbl>
      <w:tblPr>
        <w:tblStyle w:val="19"/>
        <w:tblpPr w:leftFromText="180" w:rightFromText="180" w:vertAnchor="text" w:tblpXSpec="right" w:tblpY="1"/>
        <w:tblOverlap w:val="never"/>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5"/>
        <w:gridCol w:w="7797"/>
      </w:tblGrid>
      <w:tr w14:paraId="735459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09" w:hRule="atLeast"/>
        </w:trPr>
        <w:tc>
          <w:tcPr>
            <w:tcW w:w="725" w:type="dxa"/>
            <w:vAlign w:val="center"/>
          </w:tcPr>
          <w:p w14:paraId="109D64EA">
            <w:pPr>
              <w:ind w:firstLine="0" w:firstLineChars="0"/>
              <w:rPr>
                <w:color w:val="auto"/>
              </w:rPr>
            </w:pPr>
          </w:p>
        </w:tc>
        <w:tc>
          <w:tcPr>
            <w:tcW w:w="7797" w:type="dxa"/>
            <w:vAlign w:val="center"/>
          </w:tcPr>
          <w:p w14:paraId="0DE9A489">
            <w:pPr>
              <w:pStyle w:val="34"/>
              <w:ind w:left="0" w:leftChars="0" w:firstLine="480" w:firstLineChars="200"/>
              <w:rPr>
                <w:color w:val="auto"/>
              </w:rPr>
            </w:pPr>
            <w:r>
              <w:rPr>
                <w:rFonts w:hint="eastAsia"/>
                <w:color w:val="auto"/>
                <w:lang w:val="en-US" w:eastAsia="zh-CN"/>
              </w:rPr>
              <w:t>江川区医共体总院扩建后</w:t>
            </w:r>
            <w:r>
              <w:rPr>
                <w:color w:val="auto"/>
              </w:rPr>
              <w:t>运营期主要污染因子如下：</w:t>
            </w:r>
          </w:p>
          <w:p w14:paraId="51EBF451">
            <w:pPr>
              <w:pStyle w:val="2"/>
              <w:jc w:val="center"/>
              <w:rPr>
                <w:rFonts w:hint="default"/>
                <w:b/>
                <w:color w:val="auto"/>
                <w:kern w:val="2"/>
                <w:sz w:val="21"/>
                <w:szCs w:val="21"/>
                <w:lang w:val="en-US" w:eastAsia="zh-CN"/>
              </w:rPr>
            </w:pPr>
            <w:r>
              <w:rPr>
                <w:rFonts w:hint="eastAsia"/>
                <w:b/>
                <w:color w:val="auto"/>
                <w:kern w:val="2"/>
                <w:sz w:val="21"/>
                <w:szCs w:val="21"/>
                <w:lang w:val="en-US" w:eastAsia="zh-CN"/>
              </w:rPr>
              <w:t>表2-13江川区医共体总院主要污染因子</w:t>
            </w:r>
          </w:p>
          <w:tbl>
            <w:tblPr>
              <w:tblStyle w:val="19"/>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92"/>
              <w:gridCol w:w="550"/>
              <w:gridCol w:w="1343"/>
              <w:gridCol w:w="1909"/>
              <w:gridCol w:w="649"/>
              <w:gridCol w:w="2632"/>
            </w:tblGrid>
            <w:tr w14:paraId="4C7D1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FD723">
                  <w:pPr>
                    <w:pStyle w:val="2"/>
                    <w:jc w:val="center"/>
                    <w:rPr>
                      <w:rFonts w:hint="eastAsia"/>
                      <w:color w:val="auto"/>
                      <w:sz w:val="21"/>
                      <w:szCs w:val="28"/>
                    </w:rPr>
                  </w:pPr>
                  <w:r>
                    <w:rPr>
                      <w:rFonts w:hint="eastAsia"/>
                      <w:color w:val="auto"/>
                      <w:sz w:val="21"/>
                      <w:szCs w:val="28"/>
                      <w:lang w:val="en-US" w:eastAsia="zh-CN"/>
                    </w:rPr>
                    <w:t>类别</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4EE9C">
                  <w:pPr>
                    <w:pStyle w:val="2"/>
                    <w:jc w:val="center"/>
                    <w:rPr>
                      <w:rFonts w:hint="eastAsia"/>
                      <w:color w:val="auto"/>
                      <w:sz w:val="21"/>
                      <w:szCs w:val="28"/>
                    </w:rPr>
                  </w:pPr>
                  <w:r>
                    <w:rPr>
                      <w:rFonts w:hint="eastAsia"/>
                      <w:color w:val="auto"/>
                      <w:sz w:val="21"/>
                      <w:szCs w:val="28"/>
                      <w:lang w:val="en-US" w:eastAsia="zh-CN"/>
                    </w:rPr>
                    <w:t>代码</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9AB58">
                  <w:pPr>
                    <w:pStyle w:val="2"/>
                    <w:jc w:val="center"/>
                    <w:rPr>
                      <w:rFonts w:hint="eastAsia"/>
                      <w:color w:val="auto"/>
                      <w:sz w:val="21"/>
                      <w:szCs w:val="28"/>
                    </w:rPr>
                  </w:pPr>
                  <w:r>
                    <w:rPr>
                      <w:rFonts w:hint="eastAsia"/>
                      <w:color w:val="auto"/>
                      <w:sz w:val="21"/>
                      <w:szCs w:val="28"/>
                      <w:lang w:val="en-US" w:eastAsia="zh-CN"/>
                    </w:rPr>
                    <w:t>污染源</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D6450E">
                  <w:pPr>
                    <w:pStyle w:val="2"/>
                    <w:jc w:val="center"/>
                    <w:rPr>
                      <w:rFonts w:hint="eastAsia"/>
                      <w:color w:val="auto"/>
                      <w:sz w:val="21"/>
                      <w:szCs w:val="28"/>
                    </w:rPr>
                  </w:pPr>
                  <w:r>
                    <w:rPr>
                      <w:rFonts w:hint="eastAsia"/>
                      <w:color w:val="auto"/>
                      <w:sz w:val="21"/>
                      <w:szCs w:val="28"/>
                      <w:lang w:val="en-US" w:eastAsia="zh-CN"/>
                    </w:rPr>
                    <w:t>污染物</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C3687">
                  <w:pPr>
                    <w:pStyle w:val="2"/>
                    <w:jc w:val="center"/>
                    <w:rPr>
                      <w:rFonts w:hint="eastAsia"/>
                      <w:color w:val="auto"/>
                      <w:sz w:val="21"/>
                      <w:szCs w:val="28"/>
                    </w:rPr>
                  </w:pPr>
                  <w:r>
                    <w:rPr>
                      <w:rFonts w:hint="eastAsia"/>
                      <w:color w:val="auto"/>
                      <w:sz w:val="21"/>
                      <w:szCs w:val="28"/>
                      <w:lang w:val="en-US" w:eastAsia="zh-CN"/>
                    </w:rPr>
                    <w:t>产生特征</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94B8FF">
                  <w:pPr>
                    <w:pStyle w:val="2"/>
                    <w:jc w:val="center"/>
                    <w:rPr>
                      <w:rFonts w:hint="eastAsia"/>
                      <w:color w:val="auto"/>
                      <w:sz w:val="21"/>
                      <w:szCs w:val="28"/>
                    </w:rPr>
                  </w:pPr>
                  <w:r>
                    <w:rPr>
                      <w:rFonts w:hint="eastAsia"/>
                      <w:color w:val="auto"/>
                      <w:sz w:val="21"/>
                      <w:szCs w:val="28"/>
                      <w:lang w:val="en-US" w:eastAsia="zh-CN"/>
                    </w:rPr>
                    <w:t>处理措施及排放去向</w:t>
                  </w:r>
                </w:p>
              </w:tc>
            </w:tr>
            <w:tr w14:paraId="044BFC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25" w:type="pct"/>
                  <w:tcBorders>
                    <w:top w:val="single" w:color="000000" w:sz="4" w:space="0"/>
                    <w:left w:val="single" w:color="000000" w:sz="4" w:space="0"/>
                    <w:right w:val="single" w:color="000000" w:sz="4" w:space="0"/>
                  </w:tcBorders>
                  <w:shd w:val="clear" w:color="auto" w:fill="auto"/>
                  <w:vAlign w:val="center"/>
                </w:tcPr>
                <w:p w14:paraId="1820FE52">
                  <w:pPr>
                    <w:pStyle w:val="2"/>
                    <w:jc w:val="center"/>
                    <w:rPr>
                      <w:rFonts w:hint="eastAsia"/>
                      <w:color w:val="auto"/>
                      <w:sz w:val="21"/>
                      <w:szCs w:val="28"/>
                    </w:rPr>
                  </w:pPr>
                  <w:r>
                    <w:rPr>
                      <w:rFonts w:hint="eastAsia"/>
                      <w:color w:val="auto"/>
                      <w:sz w:val="21"/>
                      <w:szCs w:val="28"/>
                      <w:lang w:val="en-US" w:eastAsia="zh-CN"/>
                    </w:rPr>
                    <w:t>废气</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748A9">
                  <w:pPr>
                    <w:pStyle w:val="2"/>
                    <w:jc w:val="center"/>
                    <w:rPr>
                      <w:rFonts w:hint="default"/>
                      <w:color w:val="auto"/>
                      <w:sz w:val="21"/>
                      <w:szCs w:val="28"/>
                    </w:rPr>
                  </w:pPr>
                  <w:r>
                    <w:rPr>
                      <w:rFonts w:hint="default"/>
                      <w:color w:val="auto"/>
                      <w:sz w:val="21"/>
                      <w:szCs w:val="28"/>
                      <w:lang w:val="en-US" w:eastAsia="zh-CN"/>
                    </w:rPr>
                    <w:t>G1</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917EE">
                  <w:pPr>
                    <w:pStyle w:val="2"/>
                    <w:jc w:val="center"/>
                    <w:rPr>
                      <w:rFonts w:hint="default"/>
                      <w:color w:val="auto"/>
                      <w:sz w:val="21"/>
                      <w:szCs w:val="28"/>
                      <w:lang w:val="en-US"/>
                    </w:rPr>
                  </w:pPr>
                  <w:r>
                    <w:rPr>
                      <w:rFonts w:hint="eastAsia"/>
                      <w:color w:val="auto"/>
                      <w:sz w:val="21"/>
                      <w:szCs w:val="28"/>
                      <w:lang w:val="en-US" w:eastAsia="zh-CN"/>
                    </w:rPr>
                    <w:t>甲醛残气</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EAE5B">
                  <w:pPr>
                    <w:pStyle w:val="2"/>
                    <w:jc w:val="center"/>
                    <w:rPr>
                      <w:rFonts w:hint="eastAsia"/>
                      <w:color w:val="auto"/>
                      <w:sz w:val="21"/>
                      <w:szCs w:val="28"/>
                    </w:rPr>
                  </w:pPr>
                  <w:r>
                    <w:rPr>
                      <w:rFonts w:hint="eastAsia"/>
                      <w:color w:val="auto"/>
                      <w:sz w:val="21"/>
                      <w:szCs w:val="28"/>
                      <w:lang w:val="en-US" w:eastAsia="zh-CN"/>
                    </w:rPr>
                    <w:t>甲醛</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5BBEF">
                  <w:pPr>
                    <w:pStyle w:val="2"/>
                    <w:jc w:val="center"/>
                    <w:rPr>
                      <w:rFonts w:hint="eastAsia"/>
                      <w:color w:val="auto"/>
                      <w:sz w:val="21"/>
                      <w:szCs w:val="28"/>
                    </w:rPr>
                  </w:pPr>
                  <w:r>
                    <w:rPr>
                      <w:rFonts w:hint="eastAsia"/>
                      <w:color w:val="auto"/>
                      <w:sz w:val="21"/>
                      <w:szCs w:val="28"/>
                      <w:lang w:val="en-US" w:eastAsia="zh-CN"/>
                    </w:rPr>
                    <w:t>间断</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DD770">
                  <w:pPr>
                    <w:pStyle w:val="2"/>
                    <w:jc w:val="center"/>
                    <w:rPr>
                      <w:rFonts w:hint="default"/>
                      <w:color w:val="auto"/>
                      <w:sz w:val="21"/>
                      <w:szCs w:val="28"/>
                      <w:lang w:val="en-US"/>
                    </w:rPr>
                  </w:pPr>
                  <w:r>
                    <w:rPr>
                      <w:rFonts w:hint="eastAsia"/>
                      <w:color w:val="auto"/>
                      <w:sz w:val="21"/>
                      <w:szCs w:val="28"/>
                      <w:lang w:val="en-US" w:eastAsia="zh-CN"/>
                    </w:rPr>
                    <w:t>无组织排放</w:t>
                  </w:r>
                </w:p>
              </w:tc>
            </w:tr>
            <w:tr w14:paraId="3467E8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325" w:type="pct"/>
                  <w:vMerge w:val="restart"/>
                  <w:tcBorders>
                    <w:top w:val="single" w:color="000000" w:sz="4" w:space="0"/>
                    <w:left w:val="single" w:color="000000" w:sz="4" w:space="0"/>
                    <w:right w:val="single" w:color="000000" w:sz="4" w:space="0"/>
                  </w:tcBorders>
                  <w:shd w:val="clear" w:color="auto" w:fill="auto"/>
                  <w:vAlign w:val="center"/>
                </w:tcPr>
                <w:p w14:paraId="30A62EEA">
                  <w:pPr>
                    <w:pStyle w:val="2"/>
                    <w:jc w:val="center"/>
                    <w:rPr>
                      <w:rFonts w:hint="eastAsia"/>
                      <w:color w:val="auto"/>
                      <w:sz w:val="21"/>
                      <w:szCs w:val="28"/>
                    </w:rPr>
                  </w:pPr>
                  <w:r>
                    <w:rPr>
                      <w:rFonts w:hint="eastAsia"/>
                      <w:color w:val="auto"/>
                      <w:sz w:val="21"/>
                      <w:szCs w:val="28"/>
                      <w:lang w:val="en-US" w:eastAsia="zh-CN"/>
                    </w:rPr>
                    <w:t>废水</w:t>
                  </w:r>
                </w:p>
              </w:tc>
              <w:tc>
                <w:tcPr>
                  <w:tcW w:w="3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9C767C">
                  <w:pPr>
                    <w:pStyle w:val="2"/>
                    <w:jc w:val="center"/>
                    <w:rPr>
                      <w:rFonts w:hint="default"/>
                      <w:color w:val="auto"/>
                      <w:sz w:val="21"/>
                      <w:szCs w:val="28"/>
                    </w:rPr>
                  </w:pPr>
                  <w:r>
                    <w:rPr>
                      <w:rFonts w:hint="default"/>
                      <w:color w:val="auto"/>
                      <w:sz w:val="21"/>
                      <w:szCs w:val="28"/>
                      <w:lang w:val="en-US" w:eastAsia="zh-CN"/>
                    </w:rPr>
                    <w:t>W1</w:t>
                  </w:r>
                </w:p>
              </w:tc>
              <w:tc>
                <w:tcPr>
                  <w:tcW w:w="8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67ACD3">
                  <w:pPr>
                    <w:pStyle w:val="2"/>
                    <w:jc w:val="center"/>
                    <w:rPr>
                      <w:rFonts w:hint="eastAsia"/>
                      <w:color w:val="auto"/>
                      <w:sz w:val="21"/>
                      <w:szCs w:val="28"/>
                    </w:rPr>
                  </w:pPr>
                  <w:r>
                    <w:rPr>
                      <w:rFonts w:hint="eastAsia"/>
                      <w:color w:val="auto"/>
                      <w:sz w:val="21"/>
                      <w:szCs w:val="28"/>
                      <w:lang w:val="en-US" w:eastAsia="zh-CN"/>
                    </w:rPr>
                    <w:t>运输设施清洗废水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51E79">
                  <w:pPr>
                    <w:pStyle w:val="2"/>
                    <w:jc w:val="center"/>
                    <w:rPr>
                      <w:rFonts w:hint="default"/>
                      <w:color w:val="auto"/>
                      <w:sz w:val="21"/>
                      <w:szCs w:val="28"/>
                    </w:rPr>
                  </w:pPr>
                  <w:r>
                    <w:rPr>
                      <w:rFonts w:hint="default"/>
                      <w:color w:val="auto"/>
                      <w:sz w:val="21"/>
                      <w:szCs w:val="28"/>
                      <w:lang w:val="en-US" w:eastAsia="zh-CN"/>
                    </w:rPr>
                    <w:t>pH</w:t>
                  </w:r>
                  <w:r>
                    <w:rPr>
                      <w:rFonts w:hint="eastAsia"/>
                      <w:color w:val="auto"/>
                      <w:sz w:val="21"/>
                      <w:szCs w:val="28"/>
                      <w:lang w:val="en-US" w:eastAsia="zh-CN"/>
                    </w:rPr>
                    <w:t>、</w:t>
                  </w: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BOD5</w:t>
                  </w:r>
                  <w:r>
                    <w:rPr>
                      <w:rFonts w:hint="eastAsia"/>
                      <w:color w:val="auto"/>
                      <w:sz w:val="21"/>
                      <w:szCs w:val="28"/>
                      <w:lang w:val="en-US" w:eastAsia="zh-CN"/>
                    </w:rPr>
                    <w:t>、</w:t>
                  </w:r>
                </w:p>
              </w:tc>
              <w:tc>
                <w:tcPr>
                  <w:tcW w:w="428" w:type="pct"/>
                  <w:vMerge w:val="restart"/>
                  <w:tcBorders>
                    <w:top w:val="single" w:color="000000" w:sz="4" w:space="0"/>
                    <w:left w:val="single" w:color="000000" w:sz="4" w:space="0"/>
                    <w:right w:val="single" w:color="000000" w:sz="4" w:space="0"/>
                  </w:tcBorders>
                  <w:shd w:val="clear" w:color="auto" w:fill="auto"/>
                  <w:vAlign w:val="center"/>
                </w:tcPr>
                <w:p w14:paraId="19CD1593">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restart"/>
                  <w:tcBorders>
                    <w:top w:val="single" w:color="000000" w:sz="4" w:space="0"/>
                    <w:left w:val="single" w:color="000000" w:sz="4" w:space="0"/>
                    <w:right w:val="single" w:color="000000" w:sz="4" w:space="0"/>
                  </w:tcBorders>
                  <w:shd w:val="clear" w:color="auto" w:fill="auto"/>
                  <w:vAlign w:val="center"/>
                </w:tcPr>
                <w:p w14:paraId="61A487F4">
                  <w:pPr>
                    <w:pStyle w:val="2"/>
                    <w:jc w:val="center"/>
                    <w:rPr>
                      <w:rFonts w:hint="eastAsia"/>
                      <w:color w:val="auto"/>
                      <w:sz w:val="21"/>
                      <w:szCs w:val="28"/>
                    </w:rPr>
                  </w:pPr>
                  <w:r>
                    <w:rPr>
                      <w:rFonts w:hint="eastAsia"/>
                      <w:color w:val="auto"/>
                      <w:sz w:val="21"/>
                      <w:szCs w:val="28"/>
                      <w:lang w:val="en-US" w:eastAsia="zh-CN"/>
                    </w:rPr>
                    <w:t>污水处理站处理后进入市政</w:t>
                  </w:r>
                </w:p>
                <w:p w14:paraId="0D86F031">
                  <w:pPr>
                    <w:pStyle w:val="2"/>
                    <w:jc w:val="center"/>
                    <w:rPr>
                      <w:rFonts w:hint="eastAsia"/>
                      <w:color w:val="auto"/>
                      <w:sz w:val="21"/>
                      <w:szCs w:val="28"/>
                    </w:rPr>
                  </w:pPr>
                  <w:r>
                    <w:rPr>
                      <w:rFonts w:hint="eastAsia"/>
                      <w:color w:val="auto"/>
                      <w:sz w:val="21"/>
                      <w:szCs w:val="28"/>
                      <w:lang w:val="en-US" w:eastAsia="zh-CN"/>
                    </w:rPr>
                    <w:t>污水管网</w:t>
                  </w:r>
                </w:p>
              </w:tc>
            </w:tr>
            <w:tr w14:paraId="7DDF6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325" w:type="pct"/>
                  <w:vMerge w:val="continue"/>
                  <w:tcBorders>
                    <w:left w:val="single" w:color="000000" w:sz="4" w:space="0"/>
                    <w:right w:val="single" w:color="000000" w:sz="4" w:space="0"/>
                  </w:tcBorders>
                  <w:shd w:val="clear" w:color="auto" w:fill="auto"/>
                  <w:vAlign w:val="center"/>
                </w:tcPr>
                <w:p w14:paraId="37075FC0">
                  <w:pPr>
                    <w:pStyle w:val="2"/>
                    <w:jc w:val="center"/>
                    <w:rPr>
                      <w:rFonts w:hint="default"/>
                      <w:color w:val="auto"/>
                      <w:sz w:val="21"/>
                      <w:szCs w:val="28"/>
                    </w:rPr>
                  </w:pPr>
                </w:p>
              </w:tc>
              <w:tc>
                <w:tcPr>
                  <w:tcW w:w="3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B717FB">
                  <w:pPr>
                    <w:pStyle w:val="2"/>
                    <w:jc w:val="center"/>
                    <w:rPr>
                      <w:rFonts w:hint="default"/>
                      <w:color w:val="auto"/>
                      <w:sz w:val="21"/>
                      <w:szCs w:val="28"/>
                    </w:rPr>
                  </w:pPr>
                </w:p>
              </w:tc>
              <w:tc>
                <w:tcPr>
                  <w:tcW w:w="8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72306B">
                  <w:pPr>
                    <w:pStyle w:val="2"/>
                    <w:jc w:val="center"/>
                    <w:rPr>
                      <w:rFonts w:hint="eastAsia"/>
                      <w:color w:val="auto"/>
                      <w:sz w:val="21"/>
                      <w:szCs w:val="28"/>
                    </w:rPr>
                  </w:pP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4F577">
                  <w:pPr>
                    <w:pStyle w:val="2"/>
                    <w:jc w:val="center"/>
                    <w:rPr>
                      <w:rFonts w:hint="eastAsia"/>
                      <w:color w:val="auto"/>
                      <w:sz w:val="21"/>
                      <w:szCs w:val="28"/>
                    </w:rPr>
                  </w:pPr>
                  <w:r>
                    <w:rPr>
                      <w:rFonts w:hint="eastAsia"/>
                      <w:color w:val="auto"/>
                      <w:sz w:val="21"/>
                      <w:szCs w:val="28"/>
                      <w:lang w:val="en-US" w:eastAsia="zh-CN"/>
                    </w:rPr>
                    <w:t>氨氮、</w:t>
                  </w:r>
                  <w:r>
                    <w:rPr>
                      <w:rFonts w:hint="default"/>
                      <w:color w:val="auto"/>
                      <w:sz w:val="21"/>
                      <w:szCs w:val="28"/>
                      <w:lang w:val="en-US" w:eastAsia="zh-CN"/>
                    </w:rPr>
                    <w:t>SS</w:t>
                  </w:r>
                  <w:r>
                    <w:rPr>
                      <w:rFonts w:hint="eastAsia"/>
                      <w:color w:val="auto"/>
                      <w:sz w:val="21"/>
                      <w:szCs w:val="28"/>
                      <w:lang w:val="en-US" w:eastAsia="zh-CN"/>
                    </w:rPr>
                    <w:t>、</w:t>
                  </w:r>
                  <w:r>
                    <w:rPr>
                      <w:rFonts w:hint="default"/>
                      <w:color w:val="auto"/>
                      <w:sz w:val="21"/>
                      <w:szCs w:val="28"/>
                      <w:lang w:val="en-US" w:eastAsia="zh-CN"/>
                    </w:rPr>
                    <w:t>TN</w:t>
                  </w:r>
                  <w:r>
                    <w:rPr>
                      <w:rFonts w:hint="eastAsia"/>
                      <w:color w:val="auto"/>
                      <w:sz w:val="21"/>
                      <w:szCs w:val="28"/>
                      <w:lang w:val="en-US" w:eastAsia="zh-CN"/>
                    </w:rPr>
                    <w:t>、</w:t>
                  </w:r>
                  <w:r>
                    <w:rPr>
                      <w:rFonts w:hint="default"/>
                      <w:color w:val="auto"/>
                      <w:sz w:val="21"/>
                      <w:szCs w:val="28"/>
                      <w:lang w:val="en-US" w:eastAsia="zh-CN"/>
                    </w:rPr>
                    <w:t>TP</w:t>
                  </w:r>
                  <w:r>
                    <w:rPr>
                      <w:rFonts w:hint="eastAsia"/>
                      <w:color w:val="auto"/>
                      <w:sz w:val="21"/>
                      <w:szCs w:val="28"/>
                      <w:lang w:val="en-US" w:eastAsia="zh-CN"/>
                    </w:rPr>
                    <w:t>、</w:t>
                  </w:r>
                </w:p>
              </w:tc>
              <w:tc>
                <w:tcPr>
                  <w:tcW w:w="428" w:type="pct"/>
                  <w:vMerge w:val="continue"/>
                  <w:tcBorders>
                    <w:left w:val="single" w:color="000000" w:sz="4" w:space="0"/>
                    <w:right w:val="single" w:color="000000" w:sz="4" w:space="0"/>
                  </w:tcBorders>
                  <w:shd w:val="clear" w:color="auto" w:fill="auto"/>
                  <w:vAlign w:val="center"/>
                </w:tcPr>
                <w:p w14:paraId="13BD67B8">
                  <w:pPr>
                    <w:pStyle w:val="2"/>
                    <w:jc w:val="center"/>
                    <w:rPr>
                      <w:rFonts w:hint="eastAsia"/>
                      <w:color w:val="auto"/>
                      <w:sz w:val="21"/>
                      <w:szCs w:val="28"/>
                    </w:rPr>
                  </w:pPr>
                </w:p>
              </w:tc>
              <w:tc>
                <w:tcPr>
                  <w:tcW w:w="1736" w:type="pct"/>
                  <w:vMerge w:val="continue"/>
                  <w:tcBorders>
                    <w:left w:val="single" w:color="000000" w:sz="4" w:space="0"/>
                    <w:right w:val="single" w:color="000000" w:sz="4" w:space="0"/>
                  </w:tcBorders>
                  <w:shd w:val="clear" w:color="auto" w:fill="auto"/>
                  <w:vAlign w:val="center"/>
                </w:tcPr>
                <w:p w14:paraId="17C637A5">
                  <w:pPr>
                    <w:pStyle w:val="2"/>
                    <w:jc w:val="center"/>
                    <w:rPr>
                      <w:rFonts w:hint="default"/>
                      <w:color w:val="auto"/>
                      <w:sz w:val="21"/>
                      <w:szCs w:val="28"/>
                    </w:rPr>
                  </w:pPr>
                </w:p>
              </w:tc>
            </w:tr>
            <w:tr w14:paraId="0B761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trPr>
              <w:tc>
                <w:tcPr>
                  <w:tcW w:w="325" w:type="pct"/>
                  <w:vMerge w:val="continue"/>
                  <w:tcBorders>
                    <w:left w:val="single" w:color="000000" w:sz="4" w:space="0"/>
                    <w:right w:val="single" w:color="000000" w:sz="4" w:space="0"/>
                  </w:tcBorders>
                  <w:shd w:val="clear" w:color="auto" w:fill="auto"/>
                  <w:vAlign w:val="center"/>
                </w:tcPr>
                <w:p w14:paraId="5EC0EF33">
                  <w:pPr>
                    <w:pStyle w:val="2"/>
                    <w:jc w:val="center"/>
                    <w:rPr>
                      <w:rFonts w:hint="default"/>
                      <w:color w:val="auto"/>
                      <w:sz w:val="21"/>
                      <w:szCs w:val="28"/>
                    </w:rPr>
                  </w:pPr>
                </w:p>
              </w:tc>
              <w:tc>
                <w:tcPr>
                  <w:tcW w:w="3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132240">
                  <w:pPr>
                    <w:pStyle w:val="2"/>
                    <w:jc w:val="center"/>
                    <w:rPr>
                      <w:rFonts w:hint="default"/>
                      <w:color w:val="auto"/>
                      <w:sz w:val="21"/>
                      <w:szCs w:val="28"/>
                    </w:rPr>
                  </w:pPr>
                </w:p>
              </w:tc>
              <w:tc>
                <w:tcPr>
                  <w:tcW w:w="8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83ACFD">
                  <w:pPr>
                    <w:pStyle w:val="2"/>
                    <w:jc w:val="center"/>
                    <w:rPr>
                      <w:rFonts w:hint="eastAsia"/>
                      <w:color w:val="auto"/>
                      <w:sz w:val="21"/>
                      <w:szCs w:val="28"/>
                    </w:rPr>
                  </w:pP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259D">
                  <w:pPr>
                    <w:pStyle w:val="2"/>
                    <w:jc w:val="center"/>
                    <w:rPr>
                      <w:rFonts w:hint="eastAsia"/>
                      <w:color w:val="auto"/>
                      <w:sz w:val="21"/>
                      <w:szCs w:val="28"/>
                    </w:rPr>
                  </w:pPr>
                  <w:r>
                    <w:rPr>
                      <w:rFonts w:hint="eastAsia"/>
                      <w:color w:val="auto"/>
                      <w:sz w:val="21"/>
                      <w:szCs w:val="28"/>
                      <w:lang w:val="en-US" w:eastAsia="zh-CN"/>
                    </w:rPr>
                    <w:t>粪大肠菌群数等</w:t>
                  </w:r>
                </w:p>
              </w:tc>
              <w:tc>
                <w:tcPr>
                  <w:tcW w:w="428" w:type="pct"/>
                  <w:vMerge w:val="continue"/>
                  <w:tcBorders>
                    <w:left w:val="single" w:color="000000" w:sz="4" w:space="0"/>
                    <w:right w:val="single" w:color="000000" w:sz="4" w:space="0"/>
                  </w:tcBorders>
                  <w:shd w:val="clear" w:color="auto" w:fill="auto"/>
                  <w:vAlign w:val="center"/>
                </w:tcPr>
                <w:p w14:paraId="25E147CF">
                  <w:pPr>
                    <w:pStyle w:val="2"/>
                    <w:jc w:val="center"/>
                    <w:rPr>
                      <w:rFonts w:hint="eastAsia"/>
                      <w:color w:val="auto"/>
                      <w:sz w:val="21"/>
                      <w:szCs w:val="28"/>
                    </w:rPr>
                  </w:pPr>
                </w:p>
              </w:tc>
              <w:tc>
                <w:tcPr>
                  <w:tcW w:w="1736" w:type="pct"/>
                  <w:vMerge w:val="continue"/>
                  <w:tcBorders>
                    <w:left w:val="single" w:color="000000" w:sz="4" w:space="0"/>
                    <w:right w:val="single" w:color="000000" w:sz="4" w:space="0"/>
                  </w:tcBorders>
                  <w:shd w:val="clear" w:color="auto" w:fill="auto"/>
                  <w:vAlign w:val="center"/>
                </w:tcPr>
                <w:p w14:paraId="3C7AAB97">
                  <w:pPr>
                    <w:pStyle w:val="2"/>
                    <w:jc w:val="center"/>
                    <w:rPr>
                      <w:rFonts w:hint="eastAsia"/>
                      <w:color w:val="auto"/>
                      <w:sz w:val="21"/>
                      <w:szCs w:val="28"/>
                    </w:rPr>
                  </w:pPr>
                </w:p>
              </w:tc>
            </w:tr>
            <w:tr w14:paraId="0C4252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325" w:type="pct"/>
                  <w:vMerge w:val="continue"/>
                  <w:tcBorders>
                    <w:left w:val="single" w:color="000000" w:sz="4" w:space="0"/>
                    <w:right w:val="single" w:color="000000" w:sz="4" w:space="0"/>
                  </w:tcBorders>
                  <w:shd w:val="clear" w:color="auto" w:fill="auto"/>
                  <w:vAlign w:val="center"/>
                </w:tcPr>
                <w:p w14:paraId="37E0212C">
                  <w:pPr>
                    <w:pStyle w:val="2"/>
                    <w:jc w:val="center"/>
                    <w:rPr>
                      <w:rFonts w:hint="default"/>
                      <w:color w:val="auto"/>
                      <w:sz w:val="21"/>
                      <w:szCs w:val="28"/>
                    </w:rPr>
                  </w:pPr>
                </w:p>
              </w:tc>
              <w:tc>
                <w:tcPr>
                  <w:tcW w:w="363" w:type="pct"/>
                  <w:vMerge w:val="restart"/>
                  <w:tcBorders>
                    <w:top w:val="single" w:color="000000" w:sz="4" w:space="0"/>
                    <w:left w:val="single" w:color="000000" w:sz="4" w:space="0"/>
                    <w:right w:val="single" w:color="000000" w:sz="4" w:space="0"/>
                  </w:tcBorders>
                  <w:shd w:val="clear" w:color="auto" w:fill="auto"/>
                  <w:vAlign w:val="center"/>
                </w:tcPr>
                <w:p w14:paraId="55DBF93B">
                  <w:pPr>
                    <w:pStyle w:val="2"/>
                    <w:jc w:val="center"/>
                    <w:rPr>
                      <w:rFonts w:hint="default"/>
                      <w:color w:val="auto"/>
                      <w:sz w:val="21"/>
                      <w:szCs w:val="28"/>
                    </w:rPr>
                  </w:pPr>
                  <w:r>
                    <w:rPr>
                      <w:rFonts w:hint="default"/>
                      <w:color w:val="auto"/>
                      <w:sz w:val="21"/>
                      <w:szCs w:val="28"/>
                      <w:lang w:val="en-US" w:eastAsia="zh-CN"/>
                    </w:rPr>
                    <w:t>W2</w:t>
                  </w:r>
                </w:p>
              </w:tc>
              <w:tc>
                <w:tcPr>
                  <w:tcW w:w="886" w:type="pct"/>
                  <w:vMerge w:val="restart"/>
                  <w:tcBorders>
                    <w:top w:val="single" w:color="000000" w:sz="4" w:space="0"/>
                    <w:left w:val="single" w:color="000000" w:sz="4" w:space="0"/>
                    <w:right w:val="single" w:color="000000" w:sz="4" w:space="0"/>
                  </w:tcBorders>
                  <w:shd w:val="clear" w:color="auto" w:fill="auto"/>
                  <w:vAlign w:val="center"/>
                </w:tcPr>
                <w:p w14:paraId="425F3416">
                  <w:pPr>
                    <w:pStyle w:val="2"/>
                    <w:jc w:val="center"/>
                    <w:rPr>
                      <w:rFonts w:hint="eastAsia"/>
                      <w:color w:val="auto"/>
                      <w:sz w:val="21"/>
                      <w:szCs w:val="28"/>
                    </w:rPr>
                  </w:pPr>
                  <w:r>
                    <w:rPr>
                      <w:rFonts w:hint="eastAsia"/>
                      <w:color w:val="auto"/>
                      <w:sz w:val="21"/>
                      <w:szCs w:val="28"/>
                      <w:lang w:val="en-US" w:eastAsia="zh-CN"/>
                    </w:rPr>
                    <w:t>各阶段洗涤废水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B476F3">
                  <w:pPr>
                    <w:pStyle w:val="2"/>
                    <w:jc w:val="center"/>
                    <w:rPr>
                      <w:rFonts w:hint="default"/>
                      <w:color w:val="auto"/>
                      <w:sz w:val="21"/>
                      <w:szCs w:val="28"/>
                    </w:rPr>
                  </w:pPr>
                  <w:r>
                    <w:rPr>
                      <w:rFonts w:hint="default"/>
                      <w:color w:val="auto"/>
                      <w:sz w:val="21"/>
                      <w:szCs w:val="28"/>
                      <w:lang w:val="en-US" w:eastAsia="zh-CN"/>
                    </w:rPr>
                    <w:t>pH</w:t>
                  </w:r>
                  <w:r>
                    <w:rPr>
                      <w:rFonts w:hint="eastAsia"/>
                      <w:color w:val="auto"/>
                      <w:sz w:val="21"/>
                      <w:szCs w:val="28"/>
                      <w:lang w:val="en-US" w:eastAsia="zh-CN"/>
                    </w:rPr>
                    <w:t>、</w:t>
                  </w: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BOD5</w:t>
                  </w:r>
                  <w:r>
                    <w:rPr>
                      <w:rFonts w:hint="eastAsia"/>
                      <w:color w:val="auto"/>
                      <w:sz w:val="21"/>
                      <w:szCs w:val="28"/>
                      <w:lang w:val="en-US" w:eastAsia="zh-CN"/>
                    </w:rPr>
                    <w:t>、</w:t>
                  </w:r>
                </w:p>
              </w:tc>
              <w:tc>
                <w:tcPr>
                  <w:tcW w:w="428" w:type="pct"/>
                  <w:vMerge w:val="continue"/>
                  <w:tcBorders>
                    <w:left w:val="single" w:color="000000" w:sz="4" w:space="0"/>
                    <w:bottom w:val="single" w:color="000000" w:sz="4" w:space="0"/>
                    <w:right w:val="single" w:color="000000" w:sz="4" w:space="0"/>
                  </w:tcBorders>
                  <w:shd w:val="clear" w:color="auto" w:fill="auto"/>
                  <w:vAlign w:val="center"/>
                </w:tcPr>
                <w:p w14:paraId="10F55734">
                  <w:pPr>
                    <w:pStyle w:val="2"/>
                    <w:jc w:val="center"/>
                    <w:rPr>
                      <w:rFonts w:hint="default"/>
                      <w:color w:val="auto"/>
                      <w:sz w:val="21"/>
                      <w:szCs w:val="28"/>
                    </w:rPr>
                  </w:pPr>
                </w:p>
              </w:tc>
              <w:tc>
                <w:tcPr>
                  <w:tcW w:w="1736" w:type="pct"/>
                  <w:vMerge w:val="continue"/>
                  <w:tcBorders>
                    <w:left w:val="single" w:color="000000" w:sz="4" w:space="0"/>
                    <w:right w:val="single" w:color="000000" w:sz="4" w:space="0"/>
                  </w:tcBorders>
                  <w:shd w:val="clear" w:color="auto" w:fill="auto"/>
                  <w:vAlign w:val="center"/>
                </w:tcPr>
                <w:p w14:paraId="715FB1AA">
                  <w:pPr>
                    <w:pStyle w:val="2"/>
                    <w:jc w:val="center"/>
                    <w:rPr>
                      <w:rFonts w:hint="default"/>
                      <w:color w:val="auto"/>
                      <w:sz w:val="21"/>
                      <w:szCs w:val="28"/>
                    </w:rPr>
                  </w:pPr>
                </w:p>
              </w:tc>
            </w:tr>
            <w:tr w14:paraId="6DFA3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325" w:type="pct"/>
                  <w:vMerge w:val="continue"/>
                  <w:tcBorders>
                    <w:left w:val="single" w:color="000000" w:sz="4" w:space="0"/>
                    <w:right w:val="single" w:color="000000" w:sz="4" w:space="0"/>
                  </w:tcBorders>
                  <w:shd w:val="clear" w:color="auto" w:fill="auto"/>
                  <w:vAlign w:val="center"/>
                </w:tcPr>
                <w:p w14:paraId="41E97E7E">
                  <w:pPr>
                    <w:pStyle w:val="2"/>
                    <w:jc w:val="center"/>
                    <w:rPr>
                      <w:rFonts w:hint="default"/>
                      <w:color w:val="auto"/>
                      <w:sz w:val="21"/>
                      <w:szCs w:val="28"/>
                    </w:rPr>
                  </w:pPr>
                </w:p>
              </w:tc>
              <w:tc>
                <w:tcPr>
                  <w:tcW w:w="363" w:type="pct"/>
                  <w:vMerge w:val="continue"/>
                  <w:tcBorders>
                    <w:left w:val="single" w:color="000000" w:sz="4" w:space="0"/>
                    <w:right w:val="single" w:color="000000" w:sz="4" w:space="0"/>
                  </w:tcBorders>
                  <w:shd w:val="clear" w:color="auto" w:fill="auto"/>
                  <w:vAlign w:val="center"/>
                </w:tcPr>
                <w:p w14:paraId="18506235">
                  <w:pPr>
                    <w:pStyle w:val="2"/>
                    <w:jc w:val="center"/>
                    <w:rPr>
                      <w:rFonts w:hint="default"/>
                      <w:color w:val="auto"/>
                      <w:sz w:val="21"/>
                      <w:szCs w:val="28"/>
                    </w:rPr>
                  </w:pPr>
                </w:p>
              </w:tc>
              <w:tc>
                <w:tcPr>
                  <w:tcW w:w="886" w:type="pct"/>
                  <w:vMerge w:val="continue"/>
                  <w:tcBorders>
                    <w:left w:val="single" w:color="000000" w:sz="4" w:space="0"/>
                    <w:right w:val="single" w:color="000000" w:sz="4" w:space="0"/>
                  </w:tcBorders>
                  <w:shd w:val="clear" w:color="auto" w:fill="auto"/>
                  <w:vAlign w:val="center"/>
                </w:tcPr>
                <w:p w14:paraId="2AC1B95D">
                  <w:pPr>
                    <w:pStyle w:val="2"/>
                    <w:jc w:val="center"/>
                    <w:rPr>
                      <w:rFonts w:hint="eastAsia"/>
                      <w:color w:val="auto"/>
                      <w:sz w:val="21"/>
                      <w:szCs w:val="28"/>
                    </w:rPr>
                  </w:pP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BF71">
                  <w:pPr>
                    <w:pStyle w:val="2"/>
                    <w:jc w:val="center"/>
                    <w:rPr>
                      <w:rFonts w:hint="eastAsia"/>
                      <w:color w:val="auto"/>
                      <w:sz w:val="21"/>
                      <w:szCs w:val="28"/>
                    </w:rPr>
                  </w:pPr>
                  <w:r>
                    <w:rPr>
                      <w:rFonts w:hint="eastAsia"/>
                      <w:color w:val="auto"/>
                      <w:sz w:val="21"/>
                      <w:szCs w:val="28"/>
                      <w:lang w:val="en-US" w:eastAsia="zh-CN"/>
                    </w:rPr>
                    <w:t>氨氮、</w:t>
                  </w:r>
                  <w:r>
                    <w:rPr>
                      <w:rFonts w:hint="default"/>
                      <w:color w:val="auto"/>
                      <w:sz w:val="21"/>
                      <w:szCs w:val="28"/>
                      <w:lang w:val="en-US" w:eastAsia="zh-CN"/>
                    </w:rPr>
                    <w:t>SS</w:t>
                  </w:r>
                  <w:r>
                    <w:rPr>
                      <w:rFonts w:hint="eastAsia"/>
                      <w:color w:val="auto"/>
                      <w:sz w:val="21"/>
                      <w:szCs w:val="28"/>
                      <w:lang w:val="en-US" w:eastAsia="zh-CN"/>
                    </w:rPr>
                    <w:t>、</w:t>
                  </w:r>
                  <w:r>
                    <w:rPr>
                      <w:rFonts w:hint="default"/>
                      <w:color w:val="auto"/>
                      <w:sz w:val="21"/>
                      <w:szCs w:val="28"/>
                      <w:lang w:val="en-US" w:eastAsia="zh-CN"/>
                    </w:rPr>
                    <w:t>TN</w:t>
                  </w:r>
                  <w:r>
                    <w:rPr>
                      <w:rFonts w:hint="eastAsia"/>
                      <w:color w:val="auto"/>
                      <w:sz w:val="21"/>
                      <w:szCs w:val="28"/>
                      <w:lang w:val="en-US" w:eastAsia="zh-CN"/>
                    </w:rPr>
                    <w:t>、</w:t>
                  </w:r>
                  <w:r>
                    <w:rPr>
                      <w:rFonts w:hint="default"/>
                      <w:color w:val="auto"/>
                      <w:sz w:val="21"/>
                      <w:szCs w:val="28"/>
                      <w:lang w:val="en-US" w:eastAsia="zh-CN"/>
                    </w:rPr>
                    <w:t>TP</w:t>
                  </w:r>
                  <w:r>
                    <w:rPr>
                      <w:rFonts w:hint="eastAsia"/>
                      <w:color w:val="auto"/>
                      <w:sz w:val="21"/>
                      <w:szCs w:val="28"/>
                      <w:lang w:val="en-US" w:eastAsia="zh-CN"/>
                    </w:rPr>
                    <w:t>、</w:t>
                  </w:r>
                </w:p>
              </w:tc>
              <w:tc>
                <w:tcPr>
                  <w:tcW w:w="428" w:type="pct"/>
                  <w:vMerge w:val="restart"/>
                  <w:tcBorders>
                    <w:top w:val="single" w:color="000000" w:sz="4" w:space="0"/>
                    <w:left w:val="single" w:color="000000" w:sz="4" w:space="0"/>
                    <w:right w:val="single" w:color="000000" w:sz="4" w:space="0"/>
                  </w:tcBorders>
                  <w:shd w:val="clear" w:color="auto" w:fill="auto"/>
                  <w:vAlign w:val="center"/>
                </w:tcPr>
                <w:p w14:paraId="47FF5895">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5D8CE442">
                  <w:pPr>
                    <w:pStyle w:val="2"/>
                    <w:jc w:val="center"/>
                    <w:rPr>
                      <w:rFonts w:hint="default"/>
                      <w:color w:val="auto"/>
                      <w:sz w:val="21"/>
                      <w:szCs w:val="28"/>
                    </w:rPr>
                  </w:pPr>
                </w:p>
              </w:tc>
            </w:tr>
            <w:tr w14:paraId="2BC00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25" w:type="pct"/>
                  <w:vMerge w:val="continue"/>
                  <w:tcBorders>
                    <w:left w:val="single" w:color="000000" w:sz="4" w:space="0"/>
                    <w:right w:val="single" w:color="000000" w:sz="4" w:space="0"/>
                  </w:tcBorders>
                  <w:shd w:val="clear" w:color="auto" w:fill="auto"/>
                  <w:vAlign w:val="center"/>
                </w:tcPr>
                <w:p w14:paraId="7B491141">
                  <w:pPr>
                    <w:pStyle w:val="2"/>
                    <w:jc w:val="center"/>
                    <w:rPr>
                      <w:rFonts w:hint="default"/>
                      <w:color w:val="auto"/>
                      <w:sz w:val="21"/>
                      <w:szCs w:val="28"/>
                    </w:rPr>
                  </w:pPr>
                </w:p>
              </w:tc>
              <w:tc>
                <w:tcPr>
                  <w:tcW w:w="363" w:type="pct"/>
                  <w:vMerge w:val="continue"/>
                  <w:tcBorders>
                    <w:left w:val="single" w:color="000000" w:sz="4" w:space="0"/>
                    <w:right w:val="single" w:color="000000" w:sz="4" w:space="0"/>
                  </w:tcBorders>
                  <w:shd w:val="clear" w:color="auto" w:fill="auto"/>
                  <w:noWrap/>
                  <w:vAlign w:val="center"/>
                </w:tcPr>
                <w:p w14:paraId="33E2493F">
                  <w:pPr>
                    <w:pStyle w:val="2"/>
                    <w:jc w:val="center"/>
                    <w:rPr>
                      <w:rFonts w:hint="eastAsia"/>
                      <w:color w:val="auto"/>
                      <w:sz w:val="21"/>
                      <w:szCs w:val="28"/>
                    </w:rPr>
                  </w:pPr>
                </w:p>
              </w:tc>
              <w:tc>
                <w:tcPr>
                  <w:tcW w:w="886" w:type="pct"/>
                  <w:vMerge w:val="continue"/>
                  <w:tcBorders>
                    <w:left w:val="single" w:color="000000" w:sz="4" w:space="0"/>
                    <w:right w:val="single" w:color="000000" w:sz="4" w:space="0"/>
                  </w:tcBorders>
                  <w:shd w:val="clear" w:color="auto" w:fill="auto"/>
                  <w:noWrap/>
                  <w:vAlign w:val="center"/>
                </w:tcPr>
                <w:p w14:paraId="054BFCFE">
                  <w:pPr>
                    <w:pStyle w:val="2"/>
                    <w:jc w:val="center"/>
                    <w:rPr>
                      <w:rFonts w:hint="eastAsia"/>
                      <w:color w:val="auto"/>
                      <w:sz w:val="21"/>
                      <w:szCs w:val="28"/>
                    </w:rPr>
                  </w:pP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969B6">
                  <w:pPr>
                    <w:pStyle w:val="2"/>
                    <w:jc w:val="center"/>
                    <w:rPr>
                      <w:rFonts w:hint="default"/>
                      <w:color w:val="auto"/>
                      <w:sz w:val="21"/>
                      <w:szCs w:val="28"/>
                    </w:rPr>
                  </w:pPr>
                  <w:r>
                    <w:rPr>
                      <w:rFonts w:hint="default"/>
                      <w:color w:val="auto"/>
                      <w:sz w:val="21"/>
                      <w:szCs w:val="28"/>
                      <w:lang w:val="en-US" w:eastAsia="zh-CN"/>
                    </w:rPr>
                    <w:t>LAS</w:t>
                  </w:r>
                  <w:r>
                    <w:rPr>
                      <w:rFonts w:hint="eastAsia"/>
                      <w:color w:val="auto"/>
                      <w:sz w:val="21"/>
                      <w:szCs w:val="28"/>
                      <w:lang w:val="en-US" w:eastAsia="zh-CN"/>
                    </w:rPr>
                    <w:t>、粪大肠菌群数</w:t>
                  </w:r>
                </w:p>
              </w:tc>
              <w:tc>
                <w:tcPr>
                  <w:tcW w:w="428" w:type="pct"/>
                  <w:vMerge w:val="continue"/>
                  <w:tcBorders>
                    <w:left w:val="single" w:color="000000" w:sz="4" w:space="0"/>
                    <w:right w:val="single" w:color="000000" w:sz="4" w:space="0"/>
                  </w:tcBorders>
                  <w:shd w:val="clear" w:color="auto" w:fill="auto"/>
                  <w:noWrap/>
                  <w:vAlign w:val="center"/>
                </w:tcPr>
                <w:p w14:paraId="60363F4A">
                  <w:pPr>
                    <w:pStyle w:val="2"/>
                    <w:jc w:val="center"/>
                    <w:rPr>
                      <w:rFonts w:hint="eastAsia"/>
                      <w:color w:val="auto"/>
                      <w:sz w:val="21"/>
                      <w:szCs w:val="28"/>
                    </w:rPr>
                  </w:pPr>
                </w:p>
              </w:tc>
              <w:tc>
                <w:tcPr>
                  <w:tcW w:w="1736" w:type="pct"/>
                  <w:vMerge w:val="continue"/>
                  <w:tcBorders>
                    <w:left w:val="single" w:color="000000" w:sz="4" w:space="0"/>
                    <w:right w:val="single" w:color="000000" w:sz="4" w:space="0"/>
                  </w:tcBorders>
                  <w:shd w:val="clear" w:color="auto" w:fill="auto"/>
                  <w:vAlign w:val="center"/>
                </w:tcPr>
                <w:p w14:paraId="787BEA8B">
                  <w:pPr>
                    <w:pStyle w:val="2"/>
                    <w:jc w:val="center"/>
                    <w:rPr>
                      <w:rFonts w:hint="default"/>
                      <w:color w:val="auto"/>
                      <w:sz w:val="21"/>
                      <w:szCs w:val="28"/>
                    </w:rPr>
                  </w:pPr>
                </w:p>
              </w:tc>
            </w:tr>
            <w:tr w14:paraId="79461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4920F1C7">
                  <w:pPr>
                    <w:pStyle w:val="2"/>
                    <w:jc w:val="center"/>
                    <w:rPr>
                      <w:rFonts w:hint="default"/>
                      <w:color w:val="auto"/>
                      <w:sz w:val="21"/>
                      <w:szCs w:val="28"/>
                    </w:rPr>
                  </w:pPr>
                </w:p>
              </w:tc>
              <w:tc>
                <w:tcPr>
                  <w:tcW w:w="363" w:type="pct"/>
                  <w:vMerge w:val="continue"/>
                  <w:tcBorders>
                    <w:left w:val="single" w:color="000000" w:sz="4" w:space="0"/>
                    <w:bottom w:val="single" w:color="000000" w:sz="4" w:space="0"/>
                    <w:right w:val="single" w:color="000000" w:sz="4" w:space="0"/>
                  </w:tcBorders>
                  <w:shd w:val="clear" w:color="auto" w:fill="auto"/>
                  <w:noWrap/>
                  <w:vAlign w:val="center"/>
                </w:tcPr>
                <w:p w14:paraId="5C4EE0B8">
                  <w:pPr>
                    <w:pStyle w:val="2"/>
                    <w:jc w:val="center"/>
                    <w:rPr>
                      <w:rFonts w:hint="eastAsia"/>
                      <w:color w:val="auto"/>
                      <w:sz w:val="21"/>
                      <w:szCs w:val="28"/>
                    </w:rPr>
                  </w:pPr>
                </w:p>
              </w:tc>
              <w:tc>
                <w:tcPr>
                  <w:tcW w:w="886" w:type="pct"/>
                  <w:vMerge w:val="continue"/>
                  <w:tcBorders>
                    <w:left w:val="single" w:color="000000" w:sz="4" w:space="0"/>
                    <w:bottom w:val="single" w:color="000000" w:sz="4" w:space="0"/>
                    <w:right w:val="single" w:color="000000" w:sz="4" w:space="0"/>
                  </w:tcBorders>
                  <w:shd w:val="clear" w:color="auto" w:fill="auto"/>
                  <w:noWrap/>
                  <w:vAlign w:val="center"/>
                </w:tcPr>
                <w:p w14:paraId="027D2BDD">
                  <w:pPr>
                    <w:pStyle w:val="2"/>
                    <w:jc w:val="center"/>
                    <w:rPr>
                      <w:rFonts w:hint="eastAsia"/>
                      <w:color w:val="auto"/>
                      <w:sz w:val="21"/>
                      <w:szCs w:val="28"/>
                    </w:rPr>
                  </w:pP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E23FB">
                  <w:pPr>
                    <w:pStyle w:val="2"/>
                    <w:jc w:val="center"/>
                    <w:rPr>
                      <w:rFonts w:hint="eastAsia"/>
                      <w:color w:val="auto"/>
                      <w:sz w:val="21"/>
                      <w:szCs w:val="28"/>
                    </w:rPr>
                  </w:pPr>
                  <w:r>
                    <w:rPr>
                      <w:rFonts w:hint="eastAsia"/>
                      <w:color w:val="auto"/>
                      <w:sz w:val="21"/>
                      <w:szCs w:val="28"/>
                      <w:lang w:val="en-US" w:eastAsia="zh-CN"/>
                    </w:rPr>
                    <w:t>等</w:t>
                  </w:r>
                </w:p>
              </w:tc>
              <w:tc>
                <w:tcPr>
                  <w:tcW w:w="428" w:type="pct"/>
                  <w:vMerge w:val="continue"/>
                  <w:tcBorders>
                    <w:left w:val="single" w:color="000000" w:sz="4" w:space="0"/>
                    <w:bottom w:val="single" w:color="000000" w:sz="4" w:space="0"/>
                    <w:right w:val="single" w:color="000000" w:sz="4" w:space="0"/>
                  </w:tcBorders>
                  <w:shd w:val="clear" w:color="auto" w:fill="auto"/>
                  <w:noWrap/>
                  <w:vAlign w:val="center"/>
                </w:tcPr>
                <w:p w14:paraId="58ABC786">
                  <w:pPr>
                    <w:pStyle w:val="2"/>
                    <w:jc w:val="center"/>
                    <w:rPr>
                      <w:rFonts w:hint="eastAsia"/>
                      <w:color w:val="auto"/>
                      <w:sz w:val="21"/>
                      <w:szCs w:val="28"/>
                    </w:rPr>
                  </w:pPr>
                </w:p>
              </w:tc>
              <w:tc>
                <w:tcPr>
                  <w:tcW w:w="1736" w:type="pct"/>
                  <w:vMerge w:val="continue"/>
                  <w:tcBorders>
                    <w:left w:val="single" w:color="000000" w:sz="4" w:space="0"/>
                    <w:bottom w:val="single" w:color="000000" w:sz="4" w:space="0"/>
                    <w:right w:val="single" w:color="000000" w:sz="4" w:space="0"/>
                  </w:tcBorders>
                  <w:shd w:val="clear" w:color="auto" w:fill="auto"/>
                  <w:vAlign w:val="center"/>
                </w:tcPr>
                <w:p w14:paraId="3378961A">
                  <w:pPr>
                    <w:pStyle w:val="2"/>
                    <w:jc w:val="center"/>
                    <w:rPr>
                      <w:rFonts w:hint="default"/>
                      <w:color w:val="auto"/>
                      <w:sz w:val="21"/>
                      <w:szCs w:val="28"/>
                    </w:rPr>
                  </w:pPr>
                </w:p>
              </w:tc>
            </w:tr>
            <w:tr w14:paraId="75B7B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325" w:type="pct"/>
                  <w:vMerge w:val="continue"/>
                  <w:tcBorders>
                    <w:left w:val="single" w:color="000000" w:sz="4" w:space="0"/>
                    <w:right w:val="single" w:color="000000" w:sz="4" w:space="0"/>
                  </w:tcBorders>
                  <w:shd w:val="clear" w:color="auto" w:fill="auto"/>
                  <w:vAlign w:val="center"/>
                </w:tcPr>
                <w:p w14:paraId="503E0E84">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A7DE0">
                  <w:pPr>
                    <w:pStyle w:val="2"/>
                    <w:jc w:val="center"/>
                    <w:rPr>
                      <w:rFonts w:hint="default"/>
                      <w:color w:val="auto"/>
                      <w:sz w:val="21"/>
                      <w:szCs w:val="28"/>
                    </w:rPr>
                  </w:pPr>
                  <w:r>
                    <w:rPr>
                      <w:rFonts w:hint="default"/>
                      <w:color w:val="auto"/>
                      <w:sz w:val="21"/>
                      <w:szCs w:val="28"/>
                      <w:lang w:val="en-US" w:eastAsia="zh-CN"/>
                    </w:rPr>
                    <w:t>W3</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E367D">
                  <w:pPr>
                    <w:pStyle w:val="2"/>
                    <w:jc w:val="center"/>
                    <w:rPr>
                      <w:rFonts w:hint="eastAsia"/>
                      <w:color w:val="auto"/>
                      <w:sz w:val="21"/>
                      <w:szCs w:val="28"/>
                    </w:rPr>
                  </w:pPr>
                  <w:r>
                    <w:rPr>
                      <w:rFonts w:hint="eastAsia"/>
                      <w:color w:val="auto"/>
                      <w:sz w:val="21"/>
                      <w:szCs w:val="28"/>
                      <w:lang w:val="en-US" w:eastAsia="zh-CN"/>
                    </w:rPr>
                    <w:t>制水浓水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8091F">
                  <w:pPr>
                    <w:pStyle w:val="2"/>
                    <w:jc w:val="center"/>
                    <w:rPr>
                      <w:rFonts w:hint="default"/>
                      <w:color w:val="auto"/>
                      <w:sz w:val="21"/>
                      <w:szCs w:val="28"/>
                    </w:rPr>
                  </w:pPr>
                  <w:r>
                    <w:rPr>
                      <w:rFonts w:hint="default"/>
                      <w:color w:val="auto"/>
                      <w:sz w:val="21"/>
                      <w:szCs w:val="28"/>
                      <w:lang w:val="en-US" w:eastAsia="zh-CN"/>
                    </w:rPr>
                    <w:t>pH</w:t>
                  </w:r>
                  <w:r>
                    <w:rPr>
                      <w:rFonts w:hint="eastAsia"/>
                      <w:color w:val="auto"/>
                      <w:sz w:val="21"/>
                      <w:szCs w:val="28"/>
                      <w:lang w:val="en-US" w:eastAsia="zh-CN"/>
                    </w:rPr>
                    <w:t>、</w:t>
                  </w: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SS</w:t>
                  </w:r>
                  <w:r>
                    <w:rPr>
                      <w:rFonts w:hint="eastAsia"/>
                      <w:color w:val="auto"/>
                      <w:sz w:val="21"/>
                      <w:szCs w:val="28"/>
                      <w:lang w:val="en-US" w:eastAsia="zh-CN"/>
                    </w:rPr>
                    <w:t>、</w:t>
                  </w:r>
                  <w:r>
                    <w:rPr>
                      <w:rFonts w:hint="default"/>
                      <w:color w:val="auto"/>
                      <w:sz w:val="21"/>
                      <w:szCs w:val="28"/>
                      <w:lang w:val="en-US" w:eastAsia="zh-CN"/>
                    </w:rPr>
                    <w:t>TDS</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E5818">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restart"/>
                  <w:tcBorders>
                    <w:top w:val="single" w:color="000000" w:sz="4" w:space="0"/>
                    <w:left w:val="single" w:color="000000" w:sz="4" w:space="0"/>
                    <w:right w:val="single" w:color="000000" w:sz="4" w:space="0"/>
                  </w:tcBorders>
                  <w:shd w:val="clear" w:color="auto" w:fill="auto"/>
                  <w:vAlign w:val="center"/>
                </w:tcPr>
                <w:p w14:paraId="3E5B0B4B">
                  <w:pPr>
                    <w:pStyle w:val="2"/>
                    <w:jc w:val="center"/>
                    <w:rPr>
                      <w:rFonts w:hint="eastAsia"/>
                      <w:color w:val="auto"/>
                      <w:sz w:val="21"/>
                      <w:szCs w:val="28"/>
                    </w:rPr>
                  </w:pPr>
                  <w:r>
                    <w:rPr>
                      <w:rFonts w:hint="eastAsia"/>
                      <w:color w:val="auto"/>
                      <w:sz w:val="21"/>
                      <w:szCs w:val="28"/>
                      <w:lang w:val="en-US" w:eastAsia="zh-CN"/>
                    </w:rPr>
                    <w:t>清洁水回收池回收利用</w:t>
                  </w:r>
                </w:p>
              </w:tc>
            </w:tr>
            <w:tr w14:paraId="27D6C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56C4EA7C">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93A81">
                  <w:pPr>
                    <w:pStyle w:val="2"/>
                    <w:jc w:val="center"/>
                    <w:rPr>
                      <w:rFonts w:hint="default"/>
                      <w:color w:val="auto"/>
                      <w:sz w:val="21"/>
                      <w:szCs w:val="28"/>
                    </w:rPr>
                  </w:pPr>
                  <w:r>
                    <w:rPr>
                      <w:rFonts w:hint="default"/>
                      <w:color w:val="auto"/>
                      <w:sz w:val="21"/>
                      <w:szCs w:val="28"/>
                      <w:lang w:val="en-US" w:eastAsia="zh-CN"/>
                    </w:rPr>
                    <w:t>W4</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C468AB">
                  <w:pPr>
                    <w:pStyle w:val="2"/>
                    <w:jc w:val="center"/>
                    <w:rPr>
                      <w:rFonts w:hint="eastAsia"/>
                      <w:color w:val="auto"/>
                      <w:sz w:val="21"/>
                      <w:szCs w:val="28"/>
                    </w:rPr>
                  </w:pPr>
                  <w:r>
                    <w:rPr>
                      <w:rFonts w:hint="eastAsia"/>
                      <w:color w:val="auto"/>
                      <w:sz w:val="21"/>
                      <w:szCs w:val="28"/>
                      <w:lang w:val="en-US" w:eastAsia="zh-CN"/>
                    </w:rPr>
                    <w:t>冷凝水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E07E38">
                  <w:pPr>
                    <w:pStyle w:val="2"/>
                    <w:jc w:val="center"/>
                    <w:rPr>
                      <w:rFonts w:hint="default"/>
                      <w:color w:val="auto"/>
                      <w:sz w:val="21"/>
                      <w:szCs w:val="28"/>
                    </w:rPr>
                  </w:pP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SS</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9D92C8">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bottom w:val="single" w:color="000000" w:sz="4" w:space="0"/>
                    <w:right w:val="single" w:color="000000" w:sz="4" w:space="0"/>
                  </w:tcBorders>
                  <w:shd w:val="clear" w:color="auto" w:fill="auto"/>
                  <w:vAlign w:val="center"/>
                </w:tcPr>
                <w:p w14:paraId="46A25107">
                  <w:pPr>
                    <w:pStyle w:val="2"/>
                    <w:jc w:val="center"/>
                    <w:rPr>
                      <w:rFonts w:hint="default"/>
                      <w:color w:val="auto"/>
                      <w:sz w:val="21"/>
                      <w:szCs w:val="28"/>
                    </w:rPr>
                  </w:pPr>
                </w:p>
              </w:tc>
            </w:tr>
            <w:tr w14:paraId="68B07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trPr>
              <w:tc>
                <w:tcPr>
                  <w:tcW w:w="325" w:type="pct"/>
                  <w:vMerge w:val="continue"/>
                  <w:tcBorders>
                    <w:left w:val="single" w:color="000000" w:sz="4" w:space="0"/>
                    <w:right w:val="single" w:color="000000" w:sz="4" w:space="0"/>
                  </w:tcBorders>
                  <w:shd w:val="clear" w:color="auto" w:fill="auto"/>
                  <w:vAlign w:val="center"/>
                </w:tcPr>
                <w:p w14:paraId="64E4030A">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4A1F0">
                  <w:pPr>
                    <w:pStyle w:val="2"/>
                    <w:jc w:val="center"/>
                    <w:rPr>
                      <w:rFonts w:hint="default"/>
                      <w:color w:val="auto"/>
                      <w:sz w:val="21"/>
                      <w:szCs w:val="28"/>
                    </w:rPr>
                  </w:pPr>
                  <w:r>
                    <w:rPr>
                      <w:rFonts w:hint="default"/>
                      <w:color w:val="auto"/>
                      <w:sz w:val="21"/>
                      <w:szCs w:val="28"/>
                      <w:lang w:val="en-US" w:eastAsia="zh-CN"/>
                    </w:rPr>
                    <w:t>W5</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B4754">
                  <w:pPr>
                    <w:pStyle w:val="2"/>
                    <w:jc w:val="center"/>
                    <w:rPr>
                      <w:rFonts w:hint="eastAsia"/>
                      <w:color w:val="auto"/>
                      <w:sz w:val="21"/>
                      <w:szCs w:val="28"/>
                    </w:rPr>
                  </w:pPr>
                  <w:r>
                    <w:rPr>
                      <w:rFonts w:hint="eastAsia"/>
                      <w:color w:val="auto"/>
                      <w:sz w:val="21"/>
                      <w:szCs w:val="28"/>
                      <w:lang w:val="en-US" w:eastAsia="zh-CN"/>
                    </w:rPr>
                    <w:t>真空泵冷却水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EF147">
                  <w:pPr>
                    <w:pStyle w:val="2"/>
                    <w:jc w:val="center"/>
                    <w:rPr>
                      <w:rFonts w:hint="default"/>
                      <w:color w:val="auto"/>
                      <w:sz w:val="21"/>
                      <w:szCs w:val="28"/>
                    </w:rPr>
                  </w:pP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SS</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9F1D0">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restart"/>
                  <w:tcBorders>
                    <w:top w:val="single" w:color="000000" w:sz="4" w:space="0"/>
                    <w:left w:val="single" w:color="000000" w:sz="4" w:space="0"/>
                    <w:right w:val="single" w:color="000000" w:sz="4" w:space="0"/>
                  </w:tcBorders>
                  <w:shd w:val="clear" w:color="auto" w:fill="auto"/>
                  <w:vAlign w:val="center"/>
                </w:tcPr>
                <w:p w14:paraId="6E4B772B">
                  <w:pPr>
                    <w:pStyle w:val="2"/>
                    <w:jc w:val="center"/>
                    <w:rPr>
                      <w:rFonts w:hint="eastAsia"/>
                      <w:color w:val="auto"/>
                      <w:sz w:val="21"/>
                      <w:szCs w:val="28"/>
                    </w:rPr>
                  </w:pPr>
                  <w:r>
                    <w:rPr>
                      <w:rFonts w:hint="eastAsia"/>
                      <w:color w:val="auto"/>
                      <w:sz w:val="21"/>
                      <w:szCs w:val="28"/>
                      <w:lang w:val="en-US" w:eastAsia="zh-CN"/>
                    </w:rPr>
                    <w:t>污水处理站处理后进入市政污水管网</w:t>
                  </w:r>
                </w:p>
              </w:tc>
            </w:tr>
            <w:tr w14:paraId="1A396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2D82ABD5">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58D50">
                  <w:pPr>
                    <w:pStyle w:val="2"/>
                    <w:jc w:val="center"/>
                    <w:rPr>
                      <w:rFonts w:hint="default"/>
                      <w:color w:val="auto"/>
                      <w:sz w:val="21"/>
                      <w:szCs w:val="28"/>
                    </w:rPr>
                  </w:pPr>
                  <w:r>
                    <w:rPr>
                      <w:rFonts w:hint="default"/>
                      <w:color w:val="auto"/>
                      <w:sz w:val="21"/>
                      <w:szCs w:val="28"/>
                      <w:lang w:val="en-US" w:eastAsia="zh-CN"/>
                    </w:rPr>
                    <w:t>W6</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7E4687">
                  <w:pPr>
                    <w:pStyle w:val="2"/>
                    <w:jc w:val="center"/>
                    <w:rPr>
                      <w:rFonts w:hint="eastAsia"/>
                      <w:color w:val="auto"/>
                      <w:sz w:val="21"/>
                      <w:szCs w:val="28"/>
                    </w:rPr>
                  </w:pPr>
                  <w:r>
                    <w:rPr>
                      <w:rFonts w:hint="eastAsia"/>
                      <w:color w:val="auto"/>
                      <w:sz w:val="21"/>
                      <w:szCs w:val="28"/>
                      <w:lang w:val="en-US" w:eastAsia="zh-CN"/>
                    </w:rPr>
                    <w:t>地面清洁水</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03230">
                  <w:pPr>
                    <w:pStyle w:val="2"/>
                    <w:jc w:val="center"/>
                    <w:rPr>
                      <w:rFonts w:hint="default"/>
                      <w:color w:val="auto"/>
                      <w:sz w:val="21"/>
                      <w:szCs w:val="28"/>
                    </w:rPr>
                  </w:pPr>
                  <w:r>
                    <w:rPr>
                      <w:rFonts w:hint="default"/>
                      <w:color w:val="auto"/>
                      <w:sz w:val="21"/>
                      <w:szCs w:val="28"/>
                      <w:lang w:val="en-US" w:eastAsia="zh-CN"/>
                    </w:rPr>
                    <w:t>COD</w:t>
                  </w:r>
                  <w:r>
                    <w:rPr>
                      <w:rFonts w:hint="eastAsia"/>
                      <w:color w:val="auto"/>
                      <w:sz w:val="21"/>
                      <w:szCs w:val="28"/>
                      <w:lang w:val="en-US" w:eastAsia="zh-CN"/>
                    </w:rPr>
                    <w:t>、</w:t>
                  </w:r>
                  <w:r>
                    <w:rPr>
                      <w:rFonts w:hint="default"/>
                      <w:color w:val="auto"/>
                      <w:sz w:val="21"/>
                      <w:szCs w:val="28"/>
                      <w:lang w:val="en-US" w:eastAsia="zh-CN"/>
                    </w:rPr>
                    <w:t>SS</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ED3DD">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61EB08E3">
                  <w:pPr>
                    <w:pStyle w:val="2"/>
                    <w:jc w:val="center"/>
                    <w:rPr>
                      <w:rFonts w:hint="default"/>
                      <w:color w:val="auto"/>
                      <w:sz w:val="21"/>
                      <w:szCs w:val="28"/>
                    </w:rPr>
                  </w:pPr>
                </w:p>
              </w:tc>
            </w:tr>
            <w:tr w14:paraId="649ED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0" w:hRule="atLeast"/>
              </w:trPr>
              <w:tc>
                <w:tcPr>
                  <w:tcW w:w="325" w:type="pct"/>
                  <w:vMerge w:val="continue"/>
                  <w:tcBorders>
                    <w:left w:val="single" w:color="000000" w:sz="4" w:space="0"/>
                    <w:right w:val="single" w:color="000000" w:sz="4" w:space="0"/>
                  </w:tcBorders>
                  <w:shd w:val="clear" w:color="auto" w:fill="auto"/>
                  <w:vAlign w:val="center"/>
                </w:tcPr>
                <w:p w14:paraId="644520E0">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FC4BE">
                  <w:pPr>
                    <w:pStyle w:val="2"/>
                    <w:jc w:val="center"/>
                    <w:rPr>
                      <w:rFonts w:hint="default"/>
                      <w:color w:val="auto"/>
                      <w:sz w:val="21"/>
                      <w:szCs w:val="28"/>
                      <w:lang w:val="en-US"/>
                    </w:rPr>
                  </w:pPr>
                  <w:r>
                    <w:rPr>
                      <w:rFonts w:hint="default"/>
                      <w:color w:val="auto"/>
                      <w:sz w:val="21"/>
                      <w:szCs w:val="28"/>
                      <w:lang w:val="en-US" w:eastAsia="zh-CN"/>
                    </w:rPr>
                    <w:t>W</w:t>
                  </w:r>
                  <w:r>
                    <w:rPr>
                      <w:rFonts w:hint="eastAsia"/>
                      <w:color w:val="auto"/>
                      <w:sz w:val="21"/>
                      <w:szCs w:val="28"/>
                      <w:lang w:val="en-US" w:eastAsia="zh-CN"/>
                    </w:rPr>
                    <w:t>7</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6AC6A">
                  <w:pPr>
                    <w:pStyle w:val="2"/>
                    <w:jc w:val="center"/>
                    <w:rPr>
                      <w:rFonts w:hint="eastAsia"/>
                      <w:color w:val="auto"/>
                      <w:sz w:val="21"/>
                      <w:szCs w:val="28"/>
                    </w:rPr>
                  </w:pPr>
                  <w:r>
                    <w:rPr>
                      <w:rFonts w:hint="eastAsia"/>
                      <w:color w:val="auto"/>
                      <w:sz w:val="21"/>
                      <w:szCs w:val="28"/>
                      <w:lang w:val="en-US" w:eastAsia="zh-CN"/>
                    </w:rPr>
                    <w:t>员工生活</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B49973">
                  <w:pPr>
                    <w:pStyle w:val="2"/>
                    <w:jc w:val="center"/>
                    <w:rPr>
                      <w:rFonts w:hint="default"/>
                      <w:color w:val="auto"/>
                      <w:sz w:val="21"/>
                      <w:szCs w:val="28"/>
                    </w:rPr>
                  </w:pPr>
                  <w:r>
                    <w:rPr>
                      <w:rFonts w:hint="default"/>
                      <w:color w:val="auto"/>
                      <w:sz w:val="21"/>
                      <w:szCs w:val="28"/>
                      <w:lang w:val="en-US" w:eastAsia="zh-CN"/>
                    </w:rPr>
                    <w:t>pH</w:t>
                  </w:r>
                  <w:r>
                    <w:rPr>
                      <w:rFonts w:hint="eastAsia"/>
                      <w:color w:val="auto"/>
                      <w:sz w:val="21"/>
                      <w:szCs w:val="28"/>
                      <w:lang w:val="en-US" w:eastAsia="zh-CN"/>
                    </w:rPr>
                    <w:t>、</w:t>
                  </w:r>
                  <w:r>
                    <w:rPr>
                      <w:rFonts w:hint="default"/>
                      <w:color w:val="auto"/>
                      <w:sz w:val="21"/>
                      <w:szCs w:val="28"/>
                      <w:lang w:val="en-US" w:eastAsia="zh-CN"/>
                    </w:rPr>
                    <w:t>COD</w:t>
                  </w:r>
                  <w:r>
                    <w:rPr>
                      <w:rFonts w:hint="eastAsia"/>
                      <w:color w:val="auto"/>
                      <w:sz w:val="21"/>
                      <w:szCs w:val="28"/>
                      <w:lang w:val="en-US" w:eastAsia="zh-CN"/>
                    </w:rPr>
                    <w:t>、氨氮、</w:t>
                  </w:r>
                  <w:r>
                    <w:rPr>
                      <w:rFonts w:hint="default"/>
                      <w:color w:val="auto"/>
                      <w:sz w:val="21"/>
                      <w:szCs w:val="28"/>
                      <w:lang w:val="en-US" w:eastAsia="zh-CN"/>
                    </w:rPr>
                    <w:t>SS</w:t>
                  </w:r>
                  <w:r>
                    <w:rPr>
                      <w:rFonts w:hint="eastAsia"/>
                      <w:color w:val="auto"/>
                      <w:sz w:val="21"/>
                      <w:szCs w:val="28"/>
                      <w:lang w:val="en-US" w:eastAsia="zh-CN"/>
                    </w:rPr>
                    <w:t>、</w:t>
                  </w:r>
                  <w:r>
                    <w:rPr>
                      <w:rFonts w:hint="default"/>
                      <w:color w:val="auto"/>
                      <w:sz w:val="21"/>
                      <w:szCs w:val="28"/>
                      <w:lang w:val="en-US" w:eastAsia="zh-CN"/>
                    </w:rPr>
                    <w:t>TP</w:t>
                  </w:r>
                  <w:r>
                    <w:rPr>
                      <w:rFonts w:hint="eastAsia"/>
                      <w:color w:val="auto"/>
                      <w:sz w:val="21"/>
                      <w:szCs w:val="28"/>
                      <w:lang w:val="en-US" w:eastAsia="zh-CN"/>
                    </w:rPr>
                    <w:t>、</w:t>
                  </w:r>
                  <w:r>
                    <w:rPr>
                      <w:rFonts w:hint="default"/>
                      <w:color w:val="auto"/>
                      <w:sz w:val="21"/>
                      <w:szCs w:val="28"/>
                      <w:lang w:val="en-US" w:eastAsia="zh-CN"/>
                    </w:rPr>
                    <w:t>TN</w:t>
                  </w:r>
                  <w:r>
                    <w:rPr>
                      <w:rFonts w:hint="eastAsia"/>
                      <w:color w:val="auto"/>
                      <w:sz w:val="21"/>
                      <w:szCs w:val="28"/>
                      <w:lang w:val="en-US" w:eastAsia="zh-CN"/>
                    </w:rPr>
                    <w:t>等</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5CB714">
                  <w:pPr>
                    <w:pStyle w:val="2"/>
                    <w:jc w:val="center"/>
                    <w:rPr>
                      <w:rFonts w:hint="eastAsia"/>
                      <w:color w:val="auto"/>
                      <w:sz w:val="21"/>
                      <w:szCs w:val="28"/>
                    </w:rPr>
                  </w:pPr>
                  <w:r>
                    <w:rPr>
                      <w:rFonts w:hint="eastAsia"/>
                      <w:color w:val="auto"/>
                      <w:sz w:val="21"/>
                      <w:szCs w:val="28"/>
                      <w:lang w:val="en-US" w:eastAsia="zh-CN"/>
                    </w:rPr>
                    <w:t>间断</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49E99">
                  <w:pPr>
                    <w:pStyle w:val="2"/>
                    <w:jc w:val="center"/>
                    <w:rPr>
                      <w:rFonts w:hint="eastAsia"/>
                      <w:color w:val="auto"/>
                      <w:sz w:val="21"/>
                      <w:szCs w:val="28"/>
                    </w:rPr>
                  </w:pPr>
                  <w:r>
                    <w:rPr>
                      <w:rFonts w:hint="eastAsia"/>
                      <w:color w:val="auto"/>
                      <w:sz w:val="21"/>
                      <w:szCs w:val="28"/>
                      <w:lang w:val="en-US" w:eastAsia="zh-CN"/>
                    </w:rPr>
                    <w:t>化粪池处理后进入市政污水管网</w:t>
                  </w:r>
                </w:p>
              </w:tc>
            </w:tr>
            <w:tr w14:paraId="4C7D6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92EAB">
                  <w:pPr>
                    <w:pStyle w:val="2"/>
                    <w:jc w:val="center"/>
                    <w:rPr>
                      <w:rFonts w:hint="eastAsia"/>
                      <w:color w:val="auto"/>
                      <w:sz w:val="21"/>
                      <w:szCs w:val="28"/>
                    </w:rPr>
                  </w:pPr>
                  <w:r>
                    <w:rPr>
                      <w:rFonts w:hint="eastAsia"/>
                      <w:color w:val="auto"/>
                      <w:sz w:val="21"/>
                      <w:szCs w:val="28"/>
                      <w:lang w:val="en-US" w:eastAsia="zh-CN"/>
                    </w:rPr>
                    <w:t>噪声</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287605">
                  <w:pPr>
                    <w:pStyle w:val="2"/>
                    <w:jc w:val="center"/>
                    <w:rPr>
                      <w:rFonts w:hint="default"/>
                      <w:color w:val="auto"/>
                      <w:sz w:val="21"/>
                      <w:szCs w:val="28"/>
                    </w:rPr>
                  </w:pPr>
                  <w:r>
                    <w:rPr>
                      <w:rFonts w:hint="default"/>
                      <w:color w:val="auto"/>
                      <w:sz w:val="21"/>
                      <w:szCs w:val="28"/>
                      <w:lang w:val="en-US" w:eastAsia="zh-CN"/>
                    </w:rPr>
                    <w:t>N</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BF91D">
                  <w:pPr>
                    <w:pStyle w:val="2"/>
                    <w:jc w:val="center"/>
                    <w:rPr>
                      <w:rFonts w:hint="eastAsia"/>
                      <w:color w:val="auto"/>
                      <w:sz w:val="21"/>
                      <w:szCs w:val="28"/>
                    </w:rPr>
                  </w:pPr>
                  <w:r>
                    <w:rPr>
                      <w:rFonts w:hint="eastAsia"/>
                      <w:color w:val="auto"/>
                      <w:sz w:val="21"/>
                      <w:szCs w:val="28"/>
                      <w:lang w:val="en-US" w:eastAsia="zh-CN"/>
                    </w:rPr>
                    <w:t>设备噪声</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C38B8">
                  <w:pPr>
                    <w:pStyle w:val="2"/>
                    <w:jc w:val="center"/>
                    <w:rPr>
                      <w:rFonts w:hint="eastAsia"/>
                      <w:color w:val="auto"/>
                      <w:sz w:val="21"/>
                      <w:szCs w:val="28"/>
                    </w:rPr>
                  </w:pPr>
                  <w:r>
                    <w:rPr>
                      <w:rFonts w:hint="eastAsia"/>
                      <w:color w:val="auto"/>
                      <w:sz w:val="21"/>
                      <w:szCs w:val="28"/>
                      <w:lang w:val="en-US" w:eastAsia="zh-CN"/>
                    </w:rPr>
                    <w:t>各类机械设备产生的噪声</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75094">
                  <w:pPr>
                    <w:pStyle w:val="2"/>
                    <w:jc w:val="center"/>
                    <w:rPr>
                      <w:rFonts w:hint="eastAsia"/>
                      <w:color w:val="auto"/>
                      <w:sz w:val="21"/>
                      <w:szCs w:val="28"/>
                    </w:rPr>
                  </w:pPr>
                  <w:r>
                    <w:rPr>
                      <w:rFonts w:hint="eastAsia"/>
                      <w:color w:val="auto"/>
                      <w:sz w:val="21"/>
                      <w:szCs w:val="28"/>
                      <w:lang w:val="en-US" w:eastAsia="zh-CN"/>
                    </w:rPr>
                    <w:t>间断</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671550">
                  <w:pPr>
                    <w:pStyle w:val="2"/>
                    <w:jc w:val="center"/>
                    <w:rPr>
                      <w:rFonts w:hint="eastAsia"/>
                      <w:color w:val="auto"/>
                      <w:sz w:val="21"/>
                      <w:szCs w:val="28"/>
                    </w:rPr>
                  </w:pPr>
                  <w:r>
                    <w:rPr>
                      <w:rFonts w:hint="eastAsia"/>
                      <w:color w:val="auto"/>
                      <w:sz w:val="21"/>
                      <w:szCs w:val="28"/>
                      <w:lang w:val="en-US" w:eastAsia="zh-CN"/>
                    </w:rPr>
                    <w:t>采用减振、消声、隔声等措施处理后达标排放</w:t>
                  </w:r>
                </w:p>
              </w:tc>
            </w:tr>
            <w:tr w14:paraId="6A0D8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3" w:hRule="atLeast"/>
              </w:trPr>
              <w:tc>
                <w:tcPr>
                  <w:tcW w:w="325" w:type="pct"/>
                  <w:vMerge w:val="restart"/>
                  <w:tcBorders>
                    <w:top w:val="single" w:color="000000" w:sz="4" w:space="0"/>
                    <w:left w:val="single" w:color="000000" w:sz="4" w:space="0"/>
                    <w:right w:val="single" w:color="000000" w:sz="4" w:space="0"/>
                  </w:tcBorders>
                  <w:shd w:val="clear" w:color="auto" w:fill="auto"/>
                  <w:vAlign w:val="center"/>
                </w:tcPr>
                <w:p w14:paraId="69E9E84B">
                  <w:pPr>
                    <w:pStyle w:val="2"/>
                    <w:jc w:val="center"/>
                    <w:rPr>
                      <w:rFonts w:hint="eastAsia"/>
                      <w:color w:val="auto"/>
                      <w:sz w:val="21"/>
                      <w:szCs w:val="28"/>
                    </w:rPr>
                  </w:pPr>
                  <w:r>
                    <w:rPr>
                      <w:rFonts w:hint="eastAsia"/>
                      <w:color w:val="auto"/>
                      <w:sz w:val="21"/>
                      <w:szCs w:val="28"/>
                      <w:lang w:val="en-US" w:eastAsia="zh-CN"/>
                    </w:rPr>
                    <w:t>固废</w:t>
                  </w: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50FAB">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10</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6DE96">
                  <w:pPr>
                    <w:pStyle w:val="2"/>
                    <w:jc w:val="center"/>
                    <w:rPr>
                      <w:rFonts w:hint="eastAsia"/>
                      <w:color w:val="auto"/>
                      <w:sz w:val="21"/>
                      <w:szCs w:val="28"/>
                    </w:rPr>
                  </w:pPr>
                  <w:r>
                    <w:rPr>
                      <w:rFonts w:hint="eastAsia"/>
                      <w:color w:val="auto"/>
                      <w:sz w:val="21"/>
                      <w:szCs w:val="28"/>
                      <w:lang w:val="en-US" w:eastAsia="zh-CN"/>
                    </w:rPr>
                    <w:t>废反渗透膜和废离子交换树脂</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962127">
                  <w:pPr>
                    <w:pStyle w:val="2"/>
                    <w:jc w:val="center"/>
                    <w:rPr>
                      <w:rFonts w:hint="eastAsia"/>
                      <w:color w:val="auto"/>
                      <w:sz w:val="21"/>
                      <w:szCs w:val="28"/>
                    </w:rPr>
                  </w:pPr>
                  <w:r>
                    <w:rPr>
                      <w:rFonts w:hint="eastAsia"/>
                      <w:color w:val="auto"/>
                      <w:sz w:val="21"/>
                      <w:szCs w:val="28"/>
                      <w:lang w:val="en-US" w:eastAsia="zh-CN"/>
                    </w:rPr>
                    <w:t>废过滤材料</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5D820">
                  <w:pPr>
                    <w:pStyle w:val="2"/>
                    <w:jc w:val="center"/>
                    <w:rPr>
                      <w:rFonts w:hint="eastAsia"/>
                      <w:color w:val="auto"/>
                      <w:sz w:val="21"/>
                      <w:szCs w:val="28"/>
                    </w:rPr>
                  </w:pPr>
                  <w:r>
                    <w:rPr>
                      <w:rFonts w:hint="eastAsia"/>
                      <w:color w:val="auto"/>
                      <w:sz w:val="21"/>
                      <w:szCs w:val="28"/>
                      <w:lang w:val="en-US" w:eastAsia="zh-CN"/>
                    </w:rPr>
                    <w:t>间断</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48123C">
                  <w:pPr>
                    <w:pStyle w:val="2"/>
                    <w:jc w:val="center"/>
                    <w:rPr>
                      <w:rFonts w:hint="eastAsia"/>
                      <w:color w:val="auto"/>
                      <w:sz w:val="21"/>
                      <w:szCs w:val="28"/>
                    </w:rPr>
                  </w:pPr>
                  <w:r>
                    <w:rPr>
                      <w:rFonts w:hint="eastAsia"/>
                      <w:color w:val="auto"/>
                      <w:sz w:val="21"/>
                      <w:szCs w:val="28"/>
                      <w:lang w:val="en-US" w:eastAsia="zh-CN"/>
                    </w:rPr>
                    <w:t>外售</w:t>
                  </w:r>
                </w:p>
              </w:tc>
            </w:tr>
            <w:tr w14:paraId="1D7FCC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325" w:type="pct"/>
                  <w:vMerge w:val="continue"/>
                  <w:tcBorders>
                    <w:left w:val="single" w:color="000000" w:sz="4" w:space="0"/>
                    <w:right w:val="single" w:color="000000" w:sz="4" w:space="0"/>
                  </w:tcBorders>
                  <w:shd w:val="clear" w:color="auto" w:fill="auto"/>
                  <w:vAlign w:val="center"/>
                </w:tcPr>
                <w:p w14:paraId="1AD608D2">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6F272">
                  <w:pPr>
                    <w:pStyle w:val="2"/>
                    <w:jc w:val="center"/>
                    <w:rPr>
                      <w:rFonts w:hint="default"/>
                      <w:color w:val="auto"/>
                      <w:sz w:val="21"/>
                      <w:szCs w:val="28"/>
                    </w:rPr>
                  </w:pPr>
                  <w:r>
                    <w:rPr>
                      <w:rFonts w:hint="default"/>
                      <w:color w:val="auto"/>
                      <w:sz w:val="21"/>
                      <w:szCs w:val="28"/>
                      <w:lang w:val="en-US" w:eastAsia="zh-CN"/>
                    </w:rPr>
                    <w:t>S1</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3DE75">
                  <w:pPr>
                    <w:pStyle w:val="2"/>
                    <w:jc w:val="center"/>
                    <w:rPr>
                      <w:rFonts w:hint="eastAsia"/>
                      <w:color w:val="auto"/>
                      <w:sz w:val="21"/>
                      <w:szCs w:val="28"/>
                    </w:rPr>
                  </w:pPr>
                  <w:r>
                    <w:rPr>
                      <w:rFonts w:hint="eastAsia"/>
                      <w:color w:val="auto"/>
                      <w:sz w:val="21"/>
                      <w:szCs w:val="28"/>
                      <w:lang w:val="en-US" w:eastAsia="zh-CN"/>
                    </w:rPr>
                    <w:t>废紫外线灯管</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0B09A">
                  <w:pPr>
                    <w:pStyle w:val="2"/>
                    <w:jc w:val="center"/>
                    <w:rPr>
                      <w:rFonts w:hint="eastAsia"/>
                      <w:color w:val="auto"/>
                      <w:sz w:val="21"/>
                      <w:szCs w:val="28"/>
                    </w:rPr>
                  </w:pPr>
                  <w:r>
                    <w:rPr>
                      <w:rFonts w:hint="eastAsia"/>
                      <w:color w:val="auto"/>
                      <w:sz w:val="21"/>
                      <w:szCs w:val="28"/>
                      <w:lang w:val="en-US" w:eastAsia="zh-CN"/>
                    </w:rPr>
                    <w:t>设备耗材</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E6380F">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restart"/>
                  <w:tcBorders>
                    <w:left w:val="single" w:color="000000" w:sz="4" w:space="0"/>
                    <w:right w:val="single" w:color="000000" w:sz="4" w:space="0"/>
                  </w:tcBorders>
                  <w:shd w:val="clear" w:color="auto" w:fill="auto"/>
                  <w:vAlign w:val="center"/>
                </w:tcPr>
                <w:p w14:paraId="32FC88AE">
                  <w:pPr>
                    <w:pStyle w:val="2"/>
                    <w:jc w:val="center"/>
                    <w:rPr>
                      <w:rFonts w:hint="default" w:eastAsia="宋体"/>
                      <w:color w:val="auto"/>
                      <w:sz w:val="21"/>
                      <w:szCs w:val="28"/>
                      <w:lang w:val="en-US" w:eastAsia="zh-CN"/>
                    </w:rPr>
                  </w:pPr>
                  <w:r>
                    <w:rPr>
                      <w:rFonts w:hint="eastAsia"/>
                      <w:color w:val="auto"/>
                      <w:sz w:val="21"/>
                      <w:szCs w:val="28"/>
                      <w:lang w:val="en-US" w:eastAsia="zh-CN"/>
                    </w:rPr>
                    <w:t>暂存在危废暂存间或医疗废弃物暂存间后委托有资质的单位处置</w:t>
                  </w:r>
                </w:p>
              </w:tc>
            </w:tr>
            <w:tr w14:paraId="26BC1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1CB0F8F6">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2104E">
                  <w:pPr>
                    <w:pStyle w:val="2"/>
                    <w:jc w:val="center"/>
                    <w:rPr>
                      <w:rFonts w:hint="default"/>
                      <w:color w:val="auto"/>
                      <w:sz w:val="21"/>
                      <w:szCs w:val="28"/>
                    </w:rPr>
                  </w:pPr>
                  <w:r>
                    <w:rPr>
                      <w:rFonts w:hint="default"/>
                      <w:color w:val="auto"/>
                      <w:sz w:val="21"/>
                      <w:szCs w:val="28"/>
                      <w:lang w:val="en-US" w:eastAsia="zh-CN"/>
                    </w:rPr>
                    <w:t>S2</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B4098C">
                  <w:pPr>
                    <w:pStyle w:val="2"/>
                    <w:jc w:val="center"/>
                    <w:rPr>
                      <w:rFonts w:hint="eastAsia"/>
                      <w:color w:val="auto"/>
                      <w:sz w:val="21"/>
                      <w:szCs w:val="28"/>
                    </w:rPr>
                  </w:pPr>
                  <w:r>
                    <w:rPr>
                      <w:rFonts w:hint="eastAsia"/>
                      <w:color w:val="auto"/>
                      <w:sz w:val="21"/>
                      <w:szCs w:val="28"/>
                      <w:lang w:val="en-US" w:eastAsia="zh-CN"/>
                    </w:rPr>
                    <w:t>废包装材料</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06B45">
                  <w:pPr>
                    <w:pStyle w:val="2"/>
                    <w:jc w:val="center"/>
                    <w:rPr>
                      <w:rFonts w:hint="eastAsia"/>
                      <w:color w:val="auto"/>
                      <w:sz w:val="21"/>
                      <w:szCs w:val="28"/>
                    </w:rPr>
                  </w:pPr>
                  <w:r>
                    <w:rPr>
                      <w:rFonts w:hint="eastAsia"/>
                      <w:color w:val="auto"/>
                      <w:sz w:val="21"/>
                      <w:szCs w:val="28"/>
                      <w:lang w:val="en-US" w:eastAsia="zh-CN"/>
                    </w:rPr>
                    <w:t>废包装材料</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AFA53">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686A61EB">
                  <w:pPr>
                    <w:pStyle w:val="2"/>
                    <w:jc w:val="center"/>
                    <w:rPr>
                      <w:rFonts w:hint="default"/>
                      <w:color w:val="auto"/>
                      <w:sz w:val="21"/>
                      <w:szCs w:val="28"/>
                    </w:rPr>
                  </w:pPr>
                </w:p>
              </w:tc>
            </w:tr>
            <w:tr w14:paraId="6586A2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28CBD453">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39B27E">
                  <w:pPr>
                    <w:pStyle w:val="2"/>
                    <w:jc w:val="center"/>
                    <w:rPr>
                      <w:rFonts w:hint="default"/>
                      <w:color w:val="auto"/>
                      <w:sz w:val="21"/>
                      <w:szCs w:val="28"/>
                    </w:rPr>
                  </w:pPr>
                  <w:r>
                    <w:rPr>
                      <w:rFonts w:hint="default"/>
                      <w:color w:val="auto"/>
                      <w:sz w:val="21"/>
                      <w:szCs w:val="28"/>
                      <w:lang w:val="en-US" w:eastAsia="zh-CN"/>
                    </w:rPr>
                    <w:t>S3</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2E235F">
                  <w:pPr>
                    <w:pStyle w:val="2"/>
                    <w:jc w:val="center"/>
                    <w:rPr>
                      <w:rFonts w:hint="eastAsia"/>
                      <w:color w:val="auto"/>
                      <w:sz w:val="21"/>
                      <w:szCs w:val="28"/>
                    </w:rPr>
                  </w:pPr>
                  <w:r>
                    <w:rPr>
                      <w:rFonts w:hint="eastAsia"/>
                      <w:color w:val="auto"/>
                      <w:sz w:val="21"/>
                      <w:szCs w:val="28"/>
                      <w:lang w:val="en-US" w:eastAsia="zh-CN"/>
                    </w:rPr>
                    <w:t>空清洗剂桶</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D24E9">
                  <w:pPr>
                    <w:pStyle w:val="2"/>
                    <w:jc w:val="center"/>
                    <w:rPr>
                      <w:rFonts w:hint="eastAsia"/>
                      <w:color w:val="auto"/>
                      <w:sz w:val="21"/>
                      <w:szCs w:val="28"/>
                    </w:rPr>
                  </w:pPr>
                  <w:r>
                    <w:rPr>
                      <w:rFonts w:hint="eastAsia"/>
                      <w:color w:val="auto"/>
                      <w:sz w:val="21"/>
                      <w:szCs w:val="28"/>
                      <w:lang w:val="en-US" w:eastAsia="zh-CN"/>
                    </w:rPr>
                    <w:t>废包装桶</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ED92D">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202E3BB1">
                  <w:pPr>
                    <w:pStyle w:val="2"/>
                    <w:jc w:val="center"/>
                    <w:rPr>
                      <w:rFonts w:hint="default"/>
                      <w:color w:val="auto"/>
                      <w:sz w:val="21"/>
                      <w:szCs w:val="28"/>
                    </w:rPr>
                  </w:pPr>
                </w:p>
              </w:tc>
            </w:tr>
            <w:tr w14:paraId="4E4AE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5" w:hRule="atLeast"/>
              </w:trPr>
              <w:tc>
                <w:tcPr>
                  <w:tcW w:w="325" w:type="pct"/>
                  <w:vMerge w:val="continue"/>
                  <w:tcBorders>
                    <w:left w:val="single" w:color="000000" w:sz="4" w:space="0"/>
                    <w:right w:val="single" w:color="000000" w:sz="4" w:space="0"/>
                  </w:tcBorders>
                  <w:shd w:val="clear" w:color="auto" w:fill="auto"/>
                  <w:vAlign w:val="center"/>
                </w:tcPr>
                <w:p w14:paraId="0B3A594B">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3F5A3">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4</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AAD18">
                  <w:pPr>
                    <w:pStyle w:val="2"/>
                    <w:jc w:val="center"/>
                    <w:rPr>
                      <w:rFonts w:hint="eastAsia"/>
                      <w:color w:val="auto"/>
                      <w:sz w:val="21"/>
                      <w:szCs w:val="28"/>
                    </w:rPr>
                  </w:pPr>
                  <w:r>
                    <w:rPr>
                      <w:rFonts w:hint="eastAsia"/>
                      <w:color w:val="auto"/>
                      <w:sz w:val="21"/>
                      <w:szCs w:val="28"/>
                      <w:lang w:val="en-US" w:eastAsia="zh-CN"/>
                    </w:rPr>
                    <w:t>空甲醛包装</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7DACE">
                  <w:pPr>
                    <w:pStyle w:val="2"/>
                    <w:jc w:val="center"/>
                    <w:rPr>
                      <w:rFonts w:hint="eastAsia"/>
                      <w:color w:val="auto"/>
                      <w:sz w:val="21"/>
                      <w:szCs w:val="28"/>
                    </w:rPr>
                  </w:pPr>
                  <w:r>
                    <w:rPr>
                      <w:rFonts w:hint="eastAsia"/>
                      <w:color w:val="auto"/>
                      <w:sz w:val="21"/>
                      <w:szCs w:val="28"/>
                      <w:lang w:val="en-US" w:eastAsia="zh-CN"/>
                    </w:rPr>
                    <w:t>废包装材料</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27E57D">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2165E93B">
                  <w:pPr>
                    <w:pStyle w:val="2"/>
                    <w:jc w:val="center"/>
                    <w:rPr>
                      <w:rFonts w:hint="default"/>
                      <w:color w:val="auto"/>
                      <w:sz w:val="21"/>
                      <w:szCs w:val="28"/>
                    </w:rPr>
                  </w:pPr>
                </w:p>
              </w:tc>
            </w:tr>
            <w:tr w14:paraId="0D27D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325" w:type="pct"/>
                  <w:vMerge w:val="continue"/>
                  <w:tcBorders>
                    <w:left w:val="single" w:color="000000" w:sz="4" w:space="0"/>
                    <w:right w:val="single" w:color="000000" w:sz="4" w:space="0"/>
                  </w:tcBorders>
                  <w:shd w:val="clear" w:color="auto" w:fill="auto"/>
                  <w:vAlign w:val="center"/>
                </w:tcPr>
                <w:p w14:paraId="4E9D717C">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FE520">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5</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3A8B4">
                  <w:pPr>
                    <w:pStyle w:val="2"/>
                    <w:jc w:val="center"/>
                    <w:rPr>
                      <w:rFonts w:hint="eastAsia"/>
                      <w:color w:val="auto"/>
                      <w:sz w:val="21"/>
                      <w:szCs w:val="28"/>
                    </w:rPr>
                  </w:pPr>
                  <w:r>
                    <w:rPr>
                      <w:rFonts w:hint="eastAsia"/>
                      <w:color w:val="auto"/>
                      <w:sz w:val="21"/>
                      <w:szCs w:val="28"/>
                      <w:lang w:val="en-US" w:eastAsia="zh-CN"/>
                    </w:rPr>
                    <w:t>废生物指示剂</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3A687">
                  <w:pPr>
                    <w:pStyle w:val="2"/>
                    <w:jc w:val="center"/>
                    <w:rPr>
                      <w:rFonts w:hint="eastAsia"/>
                      <w:color w:val="auto"/>
                      <w:sz w:val="21"/>
                      <w:szCs w:val="28"/>
                    </w:rPr>
                  </w:pPr>
                  <w:r>
                    <w:rPr>
                      <w:rFonts w:hint="eastAsia"/>
                      <w:color w:val="auto"/>
                      <w:sz w:val="21"/>
                      <w:szCs w:val="28"/>
                      <w:lang w:val="en-US" w:eastAsia="zh-CN"/>
                    </w:rPr>
                    <w:t>废生物指示剂</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E841B">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29BA2210">
                  <w:pPr>
                    <w:pStyle w:val="2"/>
                    <w:jc w:val="center"/>
                    <w:rPr>
                      <w:rFonts w:hint="default"/>
                      <w:color w:val="auto"/>
                      <w:sz w:val="21"/>
                      <w:szCs w:val="28"/>
                    </w:rPr>
                  </w:pPr>
                </w:p>
              </w:tc>
            </w:tr>
            <w:tr w14:paraId="096ED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50ABB390">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CCB43">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6</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D896DC">
                  <w:pPr>
                    <w:pStyle w:val="2"/>
                    <w:jc w:val="center"/>
                    <w:rPr>
                      <w:rFonts w:hint="eastAsia"/>
                      <w:color w:val="auto"/>
                      <w:sz w:val="21"/>
                      <w:szCs w:val="28"/>
                    </w:rPr>
                  </w:pPr>
                  <w:r>
                    <w:rPr>
                      <w:rFonts w:hint="eastAsia"/>
                      <w:color w:val="auto"/>
                      <w:sz w:val="21"/>
                      <w:szCs w:val="28"/>
                      <w:lang w:val="en-US" w:eastAsia="zh-CN"/>
                    </w:rPr>
                    <w:t>设备维修</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C6FFF">
                  <w:pPr>
                    <w:pStyle w:val="2"/>
                    <w:jc w:val="center"/>
                    <w:rPr>
                      <w:rFonts w:hint="eastAsia"/>
                      <w:color w:val="auto"/>
                      <w:sz w:val="21"/>
                      <w:szCs w:val="28"/>
                    </w:rPr>
                  </w:pPr>
                  <w:r>
                    <w:rPr>
                      <w:rFonts w:hint="eastAsia"/>
                      <w:color w:val="auto"/>
                      <w:sz w:val="21"/>
                      <w:szCs w:val="28"/>
                      <w:lang w:val="en-US" w:eastAsia="zh-CN"/>
                    </w:rPr>
                    <w:t>废润滑油</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BCDA1">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2A848332">
                  <w:pPr>
                    <w:pStyle w:val="2"/>
                    <w:jc w:val="center"/>
                    <w:rPr>
                      <w:rFonts w:hint="default"/>
                      <w:color w:val="auto"/>
                      <w:sz w:val="21"/>
                      <w:szCs w:val="28"/>
                    </w:rPr>
                  </w:pPr>
                </w:p>
              </w:tc>
            </w:tr>
            <w:tr w14:paraId="7BA344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325" w:type="pct"/>
                  <w:vMerge w:val="continue"/>
                  <w:tcBorders>
                    <w:left w:val="single" w:color="000000" w:sz="4" w:space="0"/>
                    <w:right w:val="single" w:color="000000" w:sz="4" w:space="0"/>
                  </w:tcBorders>
                  <w:shd w:val="clear" w:color="auto" w:fill="auto"/>
                  <w:vAlign w:val="center"/>
                </w:tcPr>
                <w:p w14:paraId="64851E60">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F34A1">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7</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64EB53">
                  <w:pPr>
                    <w:pStyle w:val="2"/>
                    <w:jc w:val="center"/>
                    <w:rPr>
                      <w:rFonts w:hint="eastAsia"/>
                      <w:color w:val="auto"/>
                      <w:sz w:val="21"/>
                      <w:szCs w:val="28"/>
                    </w:rPr>
                  </w:pPr>
                  <w:r>
                    <w:rPr>
                      <w:rFonts w:hint="eastAsia"/>
                      <w:color w:val="auto"/>
                      <w:sz w:val="21"/>
                      <w:szCs w:val="28"/>
                      <w:lang w:val="en-US" w:eastAsia="zh-CN"/>
                    </w:rPr>
                    <w:t>员工防护</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FD455">
                  <w:pPr>
                    <w:pStyle w:val="2"/>
                    <w:jc w:val="center"/>
                    <w:rPr>
                      <w:rFonts w:hint="eastAsia"/>
                      <w:color w:val="auto"/>
                      <w:sz w:val="21"/>
                      <w:szCs w:val="28"/>
                    </w:rPr>
                  </w:pPr>
                  <w:r>
                    <w:rPr>
                      <w:rFonts w:hint="eastAsia"/>
                      <w:color w:val="auto"/>
                      <w:sz w:val="21"/>
                      <w:szCs w:val="28"/>
                      <w:lang w:val="en-US" w:eastAsia="zh-CN"/>
                    </w:rPr>
                    <w:t>防护手套、口罩等</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57D3D">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right w:val="single" w:color="000000" w:sz="4" w:space="0"/>
                  </w:tcBorders>
                  <w:shd w:val="clear" w:color="auto" w:fill="auto"/>
                  <w:vAlign w:val="center"/>
                </w:tcPr>
                <w:p w14:paraId="21C2EDD6">
                  <w:pPr>
                    <w:pStyle w:val="2"/>
                    <w:jc w:val="center"/>
                    <w:rPr>
                      <w:rFonts w:hint="default"/>
                      <w:color w:val="auto"/>
                      <w:sz w:val="21"/>
                      <w:szCs w:val="28"/>
                    </w:rPr>
                  </w:pPr>
                </w:p>
              </w:tc>
            </w:tr>
            <w:tr w14:paraId="5C673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25" w:type="pct"/>
                  <w:vMerge w:val="continue"/>
                  <w:tcBorders>
                    <w:left w:val="single" w:color="000000" w:sz="4" w:space="0"/>
                    <w:right w:val="single" w:color="000000" w:sz="4" w:space="0"/>
                  </w:tcBorders>
                  <w:shd w:val="clear" w:color="auto" w:fill="auto"/>
                  <w:vAlign w:val="center"/>
                </w:tcPr>
                <w:p w14:paraId="21A73FC3">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17FD1">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8</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0D89B">
                  <w:pPr>
                    <w:pStyle w:val="2"/>
                    <w:jc w:val="center"/>
                    <w:rPr>
                      <w:rFonts w:hint="eastAsia"/>
                      <w:color w:val="auto"/>
                      <w:sz w:val="21"/>
                      <w:szCs w:val="28"/>
                    </w:rPr>
                  </w:pPr>
                  <w:r>
                    <w:rPr>
                      <w:rFonts w:hint="eastAsia"/>
                      <w:color w:val="auto"/>
                      <w:sz w:val="21"/>
                      <w:szCs w:val="28"/>
                      <w:lang w:val="en-US" w:eastAsia="zh-CN"/>
                    </w:rPr>
                    <w:t>污水处理</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728AD">
                  <w:pPr>
                    <w:pStyle w:val="2"/>
                    <w:jc w:val="center"/>
                    <w:rPr>
                      <w:rFonts w:hint="eastAsia"/>
                      <w:color w:val="auto"/>
                      <w:sz w:val="21"/>
                      <w:szCs w:val="28"/>
                    </w:rPr>
                  </w:pPr>
                  <w:r>
                    <w:rPr>
                      <w:rFonts w:hint="eastAsia"/>
                      <w:color w:val="auto"/>
                      <w:sz w:val="21"/>
                      <w:szCs w:val="28"/>
                      <w:lang w:val="en-US" w:eastAsia="zh-CN"/>
                    </w:rPr>
                    <w:t>活性污泥</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B6D2C">
                  <w:pPr>
                    <w:pStyle w:val="2"/>
                    <w:jc w:val="center"/>
                    <w:rPr>
                      <w:rFonts w:hint="eastAsia"/>
                      <w:color w:val="auto"/>
                      <w:sz w:val="21"/>
                      <w:szCs w:val="28"/>
                    </w:rPr>
                  </w:pPr>
                  <w:r>
                    <w:rPr>
                      <w:rFonts w:hint="eastAsia"/>
                      <w:color w:val="auto"/>
                      <w:sz w:val="21"/>
                      <w:szCs w:val="28"/>
                      <w:lang w:val="en-US" w:eastAsia="zh-CN"/>
                    </w:rPr>
                    <w:t>间断</w:t>
                  </w:r>
                </w:p>
              </w:tc>
              <w:tc>
                <w:tcPr>
                  <w:tcW w:w="1736" w:type="pct"/>
                  <w:vMerge w:val="continue"/>
                  <w:tcBorders>
                    <w:left w:val="single" w:color="000000" w:sz="4" w:space="0"/>
                    <w:bottom w:val="single" w:color="000000" w:sz="4" w:space="0"/>
                    <w:right w:val="single" w:color="000000" w:sz="4" w:space="0"/>
                  </w:tcBorders>
                  <w:shd w:val="clear" w:color="auto" w:fill="auto"/>
                  <w:vAlign w:val="center"/>
                </w:tcPr>
                <w:p w14:paraId="65ACC6F8">
                  <w:pPr>
                    <w:pStyle w:val="2"/>
                    <w:jc w:val="center"/>
                    <w:rPr>
                      <w:rFonts w:hint="default"/>
                      <w:color w:val="auto"/>
                      <w:sz w:val="21"/>
                      <w:szCs w:val="28"/>
                    </w:rPr>
                  </w:pPr>
                </w:p>
              </w:tc>
            </w:tr>
            <w:tr w14:paraId="62B91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325" w:type="pct"/>
                  <w:vMerge w:val="continue"/>
                  <w:tcBorders>
                    <w:left w:val="single" w:color="000000" w:sz="4" w:space="0"/>
                    <w:right w:val="single" w:color="000000" w:sz="4" w:space="0"/>
                  </w:tcBorders>
                  <w:shd w:val="clear" w:color="auto" w:fill="auto"/>
                  <w:vAlign w:val="center"/>
                </w:tcPr>
                <w:p w14:paraId="1E638369">
                  <w:pPr>
                    <w:pStyle w:val="2"/>
                    <w:jc w:val="center"/>
                    <w:rPr>
                      <w:rFonts w:hint="default"/>
                      <w:color w:val="auto"/>
                      <w:sz w:val="21"/>
                      <w:szCs w:val="28"/>
                    </w:rPr>
                  </w:pPr>
                </w:p>
              </w:tc>
              <w:tc>
                <w:tcPr>
                  <w:tcW w:w="3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435F0B">
                  <w:pPr>
                    <w:pStyle w:val="2"/>
                    <w:jc w:val="center"/>
                    <w:rPr>
                      <w:rFonts w:hint="default"/>
                      <w:color w:val="auto"/>
                      <w:sz w:val="21"/>
                      <w:szCs w:val="28"/>
                      <w:lang w:val="en-US"/>
                    </w:rPr>
                  </w:pPr>
                  <w:r>
                    <w:rPr>
                      <w:rFonts w:hint="default"/>
                      <w:color w:val="auto"/>
                      <w:sz w:val="21"/>
                      <w:szCs w:val="28"/>
                      <w:lang w:val="en-US" w:eastAsia="zh-CN"/>
                    </w:rPr>
                    <w:t>S</w:t>
                  </w:r>
                  <w:r>
                    <w:rPr>
                      <w:rFonts w:hint="eastAsia"/>
                      <w:color w:val="auto"/>
                      <w:sz w:val="21"/>
                      <w:szCs w:val="28"/>
                      <w:lang w:val="en-US" w:eastAsia="zh-CN"/>
                    </w:rPr>
                    <w:t>9</w:t>
                  </w:r>
                </w:p>
              </w:tc>
              <w:tc>
                <w:tcPr>
                  <w:tcW w:w="8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781B0">
                  <w:pPr>
                    <w:pStyle w:val="2"/>
                    <w:jc w:val="center"/>
                    <w:rPr>
                      <w:rFonts w:hint="eastAsia"/>
                      <w:color w:val="auto"/>
                      <w:sz w:val="21"/>
                      <w:szCs w:val="28"/>
                    </w:rPr>
                  </w:pPr>
                  <w:r>
                    <w:rPr>
                      <w:rFonts w:hint="eastAsia"/>
                      <w:color w:val="auto"/>
                      <w:sz w:val="21"/>
                      <w:szCs w:val="28"/>
                      <w:lang w:val="en-US" w:eastAsia="zh-CN"/>
                    </w:rPr>
                    <w:t>生活垃圾</w:t>
                  </w:r>
                </w:p>
              </w:tc>
              <w:tc>
                <w:tcPr>
                  <w:tcW w:w="1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90097">
                  <w:pPr>
                    <w:pStyle w:val="2"/>
                    <w:jc w:val="center"/>
                    <w:rPr>
                      <w:rFonts w:hint="eastAsia"/>
                      <w:color w:val="auto"/>
                      <w:sz w:val="21"/>
                      <w:szCs w:val="28"/>
                    </w:rPr>
                  </w:pPr>
                  <w:r>
                    <w:rPr>
                      <w:rFonts w:hint="eastAsia"/>
                      <w:color w:val="auto"/>
                      <w:sz w:val="21"/>
                      <w:szCs w:val="28"/>
                      <w:lang w:val="en-US" w:eastAsia="zh-CN"/>
                    </w:rPr>
                    <w:t>生活垃圾</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DBC37">
                  <w:pPr>
                    <w:pStyle w:val="2"/>
                    <w:jc w:val="center"/>
                    <w:rPr>
                      <w:rFonts w:hint="eastAsia"/>
                      <w:color w:val="auto"/>
                      <w:sz w:val="21"/>
                      <w:szCs w:val="28"/>
                    </w:rPr>
                  </w:pPr>
                  <w:r>
                    <w:rPr>
                      <w:rFonts w:hint="eastAsia"/>
                      <w:color w:val="auto"/>
                      <w:sz w:val="21"/>
                      <w:szCs w:val="28"/>
                      <w:lang w:val="en-US" w:eastAsia="zh-CN"/>
                    </w:rPr>
                    <w:t>间断</w:t>
                  </w:r>
                </w:p>
              </w:tc>
              <w:tc>
                <w:tcPr>
                  <w:tcW w:w="1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4043D">
                  <w:pPr>
                    <w:pStyle w:val="2"/>
                    <w:jc w:val="center"/>
                    <w:rPr>
                      <w:rFonts w:hint="eastAsia"/>
                      <w:color w:val="auto"/>
                      <w:sz w:val="21"/>
                      <w:szCs w:val="28"/>
                    </w:rPr>
                  </w:pPr>
                  <w:r>
                    <w:rPr>
                      <w:rFonts w:hint="eastAsia"/>
                      <w:color w:val="auto"/>
                      <w:sz w:val="21"/>
                      <w:szCs w:val="28"/>
                      <w:lang w:val="en-US" w:eastAsia="zh-CN"/>
                    </w:rPr>
                    <w:t>环卫部门清运</w:t>
                  </w:r>
                </w:p>
              </w:tc>
            </w:tr>
          </w:tbl>
          <w:p w14:paraId="3893C476">
            <w:pPr>
              <w:pStyle w:val="34"/>
              <w:ind w:firstLine="480"/>
              <w:rPr>
                <w:color w:val="auto"/>
              </w:rPr>
            </w:pPr>
            <w:r>
              <w:rPr>
                <w:rFonts w:hint="eastAsia"/>
                <w:color w:val="auto"/>
                <w:lang w:val="en-US" w:eastAsia="zh-CN"/>
              </w:rPr>
              <w:t>江城卫生院扩建后</w:t>
            </w:r>
            <w:r>
              <w:rPr>
                <w:color w:val="auto"/>
              </w:rPr>
              <w:t>运营期主要污染因子如下：</w:t>
            </w:r>
          </w:p>
          <w:p w14:paraId="2E82278D">
            <w:pPr>
              <w:pStyle w:val="34"/>
              <w:ind w:firstLine="480"/>
              <w:rPr>
                <w:color w:val="auto"/>
              </w:rPr>
            </w:pPr>
            <w:r>
              <w:rPr>
                <w:color w:val="auto"/>
              </w:rPr>
              <w:t>（1）废气：恶臭气体，备用发电机使用时产生的燃油废气。</w:t>
            </w:r>
          </w:p>
          <w:p w14:paraId="348A2F10">
            <w:pPr>
              <w:pStyle w:val="34"/>
              <w:ind w:firstLine="480"/>
              <w:rPr>
                <w:color w:val="auto"/>
              </w:rPr>
            </w:pPr>
            <w:r>
              <w:rPr>
                <w:color w:val="auto"/>
              </w:rPr>
              <w:t>（2）废水：本项目建成后，污水主要来源为办公生活污水和医疗废水等，其中主要污染成分为COD、BOD</w:t>
            </w:r>
            <w:r>
              <w:rPr>
                <w:color w:val="auto"/>
                <w:vertAlign w:val="subscript"/>
              </w:rPr>
              <w:t>5</w:t>
            </w:r>
            <w:r>
              <w:rPr>
                <w:color w:val="auto"/>
              </w:rPr>
              <w:t>、粪大肠杆菌等，项目运营期污水粪大肠菌群数相对较高，且含有大量的病原体。</w:t>
            </w:r>
          </w:p>
          <w:p w14:paraId="3599090E">
            <w:pPr>
              <w:pStyle w:val="34"/>
              <w:ind w:firstLine="480"/>
              <w:rPr>
                <w:color w:val="auto"/>
              </w:rPr>
            </w:pPr>
            <w:r>
              <w:rPr>
                <w:color w:val="auto"/>
              </w:rPr>
              <w:t>（3）噪声：主要来源于设备等产生的噪声，若布置不合理，将可能会对周边环境产生影响。</w:t>
            </w:r>
          </w:p>
          <w:p w14:paraId="166609D1">
            <w:pPr>
              <w:pStyle w:val="34"/>
              <w:ind w:firstLine="480"/>
              <w:rPr>
                <w:color w:val="auto"/>
              </w:rPr>
            </w:pPr>
            <w:r>
              <w:rPr>
                <w:color w:val="auto"/>
              </w:rPr>
              <w:t>（4）固体废弃物：主要来自于办公人员、病人及陪护人员等产生的生活垃圾；医疗废弃物来源广泛、成分复杂，如化学试剂、过期药品、一次性医疗器具等；这些垃圾若处理不当随意扔置，对附近区域将产生污染。</w:t>
            </w:r>
          </w:p>
          <w:p w14:paraId="3A48D7AD">
            <w:pPr>
              <w:pStyle w:val="34"/>
              <w:ind w:firstLine="480"/>
              <w:rPr>
                <w:rFonts w:hint="default"/>
                <w:color w:val="auto"/>
                <w:lang w:val="en-US" w:eastAsia="zh-CN"/>
              </w:rPr>
            </w:pPr>
            <w:r>
              <w:rPr>
                <w:color w:val="auto"/>
              </w:rPr>
              <w:t>（5）外环境影响：主要来自交通噪声和汽车尾气对本项目的影响。</w:t>
            </w:r>
          </w:p>
        </w:tc>
      </w:tr>
      <w:tr w14:paraId="53ED12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5" w:type="dxa"/>
            <w:vAlign w:val="center"/>
          </w:tcPr>
          <w:p w14:paraId="02DEC5B5">
            <w:pPr>
              <w:ind w:firstLine="0" w:firstLineChars="0"/>
              <w:rPr>
                <w:color w:val="auto"/>
              </w:rPr>
            </w:pPr>
            <w:r>
              <w:rPr>
                <w:color w:val="auto"/>
              </w:rPr>
              <w:t>与项目有关的原有环境污染和生态破坏问题</w:t>
            </w:r>
          </w:p>
        </w:tc>
        <w:tc>
          <w:tcPr>
            <w:tcW w:w="7797" w:type="dxa"/>
            <w:vAlign w:val="center"/>
          </w:tcPr>
          <w:p w14:paraId="1BFBCDF9">
            <w:pPr>
              <w:ind w:firstLine="482"/>
              <w:rPr>
                <w:b/>
                <w:bCs/>
                <w:color w:val="auto"/>
              </w:rPr>
            </w:pPr>
            <w:r>
              <w:rPr>
                <w:b/>
                <w:bCs/>
                <w:color w:val="auto"/>
              </w:rPr>
              <w:t>1、现有项目环保手续履行情况</w:t>
            </w:r>
          </w:p>
          <w:p w14:paraId="0ECC076C">
            <w:pPr>
              <w:pStyle w:val="34"/>
              <w:ind w:firstLine="480"/>
              <w:rPr>
                <w:color w:val="auto"/>
              </w:rPr>
            </w:pPr>
            <w:r>
              <w:rPr>
                <w:color w:val="auto"/>
              </w:rPr>
              <w:t>现有项目环境影响评价、竣工环境保护验收、突发环境事件应急预案和排污许可手续等履行情况见下表。</w:t>
            </w:r>
          </w:p>
          <w:p w14:paraId="6B32419B">
            <w:pPr>
              <w:pStyle w:val="2"/>
              <w:jc w:val="center"/>
              <w:rPr>
                <w:color w:val="auto"/>
                <w:sz w:val="21"/>
                <w:szCs w:val="28"/>
              </w:rPr>
            </w:pPr>
            <w:r>
              <w:rPr>
                <w:b/>
                <w:bCs/>
                <w:color w:val="auto"/>
                <w:sz w:val="21"/>
                <w:szCs w:val="28"/>
              </w:rPr>
              <w:t>表2-</w:t>
            </w:r>
            <w:r>
              <w:rPr>
                <w:rFonts w:hint="eastAsia"/>
                <w:b/>
                <w:color w:val="auto"/>
                <w:kern w:val="2"/>
                <w:sz w:val="21"/>
                <w:szCs w:val="21"/>
                <w:lang w:val="en-US" w:eastAsia="zh-CN"/>
              </w:rPr>
              <w:t>14江川区医共体总院</w:t>
            </w:r>
            <w:r>
              <w:rPr>
                <w:b/>
                <w:bCs/>
                <w:color w:val="auto"/>
                <w:sz w:val="21"/>
                <w:szCs w:val="28"/>
              </w:rPr>
              <w:t>现有项目环评、验收、应急预案和排污许可手续一览表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1611"/>
              <w:gridCol w:w="1487"/>
              <w:gridCol w:w="1158"/>
              <w:gridCol w:w="1129"/>
              <w:gridCol w:w="1767"/>
            </w:tblGrid>
            <w:tr w14:paraId="00A84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76" w:type="pct"/>
                  <w:vAlign w:val="center"/>
                </w:tcPr>
                <w:p w14:paraId="306ED8F0">
                  <w:pPr>
                    <w:pStyle w:val="2"/>
                    <w:jc w:val="center"/>
                    <w:rPr>
                      <w:color w:val="auto"/>
                      <w:sz w:val="21"/>
                      <w:szCs w:val="28"/>
                    </w:rPr>
                  </w:pPr>
                  <w:r>
                    <w:rPr>
                      <w:color w:val="auto"/>
                      <w:sz w:val="21"/>
                      <w:szCs w:val="28"/>
                    </w:rPr>
                    <w:t>序号</w:t>
                  </w:r>
                </w:p>
              </w:tc>
              <w:tc>
                <w:tcPr>
                  <w:tcW w:w="1063" w:type="pct"/>
                  <w:vAlign w:val="center"/>
                </w:tcPr>
                <w:p w14:paraId="41647A92">
                  <w:pPr>
                    <w:pStyle w:val="2"/>
                    <w:jc w:val="center"/>
                    <w:rPr>
                      <w:color w:val="auto"/>
                      <w:sz w:val="21"/>
                      <w:szCs w:val="28"/>
                    </w:rPr>
                  </w:pPr>
                  <w:r>
                    <w:rPr>
                      <w:color w:val="auto"/>
                      <w:sz w:val="21"/>
                      <w:szCs w:val="28"/>
                    </w:rPr>
                    <w:t>项目</w:t>
                  </w:r>
                </w:p>
              </w:tc>
              <w:tc>
                <w:tcPr>
                  <w:tcW w:w="982" w:type="pct"/>
                  <w:vAlign w:val="center"/>
                </w:tcPr>
                <w:p w14:paraId="0E047028">
                  <w:pPr>
                    <w:pStyle w:val="2"/>
                    <w:jc w:val="center"/>
                    <w:rPr>
                      <w:color w:val="auto"/>
                      <w:sz w:val="21"/>
                      <w:szCs w:val="28"/>
                    </w:rPr>
                  </w:pPr>
                  <w:r>
                    <w:rPr>
                      <w:color w:val="auto"/>
                      <w:sz w:val="21"/>
                      <w:szCs w:val="28"/>
                    </w:rPr>
                    <w:t>批复情况</w:t>
                  </w:r>
                </w:p>
              </w:tc>
              <w:tc>
                <w:tcPr>
                  <w:tcW w:w="764" w:type="pct"/>
                  <w:vAlign w:val="center"/>
                </w:tcPr>
                <w:p w14:paraId="5C47CFB0">
                  <w:pPr>
                    <w:pStyle w:val="2"/>
                    <w:jc w:val="center"/>
                    <w:rPr>
                      <w:color w:val="auto"/>
                      <w:sz w:val="21"/>
                      <w:szCs w:val="28"/>
                    </w:rPr>
                  </w:pPr>
                  <w:r>
                    <w:rPr>
                      <w:color w:val="auto"/>
                      <w:sz w:val="21"/>
                      <w:szCs w:val="28"/>
                    </w:rPr>
                    <w:t>验收</w:t>
                  </w:r>
                </w:p>
              </w:tc>
              <w:tc>
                <w:tcPr>
                  <w:tcW w:w="745" w:type="pct"/>
                  <w:vAlign w:val="center"/>
                </w:tcPr>
                <w:p w14:paraId="20926682">
                  <w:pPr>
                    <w:pStyle w:val="2"/>
                    <w:jc w:val="center"/>
                    <w:rPr>
                      <w:color w:val="auto"/>
                      <w:sz w:val="21"/>
                      <w:szCs w:val="28"/>
                    </w:rPr>
                  </w:pPr>
                  <w:r>
                    <w:rPr>
                      <w:color w:val="auto"/>
                      <w:sz w:val="21"/>
                      <w:szCs w:val="28"/>
                    </w:rPr>
                    <w:t>排污许可</w:t>
                  </w:r>
                </w:p>
              </w:tc>
              <w:tc>
                <w:tcPr>
                  <w:tcW w:w="1166" w:type="pct"/>
                </w:tcPr>
                <w:p w14:paraId="4B35CC1C">
                  <w:pPr>
                    <w:pStyle w:val="2"/>
                    <w:jc w:val="center"/>
                    <w:rPr>
                      <w:color w:val="auto"/>
                      <w:sz w:val="21"/>
                      <w:szCs w:val="28"/>
                    </w:rPr>
                  </w:pPr>
                  <w:r>
                    <w:rPr>
                      <w:color w:val="auto"/>
                      <w:sz w:val="21"/>
                      <w:szCs w:val="28"/>
                    </w:rPr>
                    <w:t>突发环境事件应急预案</w:t>
                  </w:r>
                </w:p>
              </w:tc>
            </w:tr>
            <w:tr w14:paraId="22B81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trPr>
              <w:tc>
                <w:tcPr>
                  <w:tcW w:w="276" w:type="pct"/>
                  <w:vAlign w:val="center"/>
                </w:tcPr>
                <w:p w14:paraId="70E6E089">
                  <w:pPr>
                    <w:pStyle w:val="2"/>
                    <w:jc w:val="center"/>
                    <w:rPr>
                      <w:color w:val="auto"/>
                      <w:sz w:val="21"/>
                      <w:szCs w:val="28"/>
                    </w:rPr>
                  </w:pPr>
                  <w:r>
                    <w:rPr>
                      <w:color w:val="auto"/>
                      <w:sz w:val="21"/>
                      <w:szCs w:val="28"/>
                    </w:rPr>
                    <w:t>1</w:t>
                  </w:r>
                </w:p>
              </w:tc>
              <w:tc>
                <w:tcPr>
                  <w:tcW w:w="1063" w:type="pct"/>
                  <w:vAlign w:val="center"/>
                </w:tcPr>
                <w:p w14:paraId="0FC0D0E6">
                  <w:pPr>
                    <w:pStyle w:val="2"/>
                    <w:jc w:val="center"/>
                    <w:rPr>
                      <w:color w:val="auto"/>
                      <w:sz w:val="21"/>
                      <w:szCs w:val="28"/>
                    </w:rPr>
                  </w:pPr>
                  <w:r>
                    <w:rPr>
                      <w:color w:val="auto"/>
                      <w:sz w:val="21"/>
                      <w:szCs w:val="28"/>
                    </w:rPr>
                    <w:t>《江川县人民医院门诊、医技楼建设项目环境影响报告书》</w:t>
                  </w:r>
                </w:p>
              </w:tc>
              <w:tc>
                <w:tcPr>
                  <w:tcW w:w="982" w:type="pct"/>
                  <w:vAlign w:val="center"/>
                </w:tcPr>
                <w:p w14:paraId="637F5106">
                  <w:pPr>
                    <w:pStyle w:val="2"/>
                    <w:jc w:val="center"/>
                    <w:rPr>
                      <w:color w:val="auto"/>
                      <w:sz w:val="21"/>
                      <w:szCs w:val="28"/>
                    </w:rPr>
                  </w:pPr>
                  <w:r>
                    <w:rPr>
                      <w:color w:val="auto"/>
                      <w:sz w:val="21"/>
                      <w:szCs w:val="28"/>
                    </w:rPr>
                    <w:t>玉环准许[2009]147号</w:t>
                  </w:r>
                </w:p>
              </w:tc>
              <w:tc>
                <w:tcPr>
                  <w:tcW w:w="764" w:type="pct"/>
                  <w:vAlign w:val="center"/>
                </w:tcPr>
                <w:p w14:paraId="2932D31D">
                  <w:pPr>
                    <w:pStyle w:val="2"/>
                    <w:jc w:val="center"/>
                    <w:rPr>
                      <w:color w:val="auto"/>
                      <w:sz w:val="21"/>
                      <w:szCs w:val="28"/>
                    </w:rPr>
                  </w:pPr>
                  <w:r>
                    <w:rPr>
                      <w:color w:val="auto"/>
                      <w:sz w:val="21"/>
                      <w:szCs w:val="28"/>
                    </w:rPr>
                    <w:t>已进行验收（玉环验2016)53号）</w:t>
                  </w:r>
                </w:p>
              </w:tc>
              <w:tc>
                <w:tcPr>
                  <w:tcW w:w="745" w:type="pct"/>
                  <w:vMerge w:val="restart"/>
                  <w:vAlign w:val="center"/>
                </w:tcPr>
                <w:p w14:paraId="1DABEA5A">
                  <w:pPr>
                    <w:pStyle w:val="2"/>
                    <w:jc w:val="center"/>
                    <w:rPr>
                      <w:color w:val="auto"/>
                      <w:sz w:val="21"/>
                      <w:szCs w:val="28"/>
                    </w:rPr>
                  </w:pPr>
                  <w:r>
                    <w:rPr>
                      <w:color w:val="auto"/>
                      <w:sz w:val="21"/>
                      <w:szCs w:val="28"/>
                    </w:rPr>
                    <w:t>已进行排污许可证申报（排污许可证编号：12530421432007177X001R）</w:t>
                  </w:r>
                </w:p>
              </w:tc>
              <w:tc>
                <w:tcPr>
                  <w:tcW w:w="1166" w:type="pct"/>
                  <w:vMerge w:val="restart"/>
                </w:tcPr>
                <w:p w14:paraId="5EAC01AC">
                  <w:pPr>
                    <w:pStyle w:val="2"/>
                    <w:jc w:val="center"/>
                    <w:rPr>
                      <w:color w:val="auto"/>
                      <w:sz w:val="21"/>
                      <w:szCs w:val="28"/>
                    </w:rPr>
                  </w:pPr>
                  <w:r>
                    <w:rPr>
                      <w:color w:val="auto"/>
                      <w:sz w:val="21"/>
                      <w:szCs w:val="28"/>
                    </w:rPr>
                    <w:t>江川区人民医院突发环境事件应急预案（第二版)（备案编号：5304032020016）</w:t>
                  </w:r>
                </w:p>
              </w:tc>
            </w:tr>
            <w:tr w14:paraId="29385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76" w:type="pct"/>
                  <w:vAlign w:val="center"/>
                </w:tcPr>
                <w:p w14:paraId="25618298">
                  <w:pPr>
                    <w:pStyle w:val="2"/>
                    <w:jc w:val="center"/>
                    <w:rPr>
                      <w:color w:val="auto"/>
                      <w:sz w:val="21"/>
                      <w:szCs w:val="28"/>
                    </w:rPr>
                  </w:pPr>
                  <w:r>
                    <w:rPr>
                      <w:color w:val="auto"/>
                      <w:sz w:val="21"/>
                      <w:szCs w:val="28"/>
                    </w:rPr>
                    <w:t>2</w:t>
                  </w:r>
                </w:p>
              </w:tc>
              <w:tc>
                <w:tcPr>
                  <w:tcW w:w="1063" w:type="pct"/>
                  <w:vAlign w:val="center"/>
                </w:tcPr>
                <w:p w14:paraId="228F334A">
                  <w:pPr>
                    <w:pStyle w:val="2"/>
                    <w:jc w:val="center"/>
                    <w:rPr>
                      <w:color w:val="auto"/>
                      <w:sz w:val="21"/>
                      <w:szCs w:val="28"/>
                    </w:rPr>
                  </w:pPr>
                  <w:r>
                    <w:rPr>
                      <w:color w:val="auto"/>
                      <w:sz w:val="21"/>
                      <w:szCs w:val="28"/>
                    </w:rPr>
                    <w:t>《</w:t>
                  </w:r>
                  <w:r>
                    <w:rPr>
                      <w:rFonts w:hint="eastAsia"/>
                      <w:color w:val="auto"/>
                      <w:sz w:val="21"/>
                      <w:szCs w:val="28"/>
                      <w:lang w:eastAsia="zh-CN"/>
                    </w:rPr>
                    <w:t>玉溪市江川区医共体总医院</w:t>
                  </w:r>
                  <w:r>
                    <w:rPr>
                      <w:color w:val="auto"/>
                      <w:sz w:val="21"/>
                      <w:szCs w:val="28"/>
                    </w:rPr>
                    <w:t>综合住院大楼建设项目环境影响报告书》</w:t>
                  </w:r>
                </w:p>
              </w:tc>
              <w:tc>
                <w:tcPr>
                  <w:tcW w:w="982" w:type="pct"/>
                  <w:vAlign w:val="center"/>
                </w:tcPr>
                <w:p w14:paraId="525E916F">
                  <w:pPr>
                    <w:pStyle w:val="2"/>
                    <w:jc w:val="center"/>
                    <w:rPr>
                      <w:color w:val="auto"/>
                      <w:sz w:val="21"/>
                      <w:szCs w:val="28"/>
                    </w:rPr>
                  </w:pPr>
                  <w:r>
                    <w:rPr>
                      <w:color w:val="auto"/>
                      <w:sz w:val="21"/>
                      <w:szCs w:val="28"/>
                    </w:rPr>
                    <w:t>玉江环审[2017]29号</w:t>
                  </w:r>
                </w:p>
              </w:tc>
              <w:tc>
                <w:tcPr>
                  <w:tcW w:w="764" w:type="pct"/>
                  <w:vAlign w:val="center"/>
                </w:tcPr>
                <w:p w14:paraId="4FD7989F">
                  <w:pPr>
                    <w:pStyle w:val="2"/>
                    <w:jc w:val="center"/>
                    <w:rPr>
                      <w:color w:val="auto"/>
                      <w:sz w:val="21"/>
                      <w:szCs w:val="28"/>
                    </w:rPr>
                  </w:pPr>
                  <w:r>
                    <w:rPr>
                      <w:color w:val="auto"/>
                      <w:sz w:val="21"/>
                      <w:szCs w:val="28"/>
                    </w:rPr>
                    <w:t>未开工建设</w:t>
                  </w:r>
                </w:p>
              </w:tc>
              <w:tc>
                <w:tcPr>
                  <w:tcW w:w="745" w:type="pct"/>
                  <w:vMerge w:val="continue"/>
                  <w:vAlign w:val="center"/>
                </w:tcPr>
                <w:p w14:paraId="67A08F05">
                  <w:pPr>
                    <w:pStyle w:val="2"/>
                    <w:jc w:val="center"/>
                    <w:rPr>
                      <w:color w:val="auto"/>
                      <w:sz w:val="21"/>
                      <w:szCs w:val="28"/>
                    </w:rPr>
                  </w:pPr>
                </w:p>
              </w:tc>
              <w:tc>
                <w:tcPr>
                  <w:tcW w:w="1166" w:type="pct"/>
                  <w:vMerge w:val="continue"/>
                </w:tcPr>
                <w:p w14:paraId="03C65C19">
                  <w:pPr>
                    <w:pStyle w:val="2"/>
                    <w:jc w:val="center"/>
                    <w:rPr>
                      <w:color w:val="auto"/>
                      <w:sz w:val="21"/>
                      <w:szCs w:val="28"/>
                    </w:rPr>
                  </w:pPr>
                </w:p>
              </w:tc>
            </w:tr>
            <w:tr w14:paraId="1BA14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76" w:type="pct"/>
                  <w:vAlign w:val="center"/>
                </w:tcPr>
                <w:p w14:paraId="5CBF1A32">
                  <w:pPr>
                    <w:pStyle w:val="2"/>
                    <w:jc w:val="center"/>
                    <w:rPr>
                      <w:rFonts w:hint="eastAsia" w:eastAsia="宋体"/>
                      <w:color w:val="auto"/>
                      <w:sz w:val="21"/>
                      <w:szCs w:val="28"/>
                      <w:lang w:val="en-US" w:eastAsia="zh-CN"/>
                    </w:rPr>
                  </w:pPr>
                  <w:r>
                    <w:rPr>
                      <w:rFonts w:hint="eastAsia"/>
                      <w:color w:val="auto"/>
                      <w:sz w:val="21"/>
                      <w:szCs w:val="28"/>
                      <w:lang w:val="en-US" w:eastAsia="zh-CN"/>
                    </w:rPr>
                    <w:t>3</w:t>
                  </w:r>
                </w:p>
              </w:tc>
              <w:tc>
                <w:tcPr>
                  <w:tcW w:w="1063" w:type="pct"/>
                  <w:vAlign w:val="center"/>
                </w:tcPr>
                <w:p w14:paraId="192A4F72">
                  <w:pPr>
                    <w:pStyle w:val="2"/>
                    <w:jc w:val="center"/>
                    <w:rPr>
                      <w:rFonts w:hint="eastAsia" w:eastAsia="宋体"/>
                      <w:color w:val="auto"/>
                      <w:sz w:val="21"/>
                      <w:szCs w:val="28"/>
                      <w:lang w:eastAsia="zh-CN"/>
                    </w:rPr>
                  </w:pPr>
                  <w:r>
                    <w:rPr>
                      <w:rFonts w:hint="eastAsia"/>
                      <w:color w:val="auto"/>
                      <w:sz w:val="21"/>
                      <w:szCs w:val="28"/>
                      <w:lang w:eastAsia="zh-CN"/>
                    </w:rPr>
                    <w:t>《</w:t>
                  </w:r>
                  <w:r>
                    <w:rPr>
                      <w:color w:val="auto"/>
                      <w:sz w:val="21"/>
                      <w:szCs w:val="28"/>
                    </w:rPr>
                    <w:t>玉溪市江川区人民医院综合住院楼建设项目</w:t>
                  </w:r>
                  <w:r>
                    <w:rPr>
                      <w:rFonts w:hint="eastAsia"/>
                      <w:color w:val="auto"/>
                      <w:sz w:val="21"/>
                      <w:szCs w:val="28"/>
                      <w:lang w:val="en-US" w:eastAsia="zh-CN"/>
                    </w:rPr>
                    <w:t>环境影响报告表</w:t>
                  </w:r>
                  <w:r>
                    <w:rPr>
                      <w:rFonts w:hint="eastAsia"/>
                      <w:color w:val="auto"/>
                      <w:sz w:val="21"/>
                      <w:szCs w:val="28"/>
                      <w:lang w:eastAsia="zh-CN"/>
                    </w:rPr>
                    <w:t>》</w:t>
                  </w:r>
                </w:p>
              </w:tc>
              <w:tc>
                <w:tcPr>
                  <w:tcW w:w="982" w:type="pct"/>
                  <w:vAlign w:val="center"/>
                </w:tcPr>
                <w:p w14:paraId="5D21194E">
                  <w:pPr>
                    <w:pStyle w:val="2"/>
                    <w:jc w:val="center"/>
                    <w:rPr>
                      <w:rFonts w:hint="default" w:eastAsia="宋体"/>
                      <w:color w:val="auto"/>
                      <w:sz w:val="21"/>
                      <w:szCs w:val="28"/>
                      <w:lang w:val="en-US" w:eastAsia="zh-CN"/>
                    </w:rPr>
                  </w:pPr>
                  <w:r>
                    <w:rPr>
                      <w:rFonts w:hint="eastAsia"/>
                      <w:color w:val="auto"/>
                      <w:sz w:val="21"/>
                      <w:szCs w:val="28"/>
                      <w:lang w:val="en-US" w:eastAsia="zh-CN"/>
                    </w:rPr>
                    <w:t>玉环江审【2023】15号</w:t>
                  </w:r>
                </w:p>
              </w:tc>
              <w:tc>
                <w:tcPr>
                  <w:tcW w:w="764" w:type="pct"/>
                  <w:vAlign w:val="center"/>
                </w:tcPr>
                <w:p w14:paraId="39BE8DAC">
                  <w:pPr>
                    <w:pStyle w:val="2"/>
                    <w:jc w:val="center"/>
                    <w:rPr>
                      <w:rFonts w:hint="default" w:eastAsia="宋体"/>
                      <w:color w:val="auto"/>
                      <w:sz w:val="21"/>
                      <w:szCs w:val="28"/>
                      <w:lang w:val="en-US" w:eastAsia="zh-CN"/>
                    </w:rPr>
                  </w:pPr>
                  <w:r>
                    <w:rPr>
                      <w:rFonts w:hint="eastAsia"/>
                      <w:color w:val="auto"/>
                      <w:sz w:val="21"/>
                      <w:szCs w:val="28"/>
                      <w:highlight w:val="none"/>
                      <w:lang w:val="en-US" w:eastAsia="zh-CN"/>
                    </w:rPr>
                    <w:t>已进行自主验收</w:t>
                  </w:r>
                </w:p>
              </w:tc>
              <w:tc>
                <w:tcPr>
                  <w:tcW w:w="745" w:type="pct"/>
                  <w:vMerge w:val="continue"/>
                  <w:vAlign w:val="center"/>
                </w:tcPr>
                <w:p w14:paraId="0BBA9213">
                  <w:pPr>
                    <w:pStyle w:val="2"/>
                    <w:jc w:val="center"/>
                    <w:rPr>
                      <w:color w:val="auto"/>
                      <w:sz w:val="21"/>
                      <w:szCs w:val="28"/>
                    </w:rPr>
                  </w:pPr>
                </w:p>
              </w:tc>
              <w:tc>
                <w:tcPr>
                  <w:tcW w:w="1166" w:type="pct"/>
                  <w:vMerge w:val="continue"/>
                </w:tcPr>
                <w:p w14:paraId="63994DE8">
                  <w:pPr>
                    <w:pStyle w:val="2"/>
                    <w:jc w:val="center"/>
                    <w:rPr>
                      <w:color w:val="auto"/>
                      <w:sz w:val="21"/>
                      <w:szCs w:val="28"/>
                    </w:rPr>
                  </w:pPr>
                </w:p>
              </w:tc>
            </w:tr>
          </w:tbl>
          <w:p w14:paraId="55264817">
            <w:pPr>
              <w:pStyle w:val="2"/>
              <w:jc w:val="center"/>
              <w:rPr>
                <w:color w:val="auto"/>
                <w:sz w:val="21"/>
                <w:szCs w:val="28"/>
              </w:rPr>
            </w:pPr>
            <w:r>
              <w:rPr>
                <w:b/>
                <w:bCs/>
                <w:color w:val="auto"/>
                <w:sz w:val="21"/>
                <w:szCs w:val="28"/>
              </w:rPr>
              <w:t>表2-</w:t>
            </w:r>
            <w:r>
              <w:rPr>
                <w:rFonts w:hint="eastAsia"/>
                <w:b/>
                <w:color w:val="auto"/>
                <w:kern w:val="2"/>
                <w:sz w:val="21"/>
                <w:szCs w:val="21"/>
                <w:lang w:val="en-US" w:eastAsia="zh-CN"/>
              </w:rPr>
              <w:t>15江城镇卫生院</w:t>
            </w:r>
            <w:r>
              <w:rPr>
                <w:b/>
                <w:bCs/>
                <w:color w:val="auto"/>
                <w:sz w:val="21"/>
                <w:szCs w:val="28"/>
              </w:rPr>
              <w:t>现有项目环评、验收、应急预案和排污许可手续一览表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2"/>
              <w:gridCol w:w="1641"/>
              <w:gridCol w:w="968"/>
              <w:gridCol w:w="1226"/>
              <w:gridCol w:w="1589"/>
              <w:gridCol w:w="1735"/>
            </w:tblGrid>
            <w:tr w14:paraId="26BD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72" w:type="pct"/>
                  <w:vAlign w:val="center"/>
                </w:tcPr>
                <w:p w14:paraId="48F73436">
                  <w:pPr>
                    <w:pStyle w:val="2"/>
                    <w:jc w:val="center"/>
                    <w:rPr>
                      <w:color w:val="auto"/>
                      <w:sz w:val="21"/>
                      <w:szCs w:val="28"/>
                    </w:rPr>
                  </w:pPr>
                  <w:r>
                    <w:rPr>
                      <w:color w:val="auto"/>
                      <w:sz w:val="21"/>
                      <w:szCs w:val="28"/>
                    </w:rPr>
                    <w:t>序号</w:t>
                  </w:r>
                </w:p>
              </w:tc>
              <w:tc>
                <w:tcPr>
                  <w:tcW w:w="1083" w:type="pct"/>
                  <w:vAlign w:val="center"/>
                </w:tcPr>
                <w:p w14:paraId="72F80261">
                  <w:pPr>
                    <w:pStyle w:val="2"/>
                    <w:jc w:val="center"/>
                    <w:rPr>
                      <w:color w:val="auto"/>
                      <w:sz w:val="21"/>
                      <w:szCs w:val="28"/>
                    </w:rPr>
                  </w:pPr>
                  <w:r>
                    <w:rPr>
                      <w:color w:val="auto"/>
                      <w:sz w:val="21"/>
                      <w:szCs w:val="28"/>
                    </w:rPr>
                    <w:t>项目</w:t>
                  </w:r>
                </w:p>
              </w:tc>
              <w:tc>
                <w:tcPr>
                  <w:tcW w:w="639" w:type="pct"/>
                  <w:vAlign w:val="center"/>
                </w:tcPr>
                <w:p w14:paraId="2EFD217D">
                  <w:pPr>
                    <w:pStyle w:val="2"/>
                    <w:jc w:val="center"/>
                    <w:rPr>
                      <w:color w:val="auto"/>
                      <w:sz w:val="21"/>
                      <w:szCs w:val="28"/>
                    </w:rPr>
                  </w:pPr>
                  <w:r>
                    <w:rPr>
                      <w:color w:val="auto"/>
                      <w:sz w:val="21"/>
                      <w:szCs w:val="28"/>
                    </w:rPr>
                    <w:t>批复情况</w:t>
                  </w:r>
                </w:p>
              </w:tc>
              <w:tc>
                <w:tcPr>
                  <w:tcW w:w="809" w:type="pct"/>
                  <w:vAlign w:val="center"/>
                </w:tcPr>
                <w:p w14:paraId="79E120B6">
                  <w:pPr>
                    <w:pStyle w:val="2"/>
                    <w:jc w:val="center"/>
                    <w:rPr>
                      <w:color w:val="auto"/>
                      <w:sz w:val="21"/>
                      <w:szCs w:val="28"/>
                    </w:rPr>
                  </w:pPr>
                  <w:r>
                    <w:rPr>
                      <w:color w:val="auto"/>
                      <w:sz w:val="21"/>
                      <w:szCs w:val="28"/>
                    </w:rPr>
                    <w:t>验收</w:t>
                  </w:r>
                </w:p>
              </w:tc>
              <w:tc>
                <w:tcPr>
                  <w:tcW w:w="1049" w:type="pct"/>
                  <w:vAlign w:val="center"/>
                </w:tcPr>
                <w:p w14:paraId="389D9616">
                  <w:pPr>
                    <w:pStyle w:val="2"/>
                    <w:jc w:val="center"/>
                    <w:rPr>
                      <w:color w:val="auto"/>
                      <w:sz w:val="21"/>
                      <w:szCs w:val="28"/>
                    </w:rPr>
                  </w:pPr>
                  <w:r>
                    <w:rPr>
                      <w:color w:val="auto"/>
                      <w:sz w:val="21"/>
                      <w:szCs w:val="28"/>
                    </w:rPr>
                    <w:t>排污许可</w:t>
                  </w:r>
                </w:p>
              </w:tc>
              <w:tc>
                <w:tcPr>
                  <w:tcW w:w="1145" w:type="pct"/>
                </w:tcPr>
                <w:p w14:paraId="6733B6C6">
                  <w:pPr>
                    <w:pStyle w:val="2"/>
                    <w:jc w:val="center"/>
                    <w:rPr>
                      <w:color w:val="auto"/>
                      <w:sz w:val="21"/>
                      <w:szCs w:val="28"/>
                    </w:rPr>
                  </w:pPr>
                  <w:r>
                    <w:rPr>
                      <w:color w:val="auto"/>
                      <w:sz w:val="21"/>
                      <w:szCs w:val="28"/>
                    </w:rPr>
                    <w:t>突发环境事件应急预案</w:t>
                  </w:r>
                </w:p>
              </w:tc>
            </w:tr>
            <w:tr w14:paraId="1373F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72" w:type="pct"/>
                  <w:vAlign w:val="center"/>
                </w:tcPr>
                <w:p w14:paraId="4CE893E0">
                  <w:pPr>
                    <w:pStyle w:val="2"/>
                    <w:jc w:val="center"/>
                    <w:rPr>
                      <w:rFonts w:hint="default"/>
                      <w:color w:val="auto"/>
                      <w:sz w:val="21"/>
                      <w:szCs w:val="28"/>
                      <w:lang w:val="en-US" w:eastAsia="zh-CN"/>
                    </w:rPr>
                  </w:pPr>
                  <w:r>
                    <w:rPr>
                      <w:rFonts w:hint="eastAsia"/>
                      <w:color w:val="auto"/>
                      <w:sz w:val="21"/>
                      <w:szCs w:val="28"/>
                      <w:lang w:val="en-US" w:eastAsia="zh-CN"/>
                    </w:rPr>
                    <w:t>1</w:t>
                  </w:r>
                </w:p>
              </w:tc>
              <w:tc>
                <w:tcPr>
                  <w:tcW w:w="1083" w:type="pct"/>
                  <w:vAlign w:val="center"/>
                </w:tcPr>
                <w:p w14:paraId="48932EB3">
                  <w:pPr>
                    <w:pStyle w:val="2"/>
                    <w:jc w:val="center"/>
                    <w:rPr>
                      <w:rFonts w:hint="eastAsia"/>
                      <w:color w:val="auto"/>
                      <w:sz w:val="21"/>
                      <w:szCs w:val="28"/>
                      <w:lang w:eastAsia="zh-CN"/>
                    </w:rPr>
                  </w:pPr>
                  <w:r>
                    <w:rPr>
                      <w:rFonts w:hint="eastAsia"/>
                      <w:color w:val="auto"/>
                      <w:sz w:val="21"/>
                      <w:szCs w:val="28"/>
                      <w:lang w:eastAsia="zh-CN"/>
                    </w:rPr>
                    <w:t>《江川县江城镇中心卫生院业务用房项目》</w:t>
                  </w:r>
                </w:p>
              </w:tc>
              <w:tc>
                <w:tcPr>
                  <w:tcW w:w="639" w:type="pct"/>
                  <w:vAlign w:val="center"/>
                </w:tcPr>
                <w:p w14:paraId="79EBCCD1">
                  <w:pPr>
                    <w:pStyle w:val="2"/>
                    <w:jc w:val="center"/>
                    <w:rPr>
                      <w:rFonts w:hint="eastAsia"/>
                      <w:color w:val="auto"/>
                      <w:sz w:val="21"/>
                      <w:szCs w:val="28"/>
                      <w:lang w:val="en-US" w:eastAsia="zh-CN"/>
                    </w:rPr>
                  </w:pPr>
                  <w:r>
                    <w:rPr>
                      <w:rFonts w:hint="eastAsia"/>
                      <w:color w:val="auto"/>
                      <w:sz w:val="21"/>
                      <w:szCs w:val="28"/>
                      <w:lang w:val="en-US" w:eastAsia="zh-CN"/>
                    </w:rPr>
                    <w:t>江川县环境保护局、江环审〔2014〕3号</w:t>
                  </w:r>
                </w:p>
              </w:tc>
              <w:tc>
                <w:tcPr>
                  <w:tcW w:w="809" w:type="pct"/>
                  <w:vAlign w:val="center"/>
                </w:tcPr>
                <w:p w14:paraId="79DACB0C">
                  <w:pPr>
                    <w:pStyle w:val="2"/>
                    <w:jc w:val="center"/>
                    <w:rPr>
                      <w:rFonts w:hint="eastAsia"/>
                      <w:color w:val="auto"/>
                      <w:sz w:val="21"/>
                      <w:szCs w:val="28"/>
                      <w:highlight w:val="yellow"/>
                      <w:lang w:val="en-US" w:eastAsia="zh-CN"/>
                    </w:rPr>
                  </w:pPr>
                  <w:r>
                    <w:rPr>
                      <w:rFonts w:hint="eastAsia"/>
                      <w:color w:val="auto"/>
                      <w:sz w:val="21"/>
                      <w:szCs w:val="28"/>
                      <w:lang w:val="en-US" w:eastAsia="zh-CN"/>
                    </w:rPr>
                    <w:t>玉江环验〔2016〕12号</w:t>
                  </w:r>
                </w:p>
              </w:tc>
              <w:tc>
                <w:tcPr>
                  <w:tcW w:w="1049" w:type="pct"/>
                  <w:vAlign w:val="center"/>
                </w:tcPr>
                <w:p w14:paraId="7F03823C">
                  <w:pPr>
                    <w:pStyle w:val="2"/>
                    <w:jc w:val="center"/>
                    <w:rPr>
                      <w:rFonts w:hint="eastAsia" w:eastAsia="宋体"/>
                      <w:color w:val="auto"/>
                      <w:sz w:val="21"/>
                      <w:szCs w:val="28"/>
                      <w:lang w:val="en-US" w:eastAsia="zh-CN"/>
                    </w:rPr>
                  </w:pPr>
                  <w:r>
                    <w:rPr>
                      <w:rFonts w:hint="eastAsia"/>
                      <w:color w:val="auto"/>
                      <w:sz w:val="21"/>
                      <w:szCs w:val="28"/>
                      <w:lang w:val="en-US" w:eastAsia="zh-CN"/>
                    </w:rPr>
                    <w:t>/</w:t>
                  </w:r>
                </w:p>
              </w:tc>
              <w:tc>
                <w:tcPr>
                  <w:tcW w:w="1145" w:type="pct"/>
                  <w:vAlign w:val="center"/>
                </w:tcPr>
                <w:p w14:paraId="6A6D0389">
                  <w:pPr>
                    <w:pStyle w:val="2"/>
                    <w:jc w:val="center"/>
                    <w:rPr>
                      <w:rFonts w:hint="eastAsia" w:eastAsia="宋体"/>
                      <w:color w:val="auto"/>
                      <w:sz w:val="21"/>
                      <w:szCs w:val="28"/>
                      <w:lang w:val="en-US" w:eastAsia="zh-CN"/>
                    </w:rPr>
                  </w:pPr>
                  <w:r>
                    <w:rPr>
                      <w:rFonts w:hint="eastAsia"/>
                      <w:color w:val="auto"/>
                      <w:sz w:val="21"/>
                      <w:szCs w:val="28"/>
                      <w:lang w:val="en-US" w:eastAsia="zh-CN"/>
                    </w:rPr>
                    <w:t>/</w:t>
                  </w:r>
                </w:p>
              </w:tc>
            </w:tr>
          </w:tbl>
          <w:p w14:paraId="3C45222C">
            <w:pPr>
              <w:pStyle w:val="34"/>
              <w:ind w:firstLine="482"/>
              <w:rPr>
                <w:b/>
                <w:bCs/>
                <w:color w:val="auto"/>
                <w:highlight w:val="none"/>
              </w:rPr>
            </w:pPr>
          </w:p>
          <w:p w14:paraId="66F23FDE">
            <w:pPr>
              <w:pStyle w:val="34"/>
              <w:ind w:firstLine="482"/>
              <w:rPr>
                <w:b/>
                <w:bCs/>
                <w:color w:val="auto"/>
                <w:highlight w:val="none"/>
              </w:rPr>
            </w:pPr>
            <w:r>
              <w:rPr>
                <w:b/>
                <w:bCs/>
                <w:color w:val="auto"/>
                <w:highlight w:val="none"/>
              </w:rPr>
              <w:t>2、现有工程污染物排放达标情况</w:t>
            </w:r>
          </w:p>
          <w:p w14:paraId="033A5A78">
            <w:pPr>
              <w:pStyle w:val="34"/>
              <w:ind w:firstLine="480"/>
              <w:rPr>
                <w:rFonts w:hint="default" w:eastAsia="宋体"/>
                <w:b/>
                <w:bCs/>
                <w:color w:val="auto"/>
                <w:highlight w:val="none"/>
                <w:lang w:val="en-US" w:eastAsia="zh-CN"/>
              </w:rPr>
            </w:pPr>
            <w:r>
              <w:rPr>
                <w:rFonts w:hint="eastAsia"/>
                <w:b/>
                <w:bCs/>
                <w:color w:val="auto"/>
                <w:highlight w:val="none"/>
                <w:lang w:val="en-US" w:eastAsia="zh-CN"/>
              </w:rPr>
              <w:t>江川区医共体总院：</w:t>
            </w:r>
          </w:p>
          <w:p w14:paraId="6ECBD578">
            <w:pPr>
              <w:pStyle w:val="34"/>
              <w:ind w:firstLine="480"/>
              <w:rPr>
                <w:color w:val="auto"/>
                <w:highlight w:val="none"/>
              </w:rPr>
            </w:pPr>
            <w:r>
              <w:rPr>
                <w:color w:val="auto"/>
                <w:highlight w:val="none"/>
              </w:rPr>
              <w:t>（1）废气</w:t>
            </w:r>
          </w:p>
          <w:p w14:paraId="17610E20">
            <w:pPr>
              <w:pStyle w:val="34"/>
              <w:ind w:firstLine="480"/>
              <w:rPr>
                <w:color w:val="auto"/>
                <w:highlight w:val="none"/>
              </w:rPr>
            </w:pPr>
            <w:r>
              <w:rPr>
                <w:color w:val="auto"/>
                <w:highlight w:val="none"/>
              </w:rPr>
              <w:t>原项目废气主要来源为污水处理站运行过程中产生的硫化氢和氨</w:t>
            </w:r>
            <w:r>
              <w:rPr>
                <w:rFonts w:hint="eastAsia"/>
                <w:color w:val="auto"/>
                <w:highlight w:val="none"/>
                <w:lang w:val="en-US" w:eastAsia="zh-CN"/>
              </w:rPr>
              <w:t>等</w:t>
            </w:r>
            <w:r>
              <w:rPr>
                <w:color w:val="auto"/>
                <w:highlight w:val="none"/>
              </w:rPr>
              <w:t>。根据《江川区人民医院</w:t>
            </w:r>
            <w:r>
              <w:rPr>
                <w:rFonts w:hint="eastAsia"/>
                <w:color w:val="auto"/>
                <w:highlight w:val="none"/>
                <w:lang w:val="en-US" w:eastAsia="zh-CN"/>
              </w:rPr>
              <w:t>2025</w:t>
            </w:r>
            <w:r>
              <w:rPr>
                <w:color w:val="auto"/>
                <w:highlight w:val="none"/>
              </w:rPr>
              <w:t>年自行监测（四季度）》中对污水处理站周界的监测结果。</w:t>
            </w:r>
          </w:p>
          <w:p w14:paraId="3D582671">
            <w:pPr>
              <w:pStyle w:val="34"/>
              <w:ind w:firstLine="422"/>
              <w:jc w:val="center"/>
              <w:rPr>
                <w:b/>
                <w:bCs/>
                <w:color w:val="auto"/>
              </w:rPr>
            </w:pPr>
            <w:r>
              <w:rPr>
                <w:b/>
                <w:bCs/>
                <w:color w:val="auto"/>
                <w:sz w:val="21"/>
                <w:szCs w:val="28"/>
              </w:rPr>
              <w:t>表2-</w:t>
            </w:r>
            <w:r>
              <w:rPr>
                <w:rFonts w:hint="eastAsia"/>
                <w:b/>
                <w:bCs/>
                <w:color w:val="auto"/>
                <w:sz w:val="21"/>
                <w:szCs w:val="28"/>
                <w:lang w:val="en-US" w:eastAsia="zh-CN"/>
              </w:rPr>
              <w:t>16</w:t>
            </w:r>
            <w:r>
              <w:rPr>
                <w:b/>
                <w:bCs/>
                <w:color w:val="auto"/>
                <w:sz w:val="21"/>
                <w:szCs w:val="28"/>
              </w:rPr>
              <w:t>现有工程废气检测结果</w:t>
            </w:r>
            <w:r>
              <w:rPr>
                <w:b/>
                <w:bCs/>
                <w:color w:val="auto"/>
                <w:sz w:val="21"/>
                <w:szCs w:val="21"/>
              </w:rPr>
              <w:t>mg/m</w:t>
            </w:r>
            <w:r>
              <w:rPr>
                <w:b/>
                <w:bCs/>
                <w:color w:val="auto"/>
                <w:sz w:val="21"/>
                <w:szCs w:val="21"/>
                <w:vertAlign w:val="superscript"/>
              </w:rPr>
              <w:t>3</w:t>
            </w:r>
          </w:p>
          <w:tbl>
            <w:tblPr>
              <w:tblStyle w:val="20"/>
              <w:tblW w:w="76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849"/>
              <w:gridCol w:w="851"/>
              <w:gridCol w:w="1135"/>
              <w:gridCol w:w="687"/>
              <w:gridCol w:w="728"/>
              <w:gridCol w:w="690"/>
              <w:gridCol w:w="1015"/>
              <w:gridCol w:w="850"/>
            </w:tblGrid>
            <w:tr w14:paraId="5FF4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849" w:type="dxa"/>
                  <w:vAlign w:val="center"/>
                </w:tcPr>
                <w:p w14:paraId="12C99B64">
                  <w:pPr>
                    <w:pStyle w:val="34"/>
                    <w:spacing w:line="240" w:lineRule="auto"/>
                    <w:ind w:firstLine="0" w:firstLineChars="0"/>
                    <w:jc w:val="center"/>
                    <w:rPr>
                      <w:color w:val="auto"/>
                      <w:sz w:val="18"/>
                      <w:szCs w:val="18"/>
                    </w:rPr>
                  </w:pPr>
                  <w:r>
                    <w:rPr>
                      <w:color w:val="auto"/>
                      <w:sz w:val="18"/>
                      <w:szCs w:val="18"/>
                    </w:rPr>
                    <w:t>检测点位</w:t>
                  </w:r>
                </w:p>
              </w:tc>
              <w:tc>
                <w:tcPr>
                  <w:tcW w:w="1700" w:type="dxa"/>
                  <w:gridSpan w:val="2"/>
                  <w:vAlign w:val="center"/>
                </w:tcPr>
                <w:p w14:paraId="49BB7F19">
                  <w:pPr>
                    <w:pStyle w:val="34"/>
                    <w:spacing w:line="240" w:lineRule="auto"/>
                    <w:ind w:firstLine="0" w:firstLineChars="0"/>
                    <w:jc w:val="center"/>
                    <w:rPr>
                      <w:color w:val="auto"/>
                      <w:sz w:val="18"/>
                      <w:szCs w:val="18"/>
                    </w:rPr>
                  </w:pPr>
                  <w:r>
                    <w:rPr>
                      <w:color w:val="auto"/>
                      <w:sz w:val="18"/>
                      <w:szCs w:val="18"/>
                    </w:rPr>
                    <w:t>采样时间</w:t>
                  </w:r>
                </w:p>
              </w:tc>
              <w:tc>
                <w:tcPr>
                  <w:tcW w:w="1135" w:type="dxa"/>
                  <w:vAlign w:val="center"/>
                </w:tcPr>
                <w:p w14:paraId="0E858E19">
                  <w:pPr>
                    <w:pStyle w:val="34"/>
                    <w:spacing w:line="240" w:lineRule="auto"/>
                    <w:ind w:firstLine="0" w:firstLineChars="0"/>
                    <w:jc w:val="center"/>
                    <w:rPr>
                      <w:color w:val="auto"/>
                      <w:sz w:val="18"/>
                      <w:szCs w:val="18"/>
                    </w:rPr>
                  </w:pPr>
                  <w:r>
                    <w:rPr>
                      <w:color w:val="auto"/>
                      <w:sz w:val="18"/>
                      <w:szCs w:val="18"/>
                    </w:rPr>
                    <w:t>样品编号</w:t>
                  </w:r>
                </w:p>
              </w:tc>
              <w:tc>
                <w:tcPr>
                  <w:tcW w:w="687" w:type="dxa"/>
                  <w:vAlign w:val="center"/>
                </w:tcPr>
                <w:p w14:paraId="3EE87251">
                  <w:pPr>
                    <w:pStyle w:val="34"/>
                    <w:spacing w:line="240" w:lineRule="auto"/>
                    <w:ind w:firstLine="0" w:firstLineChars="0"/>
                    <w:jc w:val="center"/>
                    <w:rPr>
                      <w:color w:val="auto"/>
                      <w:sz w:val="18"/>
                      <w:szCs w:val="18"/>
                    </w:rPr>
                  </w:pPr>
                  <w:r>
                    <w:rPr>
                      <w:color w:val="auto"/>
                      <w:sz w:val="18"/>
                      <w:szCs w:val="18"/>
                    </w:rPr>
                    <w:t>氨</w:t>
                  </w:r>
                </w:p>
              </w:tc>
              <w:tc>
                <w:tcPr>
                  <w:tcW w:w="728" w:type="dxa"/>
                  <w:vAlign w:val="center"/>
                </w:tcPr>
                <w:p w14:paraId="34B87105">
                  <w:pPr>
                    <w:pStyle w:val="34"/>
                    <w:spacing w:line="240" w:lineRule="auto"/>
                    <w:ind w:firstLine="0" w:firstLineChars="0"/>
                    <w:jc w:val="center"/>
                    <w:rPr>
                      <w:color w:val="auto"/>
                      <w:sz w:val="18"/>
                      <w:szCs w:val="18"/>
                    </w:rPr>
                  </w:pPr>
                  <w:r>
                    <w:rPr>
                      <w:color w:val="auto"/>
                      <w:sz w:val="18"/>
                      <w:szCs w:val="18"/>
                    </w:rPr>
                    <w:t>氯气</w:t>
                  </w:r>
                </w:p>
              </w:tc>
              <w:tc>
                <w:tcPr>
                  <w:tcW w:w="690" w:type="dxa"/>
                  <w:vAlign w:val="center"/>
                </w:tcPr>
                <w:p w14:paraId="1CCF5BBC">
                  <w:pPr>
                    <w:pStyle w:val="34"/>
                    <w:spacing w:line="240" w:lineRule="auto"/>
                    <w:ind w:firstLine="0" w:firstLineChars="0"/>
                    <w:jc w:val="center"/>
                    <w:rPr>
                      <w:color w:val="auto"/>
                      <w:sz w:val="18"/>
                      <w:szCs w:val="18"/>
                    </w:rPr>
                  </w:pPr>
                  <w:r>
                    <w:rPr>
                      <w:color w:val="auto"/>
                      <w:sz w:val="18"/>
                      <w:szCs w:val="18"/>
                    </w:rPr>
                    <w:t>臭气浓度</w:t>
                  </w:r>
                </w:p>
              </w:tc>
              <w:tc>
                <w:tcPr>
                  <w:tcW w:w="1015" w:type="dxa"/>
                  <w:vAlign w:val="center"/>
                </w:tcPr>
                <w:p w14:paraId="290605C4">
                  <w:pPr>
                    <w:pStyle w:val="34"/>
                    <w:spacing w:line="240" w:lineRule="auto"/>
                    <w:ind w:firstLine="0" w:firstLineChars="0"/>
                    <w:jc w:val="center"/>
                    <w:rPr>
                      <w:color w:val="auto"/>
                      <w:sz w:val="18"/>
                      <w:szCs w:val="18"/>
                    </w:rPr>
                  </w:pPr>
                  <w:r>
                    <w:rPr>
                      <w:color w:val="auto"/>
                      <w:sz w:val="18"/>
                      <w:szCs w:val="18"/>
                    </w:rPr>
                    <w:t>甲烷</w:t>
                  </w:r>
                </w:p>
              </w:tc>
              <w:tc>
                <w:tcPr>
                  <w:tcW w:w="850" w:type="dxa"/>
                  <w:vAlign w:val="center"/>
                </w:tcPr>
                <w:p w14:paraId="3775CA5A">
                  <w:pPr>
                    <w:pStyle w:val="34"/>
                    <w:spacing w:line="240" w:lineRule="auto"/>
                    <w:ind w:firstLine="0" w:firstLineChars="0"/>
                    <w:jc w:val="center"/>
                    <w:rPr>
                      <w:color w:val="auto"/>
                      <w:sz w:val="18"/>
                      <w:szCs w:val="18"/>
                    </w:rPr>
                  </w:pPr>
                  <w:r>
                    <w:rPr>
                      <w:color w:val="auto"/>
                      <w:sz w:val="18"/>
                      <w:szCs w:val="18"/>
                    </w:rPr>
                    <w:t>硫化氢</w:t>
                  </w:r>
                </w:p>
              </w:tc>
            </w:tr>
            <w:tr w14:paraId="5271A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49" w:type="dxa"/>
                  <w:vMerge w:val="restart"/>
                  <w:vAlign w:val="center"/>
                </w:tcPr>
                <w:p w14:paraId="41FE43DD">
                  <w:pPr>
                    <w:pStyle w:val="34"/>
                    <w:spacing w:line="240" w:lineRule="auto"/>
                    <w:ind w:firstLine="0" w:firstLineChars="0"/>
                    <w:jc w:val="center"/>
                    <w:rPr>
                      <w:color w:val="auto"/>
                      <w:sz w:val="18"/>
                      <w:szCs w:val="18"/>
                    </w:rPr>
                  </w:pPr>
                  <w:r>
                    <w:rPr>
                      <w:color w:val="auto"/>
                      <w:sz w:val="18"/>
                      <w:szCs w:val="18"/>
                    </w:rPr>
                    <w:t>污水处理站周界上风向1</w:t>
                  </w:r>
                </w:p>
              </w:tc>
              <w:tc>
                <w:tcPr>
                  <w:tcW w:w="849" w:type="dxa"/>
                  <w:vMerge w:val="restart"/>
                  <w:vAlign w:val="center"/>
                </w:tcPr>
                <w:p w14:paraId="344292EE">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2025.12.13</w:t>
                  </w:r>
                </w:p>
              </w:tc>
              <w:tc>
                <w:tcPr>
                  <w:tcW w:w="851" w:type="dxa"/>
                  <w:vAlign w:val="center"/>
                </w:tcPr>
                <w:p w14:paraId="2B37377E">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rPr>
                    <w:t>14:0</w:t>
                  </w:r>
                  <w:r>
                    <w:rPr>
                      <w:rFonts w:hint="eastAsia"/>
                      <w:color w:val="auto"/>
                      <w:sz w:val="18"/>
                      <w:szCs w:val="18"/>
                      <w:lang w:val="en-US" w:eastAsia="zh-CN"/>
                    </w:rPr>
                    <w:t>0-15:00</w:t>
                  </w:r>
                </w:p>
              </w:tc>
              <w:tc>
                <w:tcPr>
                  <w:tcW w:w="1135" w:type="dxa"/>
                  <w:vAlign w:val="center"/>
                </w:tcPr>
                <w:p w14:paraId="3509AB97">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18"/>
                      <w:szCs w:val="18"/>
                      <w:lang w:val="en-US" w:eastAsia="zh-CN"/>
                    </w:rPr>
                  </w:pPr>
                  <w:r>
                    <w:rPr>
                      <w:rFonts w:hint="eastAsia"/>
                      <w:color w:val="auto"/>
                      <w:sz w:val="18"/>
                      <w:szCs w:val="18"/>
                    </w:rPr>
                    <w:t>251223N2-01</w:t>
                  </w:r>
                  <w:r>
                    <w:rPr>
                      <w:rFonts w:hint="eastAsia"/>
                      <w:color w:val="auto"/>
                      <w:sz w:val="18"/>
                      <w:szCs w:val="18"/>
                      <w:lang w:val="en-US" w:eastAsia="zh-CN"/>
                    </w:rPr>
                    <w:t>-1</w:t>
                  </w:r>
                </w:p>
              </w:tc>
              <w:tc>
                <w:tcPr>
                  <w:tcW w:w="687" w:type="dxa"/>
                  <w:vAlign w:val="center"/>
                </w:tcPr>
                <w:p w14:paraId="0ABE667E">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0.02</w:t>
                  </w:r>
                </w:p>
              </w:tc>
              <w:tc>
                <w:tcPr>
                  <w:tcW w:w="728" w:type="dxa"/>
                  <w:vAlign w:val="center"/>
                </w:tcPr>
                <w:p w14:paraId="43B8B0AC">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0.04</w:t>
                  </w:r>
                </w:p>
              </w:tc>
              <w:tc>
                <w:tcPr>
                  <w:tcW w:w="690" w:type="dxa"/>
                  <w:vAlign w:val="center"/>
                </w:tcPr>
                <w:p w14:paraId="48EF7B31">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0B2EA2E9">
                  <w:pPr>
                    <w:pStyle w:val="34"/>
                    <w:spacing w:line="240" w:lineRule="auto"/>
                    <w:ind w:firstLine="0" w:firstLineChars="0"/>
                    <w:jc w:val="center"/>
                    <w:rPr>
                      <w:color w:val="auto"/>
                      <w:sz w:val="18"/>
                      <w:szCs w:val="18"/>
                    </w:rPr>
                  </w:pPr>
                  <w:r>
                    <w:rPr>
                      <w:rFonts w:hint="eastAsia"/>
                      <w:color w:val="auto"/>
                      <w:sz w:val="18"/>
                      <w:szCs w:val="18"/>
                      <w:lang w:val="en-US" w:eastAsia="zh-CN"/>
                    </w:rPr>
                    <w:t>2.18</w:t>
                  </w:r>
                  <w:r>
                    <w:rPr>
                      <w:color w:val="auto"/>
                      <w:sz w:val="18"/>
                      <w:szCs w:val="18"/>
                    </w:rPr>
                    <w:t>×10</w:t>
                  </w:r>
                  <w:r>
                    <w:rPr>
                      <w:color w:val="auto"/>
                      <w:sz w:val="18"/>
                      <w:szCs w:val="18"/>
                      <w:vertAlign w:val="superscript"/>
                    </w:rPr>
                    <w:t>-4</w:t>
                  </w:r>
                </w:p>
              </w:tc>
              <w:tc>
                <w:tcPr>
                  <w:tcW w:w="850" w:type="dxa"/>
                  <w:vAlign w:val="center"/>
                </w:tcPr>
                <w:p w14:paraId="780AB379">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0.001</w:t>
                  </w:r>
                </w:p>
              </w:tc>
            </w:tr>
            <w:tr w14:paraId="52B14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849" w:type="dxa"/>
                  <w:vMerge w:val="continue"/>
                  <w:vAlign w:val="center"/>
                </w:tcPr>
                <w:p w14:paraId="176E3C2D">
                  <w:pPr>
                    <w:pStyle w:val="34"/>
                    <w:spacing w:line="240" w:lineRule="auto"/>
                    <w:ind w:firstLine="0" w:firstLineChars="0"/>
                    <w:jc w:val="center"/>
                    <w:rPr>
                      <w:color w:val="auto"/>
                      <w:sz w:val="18"/>
                      <w:szCs w:val="18"/>
                    </w:rPr>
                  </w:pPr>
                </w:p>
              </w:tc>
              <w:tc>
                <w:tcPr>
                  <w:tcW w:w="849" w:type="dxa"/>
                  <w:vMerge w:val="continue"/>
                  <w:vAlign w:val="center"/>
                </w:tcPr>
                <w:p w14:paraId="3C5CF4F0">
                  <w:pPr>
                    <w:pStyle w:val="34"/>
                    <w:spacing w:line="240" w:lineRule="auto"/>
                    <w:ind w:firstLine="0" w:firstLineChars="0"/>
                    <w:jc w:val="center"/>
                    <w:rPr>
                      <w:color w:val="auto"/>
                      <w:sz w:val="18"/>
                      <w:szCs w:val="18"/>
                    </w:rPr>
                  </w:pPr>
                </w:p>
              </w:tc>
              <w:tc>
                <w:tcPr>
                  <w:tcW w:w="851" w:type="dxa"/>
                  <w:vAlign w:val="center"/>
                </w:tcPr>
                <w:p w14:paraId="3719F03E">
                  <w:pPr>
                    <w:pStyle w:val="34"/>
                    <w:spacing w:line="240" w:lineRule="auto"/>
                    <w:ind w:firstLine="0" w:firstLineChars="0"/>
                    <w:jc w:val="center"/>
                    <w:rPr>
                      <w:rFonts w:hint="default"/>
                      <w:color w:val="auto"/>
                      <w:sz w:val="18"/>
                      <w:szCs w:val="18"/>
                      <w:lang w:val="en-US" w:eastAsia="zh-CN"/>
                    </w:rPr>
                  </w:pPr>
                  <w:r>
                    <w:rPr>
                      <w:rFonts w:hint="eastAsia"/>
                      <w:color w:val="auto"/>
                      <w:sz w:val="18"/>
                      <w:szCs w:val="18"/>
                      <w:lang w:val="en-US" w:eastAsia="zh-CN"/>
                    </w:rPr>
                    <w:t>16</w:t>
                  </w:r>
                  <w:r>
                    <w:rPr>
                      <w:rFonts w:hint="eastAsia"/>
                      <w:color w:val="auto"/>
                      <w:sz w:val="18"/>
                      <w:szCs w:val="18"/>
                    </w:rPr>
                    <w:t>:</w:t>
                  </w:r>
                  <w:r>
                    <w:rPr>
                      <w:rFonts w:hint="eastAsia"/>
                      <w:color w:val="auto"/>
                      <w:sz w:val="18"/>
                      <w:szCs w:val="18"/>
                      <w:lang w:val="en-US" w:eastAsia="zh-CN"/>
                    </w:rPr>
                    <w:t>00-17:00</w:t>
                  </w:r>
                </w:p>
              </w:tc>
              <w:tc>
                <w:tcPr>
                  <w:tcW w:w="1135" w:type="dxa"/>
                  <w:vAlign w:val="center"/>
                </w:tcPr>
                <w:p w14:paraId="12FB5EDA">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18"/>
                      <w:szCs w:val="18"/>
                      <w:lang w:val="en-US" w:eastAsia="zh-CN"/>
                    </w:rPr>
                  </w:pPr>
                  <w:r>
                    <w:rPr>
                      <w:rFonts w:hint="eastAsia"/>
                      <w:color w:val="auto"/>
                      <w:sz w:val="18"/>
                      <w:szCs w:val="18"/>
                    </w:rPr>
                    <w:t>Q251223N2-01-</w:t>
                  </w:r>
                  <w:r>
                    <w:rPr>
                      <w:rFonts w:hint="eastAsia"/>
                      <w:color w:val="auto"/>
                      <w:sz w:val="18"/>
                      <w:szCs w:val="18"/>
                      <w:lang w:val="en-US" w:eastAsia="zh-CN"/>
                    </w:rPr>
                    <w:t>2</w:t>
                  </w:r>
                </w:p>
              </w:tc>
              <w:tc>
                <w:tcPr>
                  <w:tcW w:w="687" w:type="dxa"/>
                  <w:vAlign w:val="center"/>
                </w:tcPr>
                <w:p w14:paraId="38E4A25E">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0.01</w:t>
                  </w:r>
                </w:p>
              </w:tc>
              <w:tc>
                <w:tcPr>
                  <w:tcW w:w="728" w:type="dxa"/>
                  <w:vAlign w:val="center"/>
                </w:tcPr>
                <w:p w14:paraId="0887D3F6">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0.03</w:t>
                  </w:r>
                </w:p>
              </w:tc>
              <w:tc>
                <w:tcPr>
                  <w:tcW w:w="690" w:type="dxa"/>
                  <w:vAlign w:val="center"/>
                </w:tcPr>
                <w:p w14:paraId="24BC253D">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6A584852">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.08</w:t>
                  </w:r>
                  <w:r>
                    <w:rPr>
                      <w:color w:val="auto"/>
                      <w:sz w:val="18"/>
                      <w:szCs w:val="18"/>
                    </w:rPr>
                    <w:t>×10</w:t>
                  </w:r>
                  <w:r>
                    <w:rPr>
                      <w:color w:val="auto"/>
                      <w:sz w:val="18"/>
                      <w:szCs w:val="18"/>
                      <w:vertAlign w:val="superscript"/>
                    </w:rPr>
                    <w:t>-4</w:t>
                  </w:r>
                </w:p>
              </w:tc>
              <w:tc>
                <w:tcPr>
                  <w:tcW w:w="850" w:type="dxa"/>
                  <w:vAlign w:val="center"/>
                </w:tcPr>
                <w:p w14:paraId="6BF2F931">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0.002</w:t>
                  </w:r>
                </w:p>
              </w:tc>
            </w:tr>
            <w:tr w14:paraId="1940F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3AE97A22">
                  <w:pPr>
                    <w:pStyle w:val="34"/>
                    <w:spacing w:line="240" w:lineRule="auto"/>
                    <w:ind w:firstLine="0" w:firstLineChars="0"/>
                    <w:jc w:val="center"/>
                    <w:rPr>
                      <w:color w:val="auto"/>
                      <w:sz w:val="18"/>
                      <w:szCs w:val="18"/>
                    </w:rPr>
                  </w:pPr>
                </w:p>
              </w:tc>
              <w:tc>
                <w:tcPr>
                  <w:tcW w:w="849" w:type="dxa"/>
                  <w:vMerge w:val="continue"/>
                  <w:vAlign w:val="center"/>
                </w:tcPr>
                <w:p w14:paraId="3097F64B">
                  <w:pPr>
                    <w:pStyle w:val="34"/>
                    <w:spacing w:line="240" w:lineRule="auto"/>
                    <w:ind w:firstLine="0" w:firstLineChars="0"/>
                    <w:jc w:val="center"/>
                    <w:rPr>
                      <w:color w:val="auto"/>
                      <w:sz w:val="18"/>
                      <w:szCs w:val="18"/>
                    </w:rPr>
                  </w:pPr>
                </w:p>
              </w:tc>
              <w:tc>
                <w:tcPr>
                  <w:tcW w:w="851" w:type="dxa"/>
                  <w:vAlign w:val="center"/>
                </w:tcPr>
                <w:p w14:paraId="7EBB354B">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rPr>
                    <w:t>18:0</w:t>
                  </w:r>
                  <w:r>
                    <w:rPr>
                      <w:rFonts w:hint="eastAsia"/>
                      <w:color w:val="auto"/>
                      <w:sz w:val="18"/>
                      <w:szCs w:val="18"/>
                      <w:lang w:val="en-US" w:eastAsia="zh-CN"/>
                    </w:rPr>
                    <w:t>0-19:00</w:t>
                  </w:r>
                </w:p>
              </w:tc>
              <w:tc>
                <w:tcPr>
                  <w:tcW w:w="1135" w:type="dxa"/>
                  <w:vAlign w:val="center"/>
                </w:tcPr>
                <w:p w14:paraId="127918BF">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18"/>
                      <w:szCs w:val="18"/>
                      <w:lang w:val="en-US" w:eastAsia="zh-CN"/>
                    </w:rPr>
                  </w:pPr>
                  <w:r>
                    <w:rPr>
                      <w:rFonts w:hint="eastAsia"/>
                      <w:color w:val="auto"/>
                      <w:sz w:val="18"/>
                      <w:szCs w:val="18"/>
                    </w:rPr>
                    <w:t>251223N2-01-</w:t>
                  </w:r>
                  <w:r>
                    <w:rPr>
                      <w:rFonts w:hint="eastAsia"/>
                      <w:color w:val="auto"/>
                      <w:sz w:val="18"/>
                      <w:szCs w:val="18"/>
                      <w:lang w:val="en-US" w:eastAsia="zh-CN"/>
                    </w:rPr>
                    <w:t>3</w:t>
                  </w:r>
                </w:p>
              </w:tc>
              <w:tc>
                <w:tcPr>
                  <w:tcW w:w="687" w:type="dxa"/>
                  <w:vAlign w:val="center"/>
                </w:tcPr>
                <w:p w14:paraId="5A2DB6D8">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0.03</w:t>
                  </w:r>
                </w:p>
              </w:tc>
              <w:tc>
                <w:tcPr>
                  <w:tcW w:w="728" w:type="dxa"/>
                  <w:vAlign w:val="center"/>
                </w:tcPr>
                <w:p w14:paraId="05F816AD">
                  <w:pPr>
                    <w:pStyle w:val="34"/>
                    <w:spacing w:line="240" w:lineRule="auto"/>
                    <w:ind w:left="0" w:leftChars="0" w:firstLine="0" w:firstLineChars="0"/>
                    <w:jc w:val="center"/>
                    <w:rPr>
                      <w:rFonts w:hint="default" w:eastAsia="宋体"/>
                      <w:color w:val="auto"/>
                      <w:sz w:val="18"/>
                      <w:szCs w:val="18"/>
                      <w:lang w:val="en-US" w:eastAsia="zh-CN"/>
                    </w:rPr>
                  </w:pPr>
                  <w:r>
                    <w:rPr>
                      <w:rFonts w:hint="eastAsia"/>
                      <w:color w:val="auto"/>
                      <w:sz w:val="18"/>
                      <w:szCs w:val="18"/>
                      <w:lang w:val="en-US" w:eastAsia="zh-CN"/>
                    </w:rPr>
                    <w:t>0.04</w:t>
                  </w:r>
                </w:p>
              </w:tc>
              <w:tc>
                <w:tcPr>
                  <w:tcW w:w="690" w:type="dxa"/>
                  <w:vAlign w:val="center"/>
                </w:tcPr>
                <w:p w14:paraId="02474BE5">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27CBEC8D">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10</w:t>
                  </w:r>
                  <w:r>
                    <w:rPr>
                      <w:color w:val="auto"/>
                      <w:sz w:val="18"/>
                      <w:szCs w:val="18"/>
                    </w:rPr>
                    <w:t>×10</w:t>
                  </w:r>
                  <w:r>
                    <w:rPr>
                      <w:color w:val="auto"/>
                      <w:sz w:val="18"/>
                      <w:szCs w:val="18"/>
                      <w:vertAlign w:val="superscript"/>
                    </w:rPr>
                    <w:t>-4</w:t>
                  </w:r>
                </w:p>
              </w:tc>
              <w:tc>
                <w:tcPr>
                  <w:tcW w:w="850" w:type="dxa"/>
                  <w:vAlign w:val="center"/>
                </w:tcPr>
                <w:p w14:paraId="39996F39">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0.003</w:t>
                  </w:r>
                </w:p>
              </w:tc>
            </w:tr>
            <w:tr w14:paraId="4D6D9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849" w:type="dxa"/>
                  <w:vMerge w:val="restart"/>
                  <w:vAlign w:val="center"/>
                </w:tcPr>
                <w:p w14:paraId="39F2853B">
                  <w:pPr>
                    <w:pStyle w:val="34"/>
                    <w:spacing w:line="240" w:lineRule="auto"/>
                    <w:ind w:firstLine="0" w:firstLineChars="0"/>
                    <w:jc w:val="center"/>
                    <w:rPr>
                      <w:color w:val="auto"/>
                      <w:sz w:val="18"/>
                      <w:szCs w:val="18"/>
                    </w:rPr>
                  </w:pPr>
                  <w:r>
                    <w:rPr>
                      <w:color w:val="auto"/>
                      <w:sz w:val="18"/>
                      <w:szCs w:val="18"/>
                    </w:rPr>
                    <w:t>污水处理站周界下风向2</w:t>
                  </w:r>
                </w:p>
              </w:tc>
              <w:tc>
                <w:tcPr>
                  <w:tcW w:w="849" w:type="dxa"/>
                  <w:vMerge w:val="restart"/>
                  <w:vAlign w:val="center"/>
                </w:tcPr>
                <w:p w14:paraId="0BD2E4FD">
                  <w:pPr>
                    <w:pStyle w:val="34"/>
                    <w:spacing w:line="240" w:lineRule="auto"/>
                    <w:ind w:firstLine="0" w:firstLineChars="0"/>
                    <w:jc w:val="center"/>
                    <w:rPr>
                      <w:color w:val="auto"/>
                      <w:sz w:val="18"/>
                      <w:szCs w:val="18"/>
                    </w:rPr>
                  </w:pPr>
                  <w:r>
                    <w:rPr>
                      <w:rFonts w:hint="eastAsia"/>
                      <w:color w:val="auto"/>
                      <w:sz w:val="18"/>
                      <w:szCs w:val="18"/>
                      <w:lang w:val="en-US" w:eastAsia="zh-CN"/>
                    </w:rPr>
                    <w:t>2025.12.13</w:t>
                  </w:r>
                </w:p>
              </w:tc>
              <w:tc>
                <w:tcPr>
                  <w:tcW w:w="851" w:type="dxa"/>
                  <w:vAlign w:val="center"/>
                </w:tcPr>
                <w:p w14:paraId="738E79A6">
                  <w:pPr>
                    <w:pStyle w:val="34"/>
                    <w:spacing w:line="240" w:lineRule="auto"/>
                    <w:ind w:firstLine="0" w:firstLineChars="0"/>
                    <w:jc w:val="center"/>
                    <w:rPr>
                      <w:color w:val="auto"/>
                      <w:sz w:val="18"/>
                      <w:szCs w:val="18"/>
                    </w:rPr>
                  </w:pPr>
                  <w:r>
                    <w:rPr>
                      <w:rFonts w:hint="eastAsia"/>
                      <w:color w:val="auto"/>
                      <w:sz w:val="18"/>
                      <w:szCs w:val="18"/>
                    </w:rPr>
                    <w:t>14:0</w:t>
                  </w:r>
                  <w:r>
                    <w:rPr>
                      <w:rFonts w:hint="eastAsia"/>
                      <w:color w:val="auto"/>
                      <w:sz w:val="18"/>
                      <w:szCs w:val="18"/>
                      <w:lang w:val="en-US" w:eastAsia="zh-CN"/>
                    </w:rPr>
                    <w:t>0-15:00</w:t>
                  </w:r>
                </w:p>
              </w:tc>
              <w:tc>
                <w:tcPr>
                  <w:tcW w:w="1135" w:type="dxa"/>
                  <w:vAlign w:val="center"/>
                </w:tcPr>
                <w:p w14:paraId="38F70F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2-1</w:t>
                  </w:r>
                </w:p>
              </w:tc>
              <w:tc>
                <w:tcPr>
                  <w:tcW w:w="687" w:type="dxa"/>
                  <w:vAlign w:val="center"/>
                </w:tcPr>
                <w:p w14:paraId="0BF532AC">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0.08</w:t>
                  </w:r>
                </w:p>
              </w:tc>
              <w:tc>
                <w:tcPr>
                  <w:tcW w:w="728" w:type="dxa"/>
                  <w:vAlign w:val="center"/>
                </w:tcPr>
                <w:p w14:paraId="713D1692">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0.06</w:t>
                  </w:r>
                </w:p>
              </w:tc>
              <w:tc>
                <w:tcPr>
                  <w:tcW w:w="690" w:type="dxa"/>
                  <w:vAlign w:val="center"/>
                </w:tcPr>
                <w:p w14:paraId="102E2205">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09377EC0">
                  <w:pPr>
                    <w:pStyle w:val="34"/>
                    <w:spacing w:line="240" w:lineRule="auto"/>
                    <w:ind w:firstLine="0" w:firstLineChars="0"/>
                    <w:jc w:val="center"/>
                    <w:rPr>
                      <w:color w:val="auto"/>
                      <w:sz w:val="18"/>
                      <w:szCs w:val="18"/>
                    </w:rPr>
                  </w:pPr>
                  <w:r>
                    <w:rPr>
                      <w:color w:val="auto"/>
                      <w:sz w:val="18"/>
                      <w:szCs w:val="18"/>
                    </w:rPr>
                    <w:t>2.6</w:t>
                  </w:r>
                  <w:r>
                    <w:rPr>
                      <w:rFonts w:hint="eastAsia"/>
                      <w:color w:val="auto"/>
                      <w:sz w:val="18"/>
                      <w:szCs w:val="18"/>
                      <w:lang w:val="en-US" w:eastAsia="zh-CN"/>
                    </w:rPr>
                    <w:t>1</w:t>
                  </w:r>
                  <w:r>
                    <w:rPr>
                      <w:color w:val="auto"/>
                      <w:sz w:val="18"/>
                      <w:szCs w:val="18"/>
                    </w:rPr>
                    <w:t>×10</w:t>
                  </w:r>
                  <w:r>
                    <w:rPr>
                      <w:color w:val="auto"/>
                      <w:sz w:val="18"/>
                      <w:szCs w:val="18"/>
                      <w:vertAlign w:val="superscript"/>
                    </w:rPr>
                    <w:t>-4</w:t>
                  </w:r>
                </w:p>
              </w:tc>
              <w:tc>
                <w:tcPr>
                  <w:tcW w:w="850" w:type="dxa"/>
                  <w:vAlign w:val="center"/>
                </w:tcPr>
                <w:p w14:paraId="1AFAF5AA">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0.004</w:t>
                  </w:r>
                </w:p>
              </w:tc>
            </w:tr>
            <w:tr w14:paraId="00E25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79D5AC6B">
                  <w:pPr>
                    <w:pStyle w:val="34"/>
                    <w:spacing w:line="240" w:lineRule="auto"/>
                    <w:ind w:firstLine="0" w:firstLineChars="0"/>
                    <w:jc w:val="center"/>
                    <w:rPr>
                      <w:color w:val="auto"/>
                      <w:sz w:val="18"/>
                      <w:szCs w:val="18"/>
                    </w:rPr>
                  </w:pPr>
                </w:p>
              </w:tc>
              <w:tc>
                <w:tcPr>
                  <w:tcW w:w="849" w:type="dxa"/>
                  <w:vMerge w:val="continue"/>
                  <w:vAlign w:val="center"/>
                </w:tcPr>
                <w:p w14:paraId="3AAD0975">
                  <w:pPr>
                    <w:pStyle w:val="34"/>
                    <w:spacing w:line="240" w:lineRule="auto"/>
                    <w:ind w:firstLine="0" w:firstLineChars="0"/>
                    <w:jc w:val="center"/>
                    <w:rPr>
                      <w:color w:val="auto"/>
                      <w:sz w:val="18"/>
                      <w:szCs w:val="18"/>
                    </w:rPr>
                  </w:pPr>
                </w:p>
              </w:tc>
              <w:tc>
                <w:tcPr>
                  <w:tcW w:w="851" w:type="dxa"/>
                  <w:vAlign w:val="center"/>
                </w:tcPr>
                <w:p w14:paraId="0FDE0C84">
                  <w:pPr>
                    <w:pStyle w:val="34"/>
                    <w:spacing w:line="240" w:lineRule="auto"/>
                    <w:ind w:firstLine="0" w:firstLineChars="0"/>
                    <w:jc w:val="center"/>
                    <w:rPr>
                      <w:color w:val="auto"/>
                      <w:sz w:val="18"/>
                      <w:szCs w:val="18"/>
                    </w:rPr>
                  </w:pPr>
                  <w:r>
                    <w:rPr>
                      <w:rFonts w:hint="eastAsia"/>
                      <w:color w:val="auto"/>
                      <w:sz w:val="18"/>
                      <w:szCs w:val="18"/>
                      <w:lang w:val="en-US" w:eastAsia="zh-CN"/>
                    </w:rPr>
                    <w:t>16</w:t>
                  </w:r>
                  <w:r>
                    <w:rPr>
                      <w:rFonts w:hint="eastAsia"/>
                      <w:color w:val="auto"/>
                      <w:sz w:val="18"/>
                      <w:szCs w:val="18"/>
                    </w:rPr>
                    <w:t>:</w:t>
                  </w:r>
                  <w:r>
                    <w:rPr>
                      <w:rFonts w:hint="eastAsia"/>
                      <w:color w:val="auto"/>
                      <w:sz w:val="18"/>
                      <w:szCs w:val="18"/>
                      <w:lang w:val="en-US" w:eastAsia="zh-CN"/>
                    </w:rPr>
                    <w:t>00-17:00</w:t>
                  </w:r>
                </w:p>
              </w:tc>
              <w:tc>
                <w:tcPr>
                  <w:tcW w:w="1135" w:type="dxa"/>
                  <w:vAlign w:val="center"/>
                </w:tcPr>
                <w:p w14:paraId="1390E4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18"/>
                      <w:szCs w:val="18"/>
                      <w:lang w:val="en-US"/>
                    </w:rPr>
                  </w:pPr>
                  <w:r>
                    <w:rPr>
                      <w:rFonts w:hint="eastAsia"/>
                      <w:color w:val="auto"/>
                      <w:sz w:val="18"/>
                      <w:szCs w:val="18"/>
                    </w:rPr>
                    <w:t>251223N2-0</w:t>
                  </w:r>
                  <w:r>
                    <w:rPr>
                      <w:rFonts w:hint="eastAsia"/>
                      <w:color w:val="auto"/>
                      <w:sz w:val="18"/>
                      <w:szCs w:val="18"/>
                      <w:lang w:val="en-US" w:eastAsia="zh-CN"/>
                    </w:rPr>
                    <w:t>2-2</w:t>
                  </w:r>
                </w:p>
              </w:tc>
              <w:tc>
                <w:tcPr>
                  <w:tcW w:w="687" w:type="dxa"/>
                  <w:vAlign w:val="center"/>
                </w:tcPr>
                <w:p w14:paraId="61AE237F">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0.10</w:t>
                  </w:r>
                </w:p>
              </w:tc>
              <w:tc>
                <w:tcPr>
                  <w:tcW w:w="728" w:type="dxa"/>
                  <w:vAlign w:val="center"/>
                </w:tcPr>
                <w:p w14:paraId="51E6604C">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0.07</w:t>
                  </w:r>
                </w:p>
              </w:tc>
              <w:tc>
                <w:tcPr>
                  <w:tcW w:w="690" w:type="dxa"/>
                  <w:vAlign w:val="center"/>
                </w:tcPr>
                <w:p w14:paraId="24A0C5D8">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63CCC0E2">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61</w:t>
                  </w:r>
                  <w:r>
                    <w:rPr>
                      <w:color w:val="auto"/>
                      <w:sz w:val="18"/>
                      <w:szCs w:val="18"/>
                    </w:rPr>
                    <w:t>×10</w:t>
                  </w:r>
                  <w:r>
                    <w:rPr>
                      <w:color w:val="auto"/>
                      <w:sz w:val="18"/>
                      <w:szCs w:val="18"/>
                      <w:vertAlign w:val="superscript"/>
                    </w:rPr>
                    <w:t>-4</w:t>
                  </w:r>
                </w:p>
              </w:tc>
              <w:tc>
                <w:tcPr>
                  <w:tcW w:w="850" w:type="dxa"/>
                  <w:vAlign w:val="center"/>
                </w:tcPr>
                <w:p w14:paraId="5C6307CF">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0.006</w:t>
                  </w:r>
                </w:p>
              </w:tc>
            </w:tr>
            <w:tr w14:paraId="1122B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6061C63C">
                  <w:pPr>
                    <w:pStyle w:val="34"/>
                    <w:spacing w:line="240" w:lineRule="auto"/>
                    <w:ind w:firstLine="0" w:firstLineChars="0"/>
                    <w:jc w:val="center"/>
                    <w:rPr>
                      <w:color w:val="auto"/>
                      <w:sz w:val="18"/>
                      <w:szCs w:val="18"/>
                    </w:rPr>
                  </w:pPr>
                </w:p>
              </w:tc>
              <w:tc>
                <w:tcPr>
                  <w:tcW w:w="849" w:type="dxa"/>
                  <w:vMerge w:val="continue"/>
                  <w:vAlign w:val="center"/>
                </w:tcPr>
                <w:p w14:paraId="72AFF797">
                  <w:pPr>
                    <w:pStyle w:val="34"/>
                    <w:spacing w:line="240" w:lineRule="auto"/>
                    <w:ind w:firstLine="0" w:firstLineChars="0"/>
                    <w:jc w:val="center"/>
                    <w:rPr>
                      <w:color w:val="auto"/>
                      <w:sz w:val="18"/>
                      <w:szCs w:val="18"/>
                    </w:rPr>
                  </w:pPr>
                </w:p>
              </w:tc>
              <w:tc>
                <w:tcPr>
                  <w:tcW w:w="851" w:type="dxa"/>
                  <w:vAlign w:val="center"/>
                </w:tcPr>
                <w:p w14:paraId="7E9E2EB3">
                  <w:pPr>
                    <w:pStyle w:val="34"/>
                    <w:spacing w:line="240" w:lineRule="auto"/>
                    <w:ind w:firstLine="0" w:firstLineChars="0"/>
                    <w:jc w:val="center"/>
                    <w:rPr>
                      <w:color w:val="auto"/>
                      <w:sz w:val="18"/>
                      <w:szCs w:val="18"/>
                    </w:rPr>
                  </w:pPr>
                  <w:r>
                    <w:rPr>
                      <w:rFonts w:hint="eastAsia"/>
                      <w:color w:val="auto"/>
                      <w:sz w:val="18"/>
                      <w:szCs w:val="18"/>
                    </w:rPr>
                    <w:t>18:0</w:t>
                  </w:r>
                  <w:r>
                    <w:rPr>
                      <w:rFonts w:hint="eastAsia"/>
                      <w:color w:val="auto"/>
                      <w:sz w:val="18"/>
                      <w:szCs w:val="18"/>
                      <w:lang w:val="en-US" w:eastAsia="zh-CN"/>
                    </w:rPr>
                    <w:t>0-19:00</w:t>
                  </w:r>
                </w:p>
              </w:tc>
              <w:tc>
                <w:tcPr>
                  <w:tcW w:w="1135" w:type="dxa"/>
                  <w:vAlign w:val="center"/>
                </w:tcPr>
                <w:p w14:paraId="40D7FC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18"/>
                      <w:szCs w:val="18"/>
                      <w:lang w:val="en-US"/>
                    </w:rPr>
                  </w:pPr>
                  <w:r>
                    <w:rPr>
                      <w:rFonts w:hint="eastAsia"/>
                      <w:color w:val="auto"/>
                      <w:sz w:val="18"/>
                      <w:szCs w:val="18"/>
                    </w:rPr>
                    <w:t>251223N2-0</w:t>
                  </w:r>
                  <w:r>
                    <w:rPr>
                      <w:rFonts w:hint="eastAsia"/>
                      <w:color w:val="auto"/>
                      <w:sz w:val="18"/>
                      <w:szCs w:val="18"/>
                      <w:lang w:val="en-US" w:eastAsia="zh-CN"/>
                    </w:rPr>
                    <w:t>2-3</w:t>
                  </w:r>
                </w:p>
              </w:tc>
              <w:tc>
                <w:tcPr>
                  <w:tcW w:w="687" w:type="dxa"/>
                  <w:vAlign w:val="center"/>
                </w:tcPr>
                <w:p w14:paraId="3F29F11B">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0.09</w:t>
                  </w:r>
                </w:p>
              </w:tc>
              <w:tc>
                <w:tcPr>
                  <w:tcW w:w="728" w:type="dxa"/>
                  <w:vAlign w:val="center"/>
                </w:tcPr>
                <w:p w14:paraId="612CE825">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0.06</w:t>
                  </w:r>
                </w:p>
              </w:tc>
              <w:tc>
                <w:tcPr>
                  <w:tcW w:w="690" w:type="dxa"/>
                  <w:vAlign w:val="center"/>
                </w:tcPr>
                <w:p w14:paraId="2C6DE56A">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1A871644">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54</w:t>
                  </w:r>
                  <w:r>
                    <w:rPr>
                      <w:color w:val="auto"/>
                      <w:sz w:val="18"/>
                      <w:szCs w:val="18"/>
                    </w:rPr>
                    <w:t>×10</w:t>
                  </w:r>
                  <w:r>
                    <w:rPr>
                      <w:color w:val="auto"/>
                      <w:sz w:val="18"/>
                      <w:szCs w:val="18"/>
                      <w:vertAlign w:val="superscript"/>
                    </w:rPr>
                    <w:t>-4</w:t>
                  </w:r>
                </w:p>
              </w:tc>
              <w:tc>
                <w:tcPr>
                  <w:tcW w:w="850" w:type="dxa"/>
                  <w:vAlign w:val="center"/>
                </w:tcPr>
                <w:p w14:paraId="4B5955BD">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0.005</w:t>
                  </w:r>
                </w:p>
              </w:tc>
            </w:tr>
            <w:tr w14:paraId="4E4E0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849" w:type="dxa"/>
                  <w:vMerge w:val="restart"/>
                  <w:vAlign w:val="center"/>
                </w:tcPr>
                <w:p w14:paraId="106D8FA0">
                  <w:pPr>
                    <w:pStyle w:val="34"/>
                    <w:spacing w:line="240" w:lineRule="auto"/>
                    <w:ind w:firstLine="0" w:firstLineChars="0"/>
                    <w:jc w:val="center"/>
                    <w:rPr>
                      <w:color w:val="auto"/>
                      <w:sz w:val="18"/>
                      <w:szCs w:val="18"/>
                    </w:rPr>
                  </w:pPr>
                  <w:r>
                    <w:rPr>
                      <w:color w:val="auto"/>
                      <w:sz w:val="18"/>
                      <w:szCs w:val="18"/>
                    </w:rPr>
                    <w:t>污水处理站周界下风向3</w:t>
                  </w:r>
                </w:p>
              </w:tc>
              <w:tc>
                <w:tcPr>
                  <w:tcW w:w="849" w:type="dxa"/>
                  <w:vMerge w:val="restart"/>
                  <w:vAlign w:val="center"/>
                </w:tcPr>
                <w:p w14:paraId="00762966">
                  <w:pPr>
                    <w:pStyle w:val="34"/>
                    <w:spacing w:line="240" w:lineRule="auto"/>
                    <w:ind w:firstLine="0" w:firstLineChars="0"/>
                    <w:jc w:val="center"/>
                    <w:rPr>
                      <w:rFonts w:hint="eastAsia"/>
                      <w:color w:val="auto"/>
                      <w:sz w:val="18"/>
                      <w:szCs w:val="18"/>
                      <w:lang w:val="en-US" w:eastAsia="zh-CN"/>
                    </w:rPr>
                  </w:pPr>
                  <w:r>
                    <w:rPr>
                      <w:rFonts w:hint="eastAsia"/>
                      <w:color w:val="auto"/>
                      <w:sz w:val="18"/>
                      <w:szCs w:val="18"/>
                      <w:lang w:val="en-US" w:eastAsia="zh-CN"/>
                    </w:rPr>
                    <w:t>2025.12.13</w:t>
                  </w:r>
                </w:p>
                <w:p w14:paraId="70BDF8F2">
                  <w:pPr>
                    <w:pStyle w:val="34"/>
                    <w:spacing w:line="240" w:lineRule="auto"/>
                    <w:ind w:firstLine="0" w:firstLineChars="0"/>
                    <w:jc w:val="center"/>
                    <w:rPr>
                      <w:color w:val="auto"/>
                      <w:sz w:val="18"/>
                      <w:szCs w:val="18"/>
                    </w:rPr>
                  </w:pPr>
                </w:p>
              </w:tc>
              <w:tc>
                <w:tcPr>
                  <w:tcW w:w="851" w:type="dxa"/>
                  <w:vAlign w:val="center"/>
                </w:tcPr>
                <w:p w14:paraId="0B49733C">
                  <w:pPr>
                    <w:pStyle w:val="34"/>
                    <w:spacing w:line="240" w:lineRule="auto"/>
                    <w:ind w:firstLine="0" w:firstLineChars="0"/>
                    <w:jc w:val="center"/>
                    <w:rPr>
                      <w:color w:val="auto"/>
                      <w:sz w:val="18"/>
                      <w:szCs w:val="18"/>
                    </w:rPr>
                  </w:pPr>
                  <w:r>
                    <w:rPr>
                      <w:rFonts w:hint="eastAsia"/>
                      <w:color w:val="auto"/>
                      <w:sz w:val="18"/>
                      <w:szCs w:val="18"/>
                    </w:rPr>
                    <w:t>14:0</w:t>
                  </w:r>
                  <w:r>
                    <w:rPr>
                      <w:rFonts w:hint="eastAsia"/>
                      <w:color w:val="auto"/>
                      <w:sz w:val="18"/>
                      <w:szCs w:val="18"/>
                      <w:lang w:val="en-US" w:eastAsia="zh-CN"/>
                    </w:rPr>
                    <w:t>0-15:00</w:t>
                  </w:r>
                </w:p>
              </w:tc>
              <w:tc>
                <w:tcPr>
                  <w:tcW w:w="1135" w:type="dxa"/>
                  <w:vAlign w:val="center"/>
                </w:tcPr>
                <w:p w14:paraId="2921CB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3-1</w:t>
                  </w:r>
                </w:p>
              </w:tc>
              <w:tc>
                <w:tcPr>
                  <w:tcW w:w="687" w:type="dxa"/>
                  <w:vAlign w:val="center"/>
                </w:tcPr>
                <w:p w14:paraId="2EB25CE8">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0.16</w:t>
                  </w:r>
                </w:p>
              </w:tc>
              <w:tc>
                <w:tcPr>
                  <w:tcW w:w="728" w:type="dxa"/>
                  <w:vAlign w:val="center"/>
                </w:tcPr>
                <w:p w14:paraId="1927CC1C">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0.09</w:t>
                  </w:r>
                </w:p>
              </w:tc>
              <w:tc>
                <w:tcPr>
                  <w:tcW w:w="690" w:type="dxa"/>
                  <w:vAlign w:val="center"/>
                </w:tcPr>
                <w:p w14:paraId="2887B215">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7E8C1566">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55</w:t>
                  </w:r>
                  <w:r>
                    <w:rPr>
                      <w:color w:val="auto"/>
                      <w:sz w:val="18"/>
                      <w:szCs w:val="18"/>
                    </w:rPr>
                    <w:t>×10</w:t>
                  </w:r>
                  <w:r>
                    <w:rPr>
                      <w:color w:val="auto"/>
                      <w:sz w:val="18"/>
                      <w:szCs w:val="18"/>
                      <w:vertAlign w:val="superscript"/>
                    </w:rPr>
                    <w:t>-4</w:t>
                  </w:r>
                </w:p>
              </w:tc>
              <w:tc>
                <w:tcPr>
                  <w:tcW w:w="850" w:type="dxa"/>
                  <w:vAlign w:val="center"/>
                </w:tcPr>
                <w:p w14:paraId="5C2865E6">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0.007</w:t>
                  </w:r>
                </w:p>
              </w:tc>
            </w:tr>
            <w:tr w14:paraId="65774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072F1A68">
                  <w:pPr>
                    <w:pStyle w:val="34"/>
                    <w:spacing w:line="240" w:lineRule="auto"/>
                    <w:ind w:firstLine="0" w:firstLineChars="0"/>
                    <w:jc w:val="center"/>
                    <w:rPr>
                      <w:color w:val="auto"/>
                      <w:sz w:val="18"/>
                      <w:szCs w:val="18"/>
                    </w:rPr>
                  </w:pPr>
                </w:p>
              </w:tc>
              <w:tc>
                <w:tcPr>
                  <w:tcW w:w="849" w:type="dxa"/>
                  <w:vMerge w:val="continue"/>
                  <w:vAlign w:val="center"/>
                </w:tcPr>
                <w:p w14:paraId="4702CE95">
                  <w:pPr>
                    <w:pStyle w:val="34"/>
                    <w:spacing w:line="240" w:lineRule="auto"/>
                    <w:ind w:firstLine="0" w:firstLineChars="0"/>
                    <w:jc w:val="center"/>
                    <w:rPr>
                      <w:color w:val="auto"/>
                      <w:sz w:val="18"/>
                      <w:szCs w:val="18"/>
                    </w:rPr>
                  </w:pPr>
                </w:p>
              </w:tc>
              <w:tc>
                <w:tcPr>
                  <w:tcW w:w="851" w:type="dxa"/>
                  <w:vAlign w:val="center"/>
                </w:tcPr>
                <w:p w14:paraId="7F80471A">
                  <w:pPr>
                    <w:pStyle w:val="34"/>
                    <w:spacing w:line="240" w:lineRule="auto"/>
                    <w:ind w:firstLine="0" w:firstLineChars="0"/>
                    <w:jc w:val="center"/>
                    <w:rPr>
                      <w:color w:val="auto"/>
                      <w:sz w:val="18"/>
                      <w:szCs w:val="18"/>
                    </w:rPr>
                  </w:pPr>
                  <w:r>
                    <w:rPr>
                      <w:rFonts w:hint="eastAsia"/>
                      <w:color w:val="auto"/>
                      <w:sz w:val="18"/>
                      <w:szCs w:val="18"/>
                      <w:lang w:val="en-US" w:eastAsia="zh-CN"/>
                    </w:rPr>
                    <w:t>16</w:t>
                  </w:r>
                  <w:r>
                    <w:rPr>
                      <w:rFonts w:hint="eastAsia"/>
                      <w:color w:val="auto"/>
                      <w:sz w:val="18"/>
                      <w:szCs w:val="18"/>
                    </w:rPr>
                    <w:t>:</w:t>
                  </w:r>
                  <w:r>
                    <w:rPr>
                      <w:rFonts w:hint="eastAsia"/>
                      <w:color w:val="auto"/>
                      <w:sz w:val="18"/>
                      <w:szCs w:val="18"/>
                      <w:lang w:val="en-US" w:eastAsia="zh-CN"/>
                    </w:rPr>
                    <w:t>00-17:00</w:t>
                  </w:r>
                </w:p>
              </w:tc>
              <w:tc>
                <w:tcPr>
                  <w:tcW w:w="1135" w:type="dxa"/>
                  <w:vAlign w:val="center"/>
                </w:tcPr>
                <w:p w14:paraId="64B398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3-2</w:t>
                  </w:r>
                </w:p>
              </w:tc>
              <w:tc>
                <w:tcPr>
                  <w:tcW w:w="687" w:type="dxa"/>
                  <w:vAlign w:val="center"/>
                </w:tcPr>
                <w:p w14:paraId="61EC3509">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0.17</w:t>
                  </w:r>
                </w:p>
              </w:tc>
              <w:tc>
                <w:tcPr>
                  <w:tcW w:w="728" w:type="dxa"/>
                  <w:vAlign w:val="center"/>
                </w:tcPr>
                <w:p w14:paraId="6EF779FA">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0.08</w:t>
                  </w:r>
                </w:p>
              </w:tc>
              <w:tc>
                <w:tcPr>
                  <w:tcW w:w="690" w:type="dxa"/>
                  <w:vAlign w:val="center"/>
                </w:tcPr>
                <w:p w14:paraId="39505720">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1C6A3AC2">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53</w:t>
                  </w:r>
                  <w:r>
                    <w:rPr>
                      <w:color w:val="auto"/>
                      <w:sz w:val="18"/>
                      <w:szCs w:val="18"/>
                    </w:rPr>
                    <w:t>×10</w:t>
                  </w:r>
                  <w:r>
                    <w:rPr>
                      <w:color w:val="auto"/>
                      <w:sz w:val="18"/>
                      <w:szCs w:val="18"/>
                      <w:vertAlign w:val="superscript"/>
                    </w:rPr>
                    <w:t>-4</w:t>
                  </w:r>
                </w:p>
              </w:tc>
              <w:tc>
                <w:tcPr>
                  <w:tcW w:w="850" w:type="dxa"/>
                  <w:vAlign w:val="center"/>
                </w:tcPr>
                <w:p w14:paraId="0503916B">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0.008</w:t>
                  </w:r>
                </w:p>
              </w:tc>
            </w:tr>
            <w:tr w14:paraId="67563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7D8360E1">
                  <w:pPr>
                    <w:pStyle w:val="34"/>
                    <w:spacing w:line="240" w:lineRule="auto"/>
                    <w:ind w:firstLine="0" w:firstLineChars="0"/>
                    <w:jc w:val="center"/>
                    <w:rPr>
                      <w:color w:val="auto"/>
                      <w:sz w:val="18"/>
                      <w:szCs w:val="18"/>
                    </w:rPr>
                  </w:pPr>
                </w:p>
              </w:tc>
              <w:tc>
                <w:tcPr>
                  <w:tcW w:w="849" w:type="dxa"/>
                  <w:vMerge w:val="continue"/>
                  <w:vAlign w:val="center"/>
                </w:tcPr>
                <w:p w14:paraId="6AC8CDAC">
                  <w:pPr>
                    <w:pStyle w:val="34"/>
                    <w:spacing w:line="240" w:lineRule="auto"/>
                    <w:ind w:firstLine="0" w:firstLineChars="0"/>
                    <w:jc w:val="center"/>
                    <w:rPr>
                      <w:color w:val="auto"/>
                      <w:sz w:val="18"/>
                      <w:szCs w:val="18"/>
                    </w:rPr>
                  </w:pPr>
                </w:p>
              </w:tc>
              <w:tc>
                <w:tcPr>
                  <w:tcW w:w="851" w:type="dxa"/>
                  <w:vAlign w:val="center"/>
                </w:tcPr>
                <w:p w14:paraId="66201943">
                  <w:pPr>
                    <w:pStyle w:val="34"/>
                    <w:spacing w:line="240" w:lineRule="auto"/>
                    <w:ind w:firstLine="0" w:firstLineChars="0"/>
                    <w:jc w:val="center"/>
                    <w:rPr>
                      <w:color w:val="auto"/>
                      <w:sz w:val="18"/>
                      <w:szCs w:val="18"/>
                    </w:rPr>
                  </w:pPr>
                  <w:r>
                    <w:rPr>
                      <w:rFonts w:hint="eastAsia"/>
                      <w:color w:val="auto"/>
                      <w:sz w:val="18"/>
                      <w:szCs w:val="18"/>
                    </w:rPr>
                    <w:t>18:0</w:t>
                  </w:r>
                  <w:r>
                    <w:rPr>
                      <w:rFonts w:hint="eastAsia"/>
                      <w:color w:val="auto"/>
                      <w:sz w:val="18"/>
                      <w:szCs w:val="18"/>
                      <w:lang w:val="en-US" w:eastAsia="zh-CN"/>
                    </w:rPr>
                    <w:t>0-19:00</w:t>
                  </w:r>
                </w:p>
              </w:tc>
              <w:tc>
                <w:tcPr>
                  <w:tcW w:w="1135" w:type="dxa"/>
                  <w:vAlign w:val="center"/>
                </w:tcPr>
                <w:p w14:paraId="4E290A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3-3</w:t>
                  </w:r>
                </w:p>
              </w:tc>
              <w:tc>
                <w:tcPr>
                  <w:tcW w:w="687" w:type="dxa"/>
                  <w:vAlign w:val="center"/>
                </w:tcPr>
                <w:p w14:paraId="6E175820">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0.17</w:t>
                  </w:r>
                </w:p>
              </w:tc>
              <w:tc>
                <w:tcPr>
                  <w:tcW w:w="728" w:type="dxa"/>
                  <w:vAlign w:val="center"/>
                </w:tcPr>
                <w:p w14:paraId="66B74A6C">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0.09</w:t>
                  </w:r>
                </w:p>
              </w:tc>
              <w:tc>
                <w:tcPr>
                  <w:tcW w:w="690" w:type="dxa"/>
                  <w:vAlign w:val="center"/>
                </w:tcPr>
                <w:p w14:paraId="324DD8D4">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4E3DC59B">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46</w:t>
                  </w:r>
                  <w:r>
                    <w:rPr>
                      <w:color w:val="auto"/>
                      <w:sz w:val="18"/>
                      <w:szCs w:val="18"/>
                    </w:rPr>
                    <w:t>×10</w:t>
                  </w:r>
                  <w:r>
                    <w:rPr>
                      <w:color w:val="auto"/>
                      <w:sz w:val="18"/>
                      <w:szCs w:val="18"/>
                      <w:vertAlign w:val="superscript"/>
                    </w:rPr>
                    <w:t>-4</w:t>
                  </w:r>
                </w:p>
              </w:tc>
              <w:tc>
                <w:tcPr>
                  <w:tcW w:w="850" w:type="dxa"/>
                  <w:vAlign w:val="center"/>
                </w:tcPr>
                <w:p w14:paraId="6F510F20">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0.009</w:t>
                  </w:r>
                </w:p>
              </w:tc>
            </w:tr>
            <w:tr w14:paraId="10E32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849" w:type="dxa"/>
                  <w:vMerge w:val="restart"/>
                  <w:vAlign w:val="center"/>
                </w:tcPr>
                <w:p w14:paraId="5E7B2EE0">
                  <w:pPr>
                    <w:pStyle w:val="34"/>
                    <w:spacing w:line="240" w:lineRule="auto"/>
                    <w:ind w:firstLine="0" w:firstLineChars="0"/>
                    <w:jc w:val="center"/>
                    <w:rPr>
                      <w:color w:val="auto"/>
                      <w:sz w:val="18"/>
                      <w:szCs w:val="18"/>
                    </w:rPr>
                  </w:pPr>
                  <w:r>
                    <w:rPr>
                      <w:color w:val="auto"/>
                      <w:sz w:val="18"/>
                      <w:szCs w:val="18"/>
                    </w:rPr>
                    <w:t>污水处理站周界下风向4</w:t>
                  </w:r>
                </w:p>
              </w:tc>
              <w:tc>
                <w:tcPr>
                  <w:tcW w:w="849" w:type="dxa"/>
                  <w:vMerge w:val="restart"/>
                  <w:vAlign w:val="center"/>
                </w:tcPr>
                <w:p w14:paraId="2B904DED">
                  <w:pPr>
                    <w:pStyle w:val="34"/>
                    <w:spacing w:line="240" w:lineRule="auto"/>
                    <w:ind w:firstLine="0" w:firstLineChars="0"/>
                    <w:jc w:val="center"/>
                    <w:rPr>
                      <w:color w:val="auto"/>
                      <w:sz w:val="18"/>
                      <w:szCs w:val="18"/>
                    </w:rPr>
                  </w:pPr>
                  <w:r>
                    <w:rPr>
                      <w:rFonts w:hint="eastAsia"/>
                      <w:color w:val="auto"/>
                      <w:sz w:val="18"/>
                      <w:szCs w:val="18"/>
                      <w:lang w:val="en-US" w:eastAsia="zh-CN"/>
                    </w:rPr>
                    <w:t>2025.12.13</w:t>
                  </w:r>
                </w:p>
              </w:tc>
              <w:tc>
                <w:tcPr>
                  <w:tcW w:w="851" w:type="dxa"/>
                  <w:vAlign w:val="center"/>
                </w:tcPr>
                <w:p w14:paraId="27E240A3">
                  <w:pPr>
                    <w:pStyle w:val="34"/>
                    <w:spacing w:line="240" w:lineRule="auto"/>
                    <w:ind w:firstLine="0" w:firstLineChars="0"/>
                    <w:jc w:val="center"/>
                    <w:rPr>
                      <w:color w:val="auto"/>
                      <w:sz w:val="18"/>
                      <w:szCs w:val="18"/>
                    </w:rPr>
                  </w:pPr>
                  <w:r>
                    <w:rPr>
                      <w:rFonts w:hint="eastAsia"/>
                      <w:color w:val="auto"/>
                      <w:sz w:val="18"/>
                      <w:szCs w:val="18"/>
                    </w:rPr>
                    <w:t>14:0</w:t>
                  </w:r>
                  <w:r>
                    <w:rPr>
                      <w:rFonts w:hint="eastAsia"/>
                      <w:color w:val="auto"/>
                      <w:sz w:val="18"/>
                      <w:szCs w:val="18"/>
                      <w:lang w:val="en-US" w:eastAsia="zh-CN"/>
                    </w:rPr>
                    <w:t>0-15:00</w:t>
                  </w:r>
                </w:p>
              </w:tc>
              <w:tc>
                <w:tcPr>
                  <w:tcW w:w="1135" w:type="dxa"/>
                  <w:vAlign w:val="center"/>
                </w:tcPr>
                <w:p w14:paraId="46A21C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4-1</w:t>
                  </w:r>
                </w:p>
              </w:tc>
              <w:tc>
                <w:tcPr>
                  <w:tcW w:w="687" w:type="dxa"/>
                  <w:vAlign w:val="center"/>
                </w:tcPr>
                <w:p w14:paraId="09EE90C6">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0.14</w:t>
                  </w:r>
                </w:p>
              </w:tc>
              <w:tc>
                <w:tcPr>
                  <w:tcW w:w="728" w:type="dxa"/>
                  <w:vAlign w:val="center"/>
                </w:tcPr>
                <w:p w14:paraId="229131A4">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0.07</w:t>
                  </w:r>
                </w:p>
              </w:tc>
              <w:tc>
                <w:tcPr>
                  <w:tcW w:w="690" w:type="dxa"/>
                  <w:vAlign w:val="center"/>
                </w:tcPr>
                <w:p w14:paraId="47F03C16">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48E66AD8">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36</w:t>
                  </w:r>
                  <w:r>
                    <w:rPr>
                      <w:color w:val="auto"/>
                      <w:sz w:val="18"/>
                      <w:szCs w:val="18"/>
                    </w:rPr>
                    <w:t>×10</w:t>
                  </w:r>
                  <w:r>
                    <w:rPr>
                      <w:color w:val="auto"/>
                      <w:sz w:val="18"/>
                      <w:szCs w:val="18"/>
                      <w:vertAlign w:val="superscript"/>
                    </w:rPr>
                    <w:t>-4</w:t>
                  </w:r>
                </w:p>
              </w:tc>
              <w:tc>
                <w:tcPr>
                  <w:tcW w:w="850" w:type="dxa"/>
                  <w:vAlign w:val="center"/>
                </w:tcPr>
                <w:p w14:paraId="473BE901">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0.011</w:t>
                  </w:r>
                </w:p>
              </w:tc>
            </w:tr>
            <w:tr w14:paraId="3888A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849" w:type="dxa"/>
                  <w:vMerge w:val="continue"/>
                  <w:vAlign w:val="center"/>
                </w:tcPr>
                <w:p w14:paraId="02C6FDD9">
                  <w:pPr>
                    <w:pStyle w:val="34"/>
                    <w:spacing w:line="240" w:lineRule="auto"/>
                    <w:ind w:firstLine="0" w:firstLineChars="0"/>
                    <w:jc w:val="center"/>
                    <w:rPr>
                      <w:color w:val="auto"/>
                      <w:sz w:val="18"/>
                      <w:szCs w:val="18"/>
                    </w:rPr>
                  </w:pPr>
                </w:p>
              </w:tc>
              <w:tc>
                <w:tcPr>
                  <w:tcW w:w="849" w:type="dxa"/>
                  <w:vMerge w:val="continue"/>
                  <w:vAlign w:val="center"/>
                </w:tcPr>
                <w:p w14:paraId="7115898E">
                  <w:pPr>
                    <w:pStyle w:val="34"/>
                    <w:spacing w:line="240" w:lineRule="auto"/>
                    <w:ind w:firstLine="0" w:firstLineChars="0"/>
                    <w:jc w:val="center"/>
                    <w:rPr>
                      <w:color w:val="auto"/>
                      <w:sz w:val="18"/>
                      <w:szCs w:val="18"/>
                    </w:rPr>
                  </w:pPr>
                </w:p>
              </w:tc>
              <w:tc>
                <w:tcPr>
                  <w:tcW w:w="851" w:type="dxa"/>
                  <w:vAlign w:val="center"/>
                </w:tcPr>
                <w:p w14:paraId="4810F0DC">
                  <w:pPr>
                    <w:pStyle w:val="34"/>
                    <w:spacing w:line="240" w:lineRule="auto"/>
                    <w:ind w:firstLine="0" w:firstLineChars="0"/>
                    <w:jc w:val="center"/>
                    <w:rPr>
                      <w:color w:val="auto"/>
                      <w:sz w:val="18"/>
                      <w:szCs w:val="18"/>
                    </w:rPr>
                  </w:pPr>
                  <w:r>
                    <w:rPr>
                      <w:rFonts w:hint="eastAsia"/>
                      <w:color w:val="auto"/>
                      <w:sz w:val="18"/>
                      <w:szCs w:val="18"/>
                      <w:lang w:val="en-US" w:eastAsia="zh-CN"/>
                    </w:rPr>
                    <w:t>16</w:t>
                  </w:r>
                  <w:r>
                    <w:rPr>
                      <w:rFonts w:hint="eastAsia"/>
                      <w:color w:val="auto"/>
                      <w:sz w:val="18"/>
                      <w:szCs w:val="18"/>
                    </w:rPr>
                    <w:t>:</w:t>
                  </w:r>
                  <w:r>
                    <w:rPr>
                      <w:rFonts w:hint="eastAsia"/>
                      <w:color w:val="auto"/>
                      <w:sz w:val="18"/>
                      <w:szCs w:val="18"/>
                      <w:lang w:val="en-US" w:eastAsia="zh-CN"/>
                    </w:rPr>
                    <w:t>00-17:00</w:t>
                  </w:r>
                </w:p>
              </w:tc>
              <w:tc>
                <w:tcPr>
                  <w:tcW w:w="1135" w:type="dxa"/>
                  <w:vAlign w:val="center"/>
                </w:tcPr>
                <w:p w14:paraId="762ABB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4-2</w:t>
                  </w:r>
                </w:p>
              </w:tc>
              <w:tc>
                <w:tcPr>
                  <w:tcW w:w="687" w:type="dxa"/>
                  <w:vAlign w:val="center"/>
                </w:tcPr>
                <w:p w14:paraId="7E06F400">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0.13</w:t>
                  </w:r>
                </w:p>
              </w:tc>
              <w:tc>
                <w:tcPr>
                  <w:tcW w:w="728" w:type="dxa"/>
                  <w:vAlign w:val="center"/>
                </w:tcPr>
                <w:p w14:paraId="0FE548C3">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0.07</w:t>
                  </w:r>
                </w:p>
              </w:tc>
              <w:tc>
                <w:tcPr>
                  <w:tcW w:w="690" w:type="dxa"/>
                  <w:vAlign w:val="center"/>
                </w:tcPr>
                <w:p w14:paraId="4413B1BA">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47308FD4">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31</w:t>
                  </w:r>
                  <w:r>
                    <w:rPr>
                      <w:color w:val="auto"/>
                      <w:sz w:val="18"/>
                      <w:szCs w:val="18"/>
                    </w:rPr>
                    <w:t>×10</w:t>
                  </w:r>
                  <w:r>
                    <w:rPr>
                      <w:color w:val="auto"/>
                      <w:sz w:val="18"/>
                      <w:szCs w:val="18"/>
                      <w:vertAlign w:val="superscript"/>
                    </w:rPr>
                    <w:t>-4</w:t>
                  </w:r>
                </w:p>
              </w:tc>
              <w:tc>
                <w:tcPr>
                  <w:tcW w:w="850" w:type="dxa"/>
                  <w:vAlign w:val="center"/>
                </w:tcPr>
                <w:p w14:paraId="65375F78">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0.012</w:t>
                  </w:r>
                </w:p>
              </w:tc>
            </w:tr>
            <w:tr w14:paraId="04685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4" w:hRule="atLeast"/>
              </w:trPr>
              <w:tc>
                <w:tcPr>
                  <w:tcW w:w="849" w:type="dxa"/>
                  <w:vMerge w:val="continue"/>
                  <w:vAlign w:val="center"/>
                </w:tcPr>
                <w:p w14:paraId="33CCFEDA">
                  <w:pPr>
                    <w:pStyle w:val="34"/>
                    <w:spacing w:line="240" w:lineRule="auto"/>
                    <w:ind w:firstLine="0" w:firstLineChars="0"/>
                    <w:jc w:val="center"/>
                    <w:rPr>
                      <w:color w:val="auto"/>
                      <w:sz w:val="18"/>
                      <w:szCs w:val="18"/>
                    </w:rPr>
                  </w:pPr>
                </w:p>
              </w:tc>
              <w:tc>
                <w:tcPr>
                  <w:tcW w:w="849" w:type="dxa"/>
                  <w:vMerge w:val="continue"/>
                  <w:vAlign w:val="center"/>
                </w:tcPr>
                <w:p w14:paraId="18CDE7E8">
                  <w:pPr>
                    <w:pStyle w:val="34"/>
                    <w:spacing w:line="240" w:lineRule="auto"/>
                    <w:ind w:firstLine="0" w:firstLineChars="0"/>
                    <w:jc w:val="center"/>
                    <w:rPr>
                      <w:color w:val="auto"/>
                      <w:sz w:val="18"/>
                      <w:szCs w:val="18"/>
                    </w:rPr>
                  </w:pPr>
                </w:p>
              </w:tc>
              <w:tc>
                <w:tcPr>
                  <w:tcW w:w="851" w:type="dxa"/>
                  <w:vAlign w:val="center"/>
                </w:tcPr>
                <w:p w14:paraId="1DC15EB4">
                  <w:pPr>
                    <w:pStyle w:val="34"/>
                    <w:spacing w:line="240" w:lineRule="auto"/>
                    <w:ind w:firstLine="0" w:firstLineChars="0"/>
                    <w:jc w:val="center"/>
                    <w:rPr>
                      <w:color w:val="auto"/>
                      <w:sz w:val="18"/>
                      <w:szCs w:val="18"/>
                    </w:rPr>
                  </w:pPr>
                  <w:r>
                    <w:rPr>
                      <w:rFonts w:hint="eastAsia"/>
                      <w:color w:val="auto"/>
                      <w:sz w:val="18"/>
                      <w:szCs w:val="18"/>
                    </w:rPr>
                    <w:t>18:0</w:t>
                  </w:r>
                  <w:r>
                    <w:rPr>
                      <w:rFonts w:hint="eastAsia"/>
                      <w:color w:val="auto"/>
                      <w:sz w:val="18"/>
                      <w:szCs w:val="18"/>
                      <w:lang w:val="en-US" w:eastAsia="zh-CN"/>
                    </w:rPr>
                    <w:t>0-19:00</w:t>
                  </w:r>
                </w:p>
              </w:tc>
              <w:tc>
                <w:tcPr>
                  <w:tcW w:w="1135" w:type="dxa"/>
                  <w:vAlign w:val="center"/>
                </w:tcPr>
                <w:p w14:paraId="6699CE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251223N2-0</w:t>
                  </w:r>
                  <w:r>
                    <w:rPr>
                      <w:rFonts w:hint="eastAsia"/>
                      <w:color w:val="auto"/>
                      <w:sz w:val="18"/>
                      <w:szCs w:val="18"/>
                      <w:lang w:val="en-US" w:eastAsia="zh-CN"/>
                    </w:rPr>
                    <w:t>4-3</w:t>
                  </w:r>
                </w:p>
              </w:tc>
              <w:tc>
                <w:tcPr>
                  <w:tcW w:w="687" w:type="dxa"/>
                  <w:vAlign w:val="center"/>
                </w:tcPr>
                <w:p w14:paraId="1E801F4D">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18"/>
                      <w:szCs w:val="18"/>
                    </w:rPr>
                  </w:pPr>
                  <w:r>
                    <w:rPr>
                      <w:rFonts w:hint="eastAsia"/>
                      <w:color w:val="auto"/>
                      <w:sz w:val="18"/>
                      <w:szCs w:val="18"/>
                    </w:rPr>
                    <w:t>0.12</w:t>
                  </w:r>
                </w:p>
              </w:tc>
              <w:tc>
                <w:tcPr>
                  <w:tcW w:w="728" w:type="dxa"/>
                  <w:vAlign w:val="center"/>
                </w:tcPr>
                <w:p w14:paraId="7D4874ED">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0.08</w:t>
                  </w:r>
                </w:p>
              </w:tc>
              <w:tc>
                <w:tcPr>
                  <w:tcW w:w="690" w:type="dxa"/>
                  <w:vAlign w:val="center"/>
                </w:tcPr>
                <w:p w14:paraId="254B8751">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30E1A29D">
                  <w:pPr>
                    <w:pStyle w:val="34"/>
                    <w:spacing w:line="240" w:lineRule="auto"/>
                    <w:ind w:firstLine="0" w:firstLineChars="0"/>
                    <w:jc w:val="center"/>
                    <w:rPr>
                      <w:color w:val="auto"/>
                      <w:sz w:val="18"/>
                      <w:szCs w:val="18"/>
                    </w:rPr>
                  </w:pPr>
                  <w:r>
                    <w:rPr>
                      <w:color w:val="auto"/>
                      <w:sz w:val="18"/>
                      <w:szCs w:val="18"/>
                    </w:rPr>
                    <w:t>2.</w:t>
                  </w:r>
                  <w:r>
                    <w:rPr>
                      <w:rFonts w:hint="eastAsia"/>
                      <w:color w:val="auto"/>
                      <w:sz w:val="18"/>
                      <w:szCs w:val="18"/>
                      <w:lang w:val="en-US" w:eastAsia="zh-CN"/>
                    </w:rPr>
                    <w:t>32</w:t>
                  </w:r>
                  <w:r>
                    <w:rPr>
                      <w:color w:val="auto"/>
                      <w:sz w:val="18"/>
                      <w:szCs w:val="18"/>
                    </w:rPr>
                    <w:t>×10</w:t>
                  </w:r>
                  <w:r>
                    <w:rPr>
                      <w:color w:val="auto"/>
                      <w:sz w:val="18"/>
                      <w:szCs w:val="18"/>
                      <w:vertAlign w:val="superscript"/>
                    </w:rPr>
                    <w:t>-4</w:t>
                  </w:r>
                </w:p>
              </w:tc>
              <w:tc>
                <w:tcPr>
                  <w:tcW w:w="850" w:type="dxa"/>
                  <w:vAlign w:val="center"/>
                </w:tcPr>
                <w:p w14:paraId="2BD56005">
                  <w:pPr>
                    <w:pStyle w:val="34"/>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0.010</w:t>
                  </w:r>
                </w:p>
              </w:tc>
            </w:tr>
            <w:tr w14:paraId="5FF4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3684" w:type="dxa"/>
                  <w:gridSpan w:val="4"/>
                  <w:vAlign w:val="center"/>
                </w:tcPr>
                <w:p w14:paraId="1A89D8AD">
                  <w:pPr>
                    <w:pStyle w:val="34"/>
                    <w:spacing w:line="240" w:lineRule="auto"/>
                    <w:ind w:firstLine="0" w:firstLineChars="0"/>
                    <w:jc w:val="center"/>
                    <w:rPr>
                      <w:color w:val="auto"/>
                      <w:sz w:val="18"/>
                      <w:szCs w:val="18"/>
                    </w:rPr>
                  </w:pPr>
                  <w:r>
                    <w:rPr>
                      <w:color w:val="auto"/>
                      <w:sz w:val="18"/>
                      <w:szCs w:val="18"/>
                    </w:rPr>
                    <w:t>标准限值</w:t>
                  </w:r>
                </w:p>
              </w:tc>
              <w:tc>
                <w:tcPr>
                  <w:tcW w:w="687" w:type="dxa"/>
                  <w:vAlign w:val="center"/>
                </w:tcPr>
                <w:p w14:paraId="4AB90487">
                  <w:pPr>
                    <w:pStyle w:val="34"/>
                    <w:spacing w:line="240" w:lineRule="auto"/>
                    <w:ind w:firstLine="0" w:firstLineChars="0"/>
                    <w:jc w:val="center"/>
                    <w:rPr>
                      <w:color w:val="auto"/>
                      <w:sz w:val="18"/>
                      <w:szCs w:val="18"/>
                    </w:rPr>
                  </w:pPr>
                  <w:r>
                    <w:rPr>
                      <w:color w:val="auto"/>
                      <w:sz w:val="18"/>
                      <w:szCs w:val="18"/>
                    </w:rPr>
                    <w:t>1.0</w:t>
                  </w:r>
                </w:p>
              </w:tc>
              <w:tc>
                <w:tcPr>
                  <w:tcW w:w="728" w:type="dxa"/>
                  <w:vAlign w:val="center"/>
                </w:tcPr>
                <w:p w14:paraId="2E30BB49">
                  <w:pPr>
                    <w:pStyle w:val="34"/>
                    <w:spacing w:line="240" w:lineRule="auto"/>
                    <w:ind w:firstLine="0" w:firstLineChars="0"/>
                    <w:jc w:val="center"/>
                    <w:rPr>
                      <w:color w:val="auto"/>
                      <w:sz w:val="18"/>
                      <w:szCs w:val="18"/>
                    </w:rPr>
                  </w:pPr>
                  <w:r>
                    <w:rPr>
                      <w:color w:val="auto"/>
                      <w:sz w:val="18"/>
                      <w:szCs w:val="18"/>
                    </w:rPr>
                    <w:t>0.1</w:t>
                  </w:r>
                </w:p>
              </w:tc>
              <w:tc>
                <w:tcPr>
                  <w:tcW w:w="690" w:type="dxa"/>
                  <w:vAlign w:val="center"/>
                </w:tcPr>
                <w:p w14:paraId="5B3C4A8C">
                  <w:pPr>
                    <w:pStyle w:val="34"/>
                    <w:spacing w:line="240" w:lineRule="auto"/>
                    <w:ind w:firstLine="0" w:firstLineChars="0"/>
                    <w:jc w:val="center"/>
                    <w:rPr>
                      <w:color w:val="auto"/>
                      <w:sz w:val="18"/>
                      <w:szCs w:val="18"/>
                    </w:rPr>
                  </w:pPr>
                  <w:r>
                    <w:rPr>
                      <w:color w:val="auto"/>
                      <w:sz w:val="18"/>
                      <w:szCs w:val="18"/>
                    </w:rPr>
                    <w:t>10</w:t>
                  </w:r>
                </w:p>
              </w:tc>
              <w:tc>
                <w:tcPr>
                  <w:tcW w:w="1015" w:type="dxa"/>
                  <w:vAlign w:val="center"/>
                </w:tcPr>
                <w:p w14:paraId="6AC5CED0">
                  <w:pPr>
                    <w:pStyle w:val="34"/>
                    <w:spacing w:line="240" w:lineRule="auto"/>
                    <w:ind w:firstLine="0" w:firstLineChars="0"/>
                    <w:jc w:val="center"/>
                    <w:rPr>
                      <w:color w:val="auto"/>
                      <w:sz w:val="18"/>
                      <w:szCs w:val="18"/>
                    </w:rPr>
                  </w:pPr>
                  <w:r>
                    <w:rPr>
                      <w:color w:val="auto"/>
                      <w:sz w:val="18"/>
                      <w:szCs w:val="18"/>
                    </w:rPr>
                    <w:t>1</w:t>
                  </w:r>
                </w:p>
              </w:tc>
              <w:tc>
                <w:tcPr>
                  <w:tcW w:w="850" w:type="dxa"/>
                  <w:vAlign w:val="center"/>
                </w:tcPr>
                <w:p w14:paraId="1928C471">
                  <w:pPr>
                    <w:pStyle w:val="34"/>
                    <w:spacing w:line="240" w:lineRule="auto"/>
                    <w:ind w:firstLine="0" w:firstLineChars="0"/>
                    <w:jc w:val="center"/>
                    <w:rPr>
                      <w:color w:val="auto"/>
                      <w:sz w:val="18"/>
                      <w:szCs w:val="18"/>
                    </w:rPr>
                  </w:pPr>
                  <w:r>
                    <w:rPr>
                      <w:color w:val="auto"/>
                      <w:sz w:val="18"/>
                      <w:szCs w:val="18"/>
                    </w:rPr>
                    <w:t>0.03</w:t>
                  </w:r>
                </w:p>
              </w:tc>
            </w:tr>
            <w:tr w14:paraId="6AB2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3684" w:type="dxa"/>
                  <w:gridSpan w:val="4"/>
                  <w:vAlign w:val="center"/>
                </w:tcPr>
                <w:p w14:paraId="0F053734">
                  <w:pPr>
                    <w:pStyle w:val="34"/>
                    <w:spacing w:line="240" w:lineRule="auto"/>
                    <w:ind w:firstLine="0" w:firstLineChars="0"/>
                    <w:jc w:val="center"/>
                    <w:rPr>
                      <w:color w:val="auto"/>
                      <w:sz w:val="18"/>
                      <w:szCs w:val="18"/>
                    </w:rPr>
                  </w:pPr>
                  <w:r>
                    <w:rPr>
                      <w:color w:val="auto"/>
                      <w:sz w:val="18"/>
                      <w:szCs w:val="18"/>
                    </w:rPr>
                    <w:t>达标情况</w:t>
                  </w:r>
                </w:p>
              </w:tc>
              <w:tc>
                <w:tcPr>
                  <w:tcW w:w="687" w:type="dxa"/>
                  <w:vAlign w:val="center"/>
                </w:tcPr>
                <w:p w14:paraId="618B5E99">
                  <w:pPr>
                    <w:pStyle w:val="34"/>
                    <w:spacing w:line="240" w:lineRule="auto"/>
                    <w:ind w:firstLine="0" w:firstLineChars="0"/>
                    <w:jc w:val="center"/>
                    <w:rPr>
                      <w:color w:val="auto"/>
                      <w:sz w:val="18"/>
                      <w:szCs w:val="18"/>
                    </w:rPr>
                  </w:pPr>
                  <w:r>
                    <w:rPr>
                      <w:color w:val="auto"/>
                      <w:sz w:val="18"/>
                      <w:szCs w:val="18"/>
                    </w:rPr>
                    <w:t>达标</w:t>
                  </w:r>
                </w:p>
              </w:tc>
              <w:tc>
                <w:tcPr>
                  <w:tcW w:w="728" w:type="dxa"/>
                  <w:vAlign w:val="center"/>
                </w:tcPr>
                <w:p w14:paraId="5CF318D8">
                  <w:pPr>
                    <w:pStyle w:val="34"/>
                    <w:spacing w:line="240" w:lineRule="auto"/>
                    <w:ind w:firstLine="0" w:firstLineChars="0"/>
                    <w:jc w:val="center"/>
                    <w:rPr>
                      <w:color w:val="auto"/>
                      <w:sz w:val="18"/>
                      <w:szCs w:val="18"/>
                    </w:rPr>
                  </w:pPr>
                  <w:r>
                    <w:rPr>
                      <w:color w:val="auto"/>
                      <w:sz w:val="18"/>
                      <w:szCs w:val="18"/>
                    </w:rPr>
                    <w:t>达标</w:t>
                  </w:r>
                </w:p>
              </w:tc>
              <w:tc>
                <w:tcPr>
                  <w:tcW w:w="690" w:type="dxa"/>
                  <w:vAlign w:val="center"/>
                </w:tcPr>
                <w:p w14:paraId="23659B32">
                  <w:pPr>
                    <w:pStyle w:val="34"/>
                    <w:spacing w:line="240" w:lineRule="auto"/>
                    <w:ind w:firstLine="0" w:firstLineChars="0"/>
                    <w:jc w:val="center"/>
                    <w:rPr>
                      <w:color w:val="auto"/>
                      <w:sz w:val="18"/>
                      <w:szCs w:val="18"/>
                    </w:rPr>
                  </w:pPr>
                  <w:r>
                    <w:rPr>
                      <w:color w:val="auto"/>
                      <w:sz w:val="18"/>
                      <w:szCs w:val="18"/>
                    </w:rPr>
                    <w:t>达标</w:t>
                  </w:r>
                </w:p>
              </w:tc>
              <w:tc>
                <w:tcPr>
                  <w:tcW w:w="1015" w:type="dxa"/>
                  <w:vAlign w:val="center"/>
                </w:tcPr>
                <w:p w14:paraId="071DF879">
                  <w:pPr>
                    <w:pStyle w:val="34"/>
                    <w:spacing w:line="240" w:lineRule="auto"/>
                    <w:ind w:firstLine="0" w:firstLineChars="0"/>
                    <w:jc w:val="center"/>
                    <w:rPr>
                      <w:color w:val="auto"/>
                      <w:sz w:val="18"/>
                      <w:szCs w:val="18"/>
                    </w:rPr>
                  </w:pPr>
                  <w:r>
                    <w:rPr>
                      <w:color w:val="auto"/>
                      <w:sz w:val="18"/>
                      <w:szCs w:val="18"/>
                    </w:rPr>
                    <w:t>达标</w:t>
                  </w:r>
                </w:p>
              </w:tc>
              <w:tc>
                <w:tcPr>
                  <w:tcW w:w="850" w:type="dxa"/>
                  <w:vAlign w:val="center"/>
                </w:tcPr>
                <w:p w14:paraId="211AFAEC">
                  <w:pPr>
                    <w:pStyle w:val="34"/>
                    <w:spacing w:line="240" w:lineRule="auto"/>
                    <w:ind w:firstLine="0" w:firstLineChars="0"/>
                    <w:jc w:val="center"/>
                    <w:rPr>
                      <w:color w:val="auto"/>
                      <w:sz w:val="18"/>
                      <w:szCs w:val="18"/>
                    </w:rPr>
                  </w:pPr>
                  <w:r>
                    <w:rPr>
                      <w:color w:val="auto"/>
                      <w:sz w:val="18"/>
                      <w:szCs w:val="18"/>
                    </w:rPr>
                    <w:t>达标</w:t>
                  </w:r>
                </w:p>
              </w:tc>
            </w:tr>
            <w:tr w14:paraId="24E06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849" w:type="dxa"/>
                  <w:vAlign w:val="center"/>
                </w:tcPr>
                <w:p w14:paraId="2D5E4F20">
                  <w:pPr>
                    <w:pStyle w:val="34"/>
                    <w:spacing w:line="240" w:lineRule="auto"/>
                    <w:ind w:firstLine="0" w:firstLineChars="0"/>
                    <w:jc w:val="center"/>
                    <w:rPr>
                      <w:color w:val="auto"/>
                      <w:sz w:val="18"/>
                      <w:szCs w:val="18"/>
                    </w:rPr>
                  </w:pPr>
                  <w:r>
                    <w:rPr>
                      <w:color w:val="auto"/>
                      <w:sz w:val="18"/>
                      <w:szCs w:val="18"/>
                    </w:rPr>
                    <w:t>备注</w:t>
                  </w:r>
                </w:p>
              </w:tc>
              <w:tc>
                <w:tcPr>
                  <w:tcW w:w="6805" w:type="dxa"/>
                  <w:gridSpan w:val="8"/>
                  <w:vAlign w:val="center"/>
                </w:tcPr>
                <w:p w14:paraId="3AB90C74">
                  <w:pPr>
                    <w:pStyle w:val="34"/>
                    <w:spacing w:line="240" w:lineRule="auto"/>
                    <w:ind w:firstLine="0" w:firstLineChars="0"/>
                    <w:jc w:val="center"/>
                    <w:rPr>
                      <w:color w:val="auto"/>
                      <w:sz w:val="18"/>
                      <w:szCs w:val="18"/>
                    </w:rPr>
                  </w:pPr>
                  <w:r>
                    <w:rPr>
                      <w:color w:val="auto"/>
                      <w:sz w:val="18"/>
                      <w:szCs w:val="18"/>
                    </w:rPr>
                    <w:t>“＜检出限”表示检测结果低于检测方法最低检出限。</w:t>
                  </w:r>
                </w:p>
              </w:tc>
            </w:tr>
          </w:tbl>
          <w:p w14:paraId="6FD8017B">
            <w:pPr>
              <w:pStyle w:val="34"/>
              <w:ind w:firstLine="480"/>
              <w:rPr>
                <w:color w:val="auto"/>
              </w:rPr>
            </w:pPr>
            <w:r>
              <w:rPr>
                <w:color w:val="auto"/>
              </w:rPr>
              <w:t>项目污水处理站周边废气排放能达到《医疗机构水污染物排放标准》(GB18466-2005)中污水处理站周边大气污染物最高允许浓度的要求。</w:t>
            </w:r>
          </w:p>
          <w:p w14:paraId="2D13D753">
            <w:pPr>
              <w:pStyle w:val="34"/>
              <w:ind w:firstLine="480"/>
              <w:rPr>
                <w:color w:val="auto"/>
              </w:rPr>
            </w:pPr>
            <w:r>
              <w:rPr>
                <w:color w:val="auto"/>
              </w:rPr>
              <w:t>（2）废水</w:t>
            </w:r>
          </w:p>
          <w:p w14:paraId="6D753429">
            <w:pPr>
              <w:pStyle w:val="34"/>
              <w:ind w:firstLine="480"/>
              <w:rPr>
                <w:color w:val="auto"/>
              </w:rPr>
            </w:pPr>
            <w:r>
              <w:rPr>
                <w:color w:val="auto"/>
              </w:rPr>
              <w:t>根据医院提供的资料，自行监测期间</w:t>
            </w:r>
            <w:r>
              <w:rPr>
                <w:color w:val="auto"/>
                <w:highlight w:val="none"/>
              </w:rPr>
              <w:t>（</w:t>
            </w:r>
            <w:r>
              <w:rPr>
                <w:rFonts w:hint="eastAsia"/>
                <w:color w:val="auto"/>
                <w:highlight w:val="none"/>
                <w:lang w:val="en-US" w:eastAsia="zh-CN"/>
              </w:rPr>
              <w:t>2025.12、2026.2.27</w:t>
            </w:r>
            <w:r>
              <w:rPr>
                <w:color w:val="auto"/>
                <w:highlight w:val="none"/>
              </w:rPr>
              <w:t>）</w:t>
            </w:r>
            <w:r>
              <w:rPr>
                <w:color w:val="auto"/>
              </w:rPr>
              <w:t>污水处理站</w:t>
            </w:r>
            <w:r>
              <w:rPr>
                <w:rFonts w:hint="eastAsia"/>
                <w:color w:val="auto"/>
                <w:lang w:val="en-US" w:eastAsia="zh-CN"/>
              </w:rPr>
              <w:t>自行检测</w:t>
            </w:r>
            <w:r>
              <w:rPr>
                <w:color w:val="auto"/>
              </w:rPr>
              <w:t>。根据《</w:t>
            </w:r>
            <w:r>
              <w:rPr>
                <w:rFonts w:hint="eastAsia"/>
                <w:color w:val="auto"/>
                <w:lang w:val="en-US" w:eastAsia="zh-CN"/>
              </w:rPr>
              <w:t>玉溪市江川区人民医院2025年自行监测</w:t>
            </w:r>
            <w:r>
              <w:rPr>
                <w:color w:val="auto"/>
              </w:rPr>
              <w:t>》</w:t>
            </w:r>
            <w:r>
              <w:rPr>
                <w:rFonts w:hint="eastAsia"/>
                <w:color w:val="auto"/>
                <w:lang w:val="en-US" w:eastAsia="zh-CN"/>
              </w:rPr>
              <w:t>及</w:t>
            </w:r>
            <w:r>
              <w:rPr>
                <w:color w:val="auto"/>
                <w:highlight w:val="none"/>
              </w:rPr>
              <w:t>《江川区人民医院</w:t>
            </w:r>
            <w:r>
              <w:rPr>
                <w:rFonts w:hint="eastAsia"/>
                <w:color w:val="auto"/>
                <w:highlight w:val="none"/>
                <w:lang w:val="en-US" w:eastAsia="zh-CN"/>
              </w:rPr>
              <w:t>2025</w:t>
            </w:r>
            <w:r>
              <w:rPr>
                <w:color w:val="auto"/>
                <w:highlight w:val="none"/>
              </w:rPr>
              <w:t>年自行监测（四季度）》</w:t>
            </w:r>
            <w:r>
              <w:rPr>
                <w:rFonts w:hint="eastAsia"/>
                <w:color w:val="auto"/>
                <w:highlight w:val="none"/>
                <w:lang w:eastAsia="zh-CN"/>
              </w:rPr>
              <w:t>《</w:t>
            </w:r>
            <w:r>
              <w:rPr>
                <w:rFonts w:hint="eastAsia"/>
                <w:color w:val="auto"/>
                <w:lang w:val="en-US" w:eastAsia="zh-CN"/>
              </w:rPr>
              <w:t>玉溪市江川区人民医院2026年自行监测（2月））</w:t>
            </w:r>
            <w:r>
              <w:rPr>
                <w:rFonts w:hint="eastAsia"/>
                <w:color w:val="auto"/>
                <w:highlight w:val="none"/>
                <w:lang w:eastAsia="zh-CN"/>
              </w:rPr>
              <w:t>》</w:t>
            </w:r>
            <w:r>
              <w:rPr>
                <w:color w:val="auto"/>
              </w:rPr>
              <w:t>中对出水水质的监测结果，核算满负荷排放量。</w:t>
            </w:r>
          </w:p>
          <w:p w14:paraId="4FF93485">
            <w:pPr>
              <w:pStyle w:val="2"/>
              <w:jc w:val="center"/>
              <w:rPr>
                <w:b/>
                <w:bCs/>
                <w:color w:val="auto"/>
                <w:sz w:val="21"/>
                <w:szCs w:val="28"/>
              </w:rPr>
            </w:pPr>
            <w:r>
              <w:rPr>
                <w:b/>
                <w:bCs/>
                <w:color w:val="auto"/>
                <w:sz w:val="21"/>
                <w:szCs w:val="28"/>
              </w:rPr>
              <w:t>表2-</w:t>
            </w:r>
            <w:r>
              <w:rPr>
                <w:rFonts w:hint="eastAsia"/>
                <w:b/>
                <w:bCs/>
                <w:color w:val="auto"/>
                <w:sz w:val="21"/>
                <w:szCs w:val="28"/>
                <w:lang w:val="en-US" w:eastAsia="zh-CN"/>
              </w:rPr>
              <w:t>17</w:t>
            </w:r>
            <w:r>
              <w:rPr>
                <w:b/>
                <w:bCs/>
                <w:color w:val="auto"/>
                <w:sz w:val="21"/>
                <w:szCs w:val="28"/>
              </w:rPr>
              <w:t>现有工程废水检测结果</w:t>
            </w:r>
          </w:p>
          <w:tbl>
            <w:tblPr>
              <w:tblStyle w:val="5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02"/>
              <w:gridCol w:w="1456"/>
              <w:gridCol w:w="1456"/>
              <w:gridCol w:w="1456"/>
              <w:gridCol w:w="832"/>
              <w:gridCol w:w="829"/>
            </w:tblGrid>
            <w:tr w14:paraId="007C56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atLeast"/>
                <w:jc w:val="center"/>
              </w:trPr>
              <w:tc>
                <w:tcPr>
                  <w:tcW w:w="1702" w:type="dxa"/>
                  <w:vAlign w:val="center"/>
                </w:tcPr>
                <w:p w14:paraId="1835B453">
                  <w:pPr>
                    <w:spacing w:line="240" w:lineRule="auto"/>
                    <w:ind w:firstLine="0" w:firstLineChars="0"/>
                    <w:jc w:val="center"/>
                    <w:rPr>
                      <w:rFonts w:hint="eastAsia"/>
                      <w:bCs/>
                      <w:color w:val="auto"/>
                      <w:sz w:val="21"/>
                      <w:szCs w:val="21"/>
                    </w:rPr>
                  </w:pPr>
                  <w:r>
                    <w:rPr>
                      <w:rFonts w:hint="eastAsia"/>
                      <w:bCs/>
                      <w:color w:val="auto"/>
                      <w:sz w:val="21"/>
                      <w:szCs w:val="21"/>
                    </w:rPr>
                    <w:t>点位名称</w:t>
                  </w:r>
                </w:p>
              </w:tc>
              <w:tc>
                <w:tcPr>
                  <w:tcW w:w="4368" w:type="dxa"/>
                  <w:gridSpan w:val="3"/>
                  <w:vAlign w:val="center"/>
                </w:tcPr>
                <w:p w14:paraId="128D4D86">
                  <w:pPr>
                    <w:spacing w:line="240" w:lineRule="auto"/>
                    <w:ind w:firstLine="0" w:firstLineChars="0"/>
                    <w:jc w:val="center"/>
                    <w:rPr>
                      <w:rFonts w:hint="eastAsia"/>
                      <w:bCs/>
                      <w:color w:val="auto"/>
                      <w:sz w:val="21"/>
                      <w:szCs w:val="21"/>
                    </w:rPr>
                  </w:pPr>
                  <w:r>
                    <w:rPr>
                      <w:rFonts w:hint="eastAsia"/>
                      <w:bCs/>
                      <w:color w:val="auto"/>
                      <w:sz w:val="21"/>
                      <w:szCs w:val="21"/>
                    </w:rPr>
                    <w:t>废水总排放口</w:t>
                  </w:r>
                </w:p>
              </w:tc>
              <w:tc>
                <w:tcPr>
                  <w:tcW w:w="832" w:type="dxa"/>
                  <w:vMerge w:val="restart"/>
                  <w:vAlign w:val="center"/>
                </w:tcPr>
                <w:p w14:paraId="7FB0771E">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标准限值</w:t>
                  </w:r>
                </w:p>
              </w:tc>
              <w:tc>
                <w:tcPr>
                  <w:tcW w:w="829" w:type="dxa"/>
                  <w:vMerge w:val="restart"/>
                  <w:vAlign w:val="center"/>
                </w:tcPr>
                <w:p w14:paraId="1E013348">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达标情况</w:t>
                  </w:r>
                </w:p>
              </w:tc>
            </w:tr>
            <w:tr w14:paraId="02ABB2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702" w:type="dxa"/>
                  <w:vAlign w:val="center"/>
                </w:tcPr>
                <w:p w14:paraId="7946F01B">
                  <w:pPr>
                    <w:spacing w:line="240" w:lineRule="auto"/>
                    <w:ind w:firstLine="0" w:firstLineChars="0"/>
                    <w:jc w:val="center"/>
                    <w:rPr>
                      <w:rFonts w:hint="eastAsia"/>
                      <w:bCs/>
                      <w:color w:val="auto"/>
                      <w:sz w:val="21"/>
                      <w:szCs w:val="21"/>
                    </w:rPr>
                  </w:pPr>
                  <w:r>
                    <w:rPr>
                      <w:rFonts w:hint="eastAsia"/>
                      <w:bCs/>
                      <w:color w:val="auto"/>
                      <w:sz w:val="21"/>
                      <w:szCs w:val="21"/>
                    </w:rPr>
                    <w:t>采样日期</w:t>
                  </w:r>
                </w:p>
              </w:tc>
              <w:tc>
                <w:tcPr>
                  <w:tcW w:w="4368" w:type="dxa"/>
                  <w:gridSpan w:val="3"/>
                  <w:vAlign w:val="center"/>
                </w:tcPr>
                <w:p w14:paraId="33ED1ABC">
                  <w:pPr>
                    <w:spacing w:line="240" w:lineRule="auto"/>
                    <w:ind w:firstLine="0" w:firstLineChars="0"/>
                    <w:jc w:val="center"/>
                    <w:rPr>
                      <w:rFonts w:hint="eastAsia"/>
                      <w:bCs/>
                      <w:color w:val="auto"/>
                      <w:sz w:val="21"/>
                      <w:szCs w:val="21"/>
                    </w:rPr>
                  </w:pPr>
                  <w:r>
                    <w:rPr>
                      <w:rFonts w:hint="eastAsia"/>
                      <w:bCs/>
                      <w:color w:val="auto"/>
                      <w:sz w:val="21"/>
                      <w:szCs w:val="21"/>
                    </w:rPr>
                    <w:t>2025.12.23</w:t>
                  </w:r>
                </w:p>
              </w:tc>
              <w:tc>
                <w:tcPr>
                  <w:tcW w:w="832" w:type="dxa"/>
                  <w:vMerge w:val="continue"/>
                  <w:vAlign w:val="center"/>
                </w:tcPr>
                <w:p w14:paraId="4D649405">
                  <w:pPr>
                    <w:spacing w:line="240" w:lineRule="auto"/>
                    <w:ind w:firstLine="0" w:firstLineChars="0"/>
                    <w:jc w:val="center"/>
                    <w:rPr>
                      <w:rFonts w:hint="eastAsia"/>
                      <w:bCs/>
                      <w:color w:val="auto"/>
                      <w:sz w:val="21"/>
                      <w:szCs w:val="21"/>
                    </w:rPr>
                  </w:pPr>
                </w:p>
              </w:tc>
              <w:tc>
                <w:tcPr>
                  <w:tcW w:w="829" w:type="dxa"/>
                  <w:vMerge w:val="continue"/>
                  <w:vAlign w:val="center"/>
                </w:tcPr>
                <w:p w14:paraId="66EB5FCC">
                  <w:pPr>
                    <w:spacing w:line="240" w:lineRule="auto"/>
                    <w:ind w:firstLine="0" w:firstLineChars="0"/>
                    <w:jc w:val="center"/>
                    <w:rPr>
                      <w:rFonts w:hint="eastAsia"/>
                      <w:bCs/>
                      <w:color w:val="auto"/>
                      <w:sz w:val="21"/>
                      <w:szCs w:val="21"/>
                    </w:rPr>
                  </w:pPr>
                </w:p>
              </w:tc>
            </w:tr>
            <w:tr w14:paraId="01495F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702" w:type="dxa"/>
                  <w:tcBorders>
                    <w:tl2br w:val="single" w:color="000000" w:sz="4" w:space="0"/>
                  </w:tcBorders>
                  <w:vAlign w:val="center"/>
                </w:tcPr>
                <w:p w14:paraId="18097583">
                  <w:pPr>
                    <w:spacing w:line="240" w:lineRule="auto"/>
                    <w:ind w:firstLine="0" w:firstLineChars="0"/>
                    <w:jc w:val="center"/>
                    <w:rPr>
                      <w:rFonts w:hint="eastAsia"/>
                      <w:bCs/>
                      <w:color w:val="auto"/>
                      <w:sz w:val="21"/>
                      <w:szCs w:val="21"/>
                    </w:rPr>
                  </w:pPr>
                  <w:r>
                    <w:rPr>
                      <w:rFonts w:hint="eastAsia"/>
                      <w:bCs/>
                      <w:color w:val="auto"/>
                      <w:sz w:val="21"/>
                      <w:szCs w:val="21"/>
                    </w:rPr>
                    <w:t>样品编号检测项目</w:t>
                  </w:r>
                </w:p>
              </w:tc>
              <w:tc>
                <w:tcPr>
                  <w:tcW w:w="1456" w:type="dxa"/>
                  <w:vAlign w:val="center"/>
                </w:tcPr>
                <w:p w14:paraId="7BD83A81">
                  <w:pPr>
                    <w:spacing w:line="240" w:lineRule="auto"/>
                    <w:ind w:firstLine="0" w:firstLineChars="0"/>
                    <w:jc w:val="center"/>
                    <w:rPr>
                      <w:rFonts w:hint="eastAsia"/>
                      <w:bCs/>
                      <w:color w:val="auto"/>
                      <w:sz w:val="21"/>
                      <w:szCs w:val="21"/>
                    </w:rPr>
                  </w:pPr>
                  <w:r>
                    <w:rPr>
                      <w:rFonts w:hint="eastAsia"/>
                      <w:bCs/>
                      <w:color w:val="auto"/>
                      <w:sz w:val="21"/>
                      <w:szCs w:val="21"/>
                    </w:rPr>
                    <w:t>S251223N2-01-1</w:t>
                  </w:r>
                </w:p>
              </w:tc>
              <w:tc>
                <w:tcPr>
                  <w:tcW w:w="1456" w:type="dxa"/>
                  <w:vAlign w:val="center"/>
                </w:tcPr>
                <w:p w14:paraId="61BD0E9C">
                  <w:pPr>
                    <w:spacing w:line="240" w:lineRule="auto"/>
                    <w:ind w:firstLine="0" w:firstLineChars="0"/>
                    <w:jc w:val="center"/>
                    <w:rPr>
                      <w:rFonts w:hint="eastAsia"/>
                      <w:bCs/>
                      <w:color w:val="auto"/>
                      <w:sz w:val="21"/>
                      <w:szCs w:val="21"/>
                    </w:rPr>
                  </w:pPr>
                  <w:r>
                    <w:rPr>
                      <w:rFonts w:hint="eastAsia"/>
                      <w:bCs/>
                      <w:color w:val="auto"/>
                      <w:sz w:val="21"/>
                      <w:szCs w:val="21"/>
                    </w:rPr>
                    <w:t>S251223N2-01-2</w:t>
                  </w:r>
                </w:p>
              </w:tc>
              <w:tc>
                <w:tcPr>
                  <w:tcW w:w="1456" w:type="dxa"/>
                  <w:vAlign w:val="center"/>
                </w:tcPr>
                <w:p w14:paraId="348463ED">
                  <w:pPr>
                    <w:spacing w:line="240" w:lineRule="auto"/>
                    <w:ind w:firstLine="0" w:firstLineChars="0"/>
                    <w:jc w:val="center"/>
                    <w:rPr>
                      <w:rFonts w:hint="eastAsia"/>
                      <w:bCs/>
                      <w:color w:val="auto"/>
                      <w:sz w:val="21"/>
                      <w:szCs w:val="21"/>
                    </w:rPr>
                  </w:pPr>
                  <w:r>
                    <w:rPr>
                      <w:rFonts w:hint="eastAsia"/>
                      <w:bCs/>
                      <w:color w:val="auto"/>
                      <w:sz w:val="21"/>
                      <w:szCs w:val="21"/>
                    </w:rPr>
                    <w:t>S251223N2-01-3</w:t>
                  </w:r>
                </w:p>
              </w:tc>
              <w:tc>
                <w:tcPr>
                  <w:tcW w:w="832" w:type="dxa"/>
                  <w:vAlign w:val="center"/>
                </w:tcPr>
                <w:p w14:paraId="66463D22">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w:t>
                  </w:r>
                </w:p>
              </w:tc>
              <w:tc>
                <w:tcPr>
                  <w:tcW w:w="829" w:type="dxa"/>
                  <w:vAlign w:val="center"/>
                </w:tcPr>
                <w:p w14:paraId="5C55B7BC">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w:t>
                  </w:r>
                </w:p>
              </w:tc>
            </w:tr>
            <w:tr w14:paraId="29B706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702" w:type="dxa"/>
                  <w:vAlign w:val="center"/>
                </w:tcPr>
                <w:p w14:paraId="142EC8B8">
                  <w:pPr>
                    <w:spacing w:line="240" w:lineRule="auto"/>
                    <w:ind w:firstLine="0" w:firstLineChars="0"/>
                    <w:jc w:val="center"/>
                    <w:rPr>
                      <w:rFonts w:hint="eastAsia"/>
                      <w:bCs/>
                      <w:color w:val="auto"/>
                      <w:sz w:val="21"/>
                      <w:szCs w:val="21"/>
                    </w:rPr>
                  </w:pPr>
                  <w:r>
                    <w:rPr>
                      <w:rFonts w:hint="eastAsia"/>
                      <w:bCs/>
                      <w:color w:val="auto"/>
                      <w:sz w:val="21"/>
                      <w:szCs w:val="21"/>
                    </w:rPr>
                    <w:t>pH(无量纲)</w:t>
                  </w:r>
                </w:p>
              </w:tc>
              <w:tc>
                <w:tcPr>
                  <w:tcW w:w="1456" w:type="dxa"/>
                  <w:vAlign w:val="center"/>
                </w:tcPr>
                <w:p w14:paraId="48811C84">
                  <w:pPr>
                    <w:spacing w:line="240" w:lineRule="auto"/>
                    <w:ind w:firstLine="0" w:firstLineChars="0"/>
                    <w:jc w:val="center"/>
                    <w:rPr>
                      <w:rFonts w:hint="eastAsia"/>
                      <w:bCs/>
                      <w:color w:val="auto"/>
                      <w:sz w:val="21"/>
                      <w:szCs w:val="21"/>
                    </w:rPr>
                  </w:pPr>
                  <w:r>
                    <w:rPr>
                      <w:rFonts w:hint="eastAsia"/>
                      <w:bCs/>
                      <w:color w:val="auto"/>
                      <w:sz w:val="21"/>
                      <w:szCs w:val="21"/>
                    </w:rPr>
                    <w:t>6.92</w:t>
                  </w:r>
                </w:p>
              </w:tc>
              <w:tc>
                <w:tcPr>
                  <w:tcW w:w="1456" w:type="dxa"/>
                  <w:vAlign w:val="center"/>
                </w:tcPr>
                <w:p w14:paraId="589B16A8">
                  <w:pPr>
                    <w:spacing w:line="240" w:lineRule="auto"/>
                    <w:ind w:firstLine="0" w:firstLineChars="0"/>
                    <w:jc w:val="center"/>
                    <w:rPr>
                      <w:rFonts w:hint="eastAsia"/>
                      <w:bCs/>
                      <w:color w:val="auto"/>
                      <w:sz w:val="21"/>
                      <w:szCs w:val="21"/>
                    </w:rPr>
                  </w:pPr>
                  <w:r>
                    <w:rPr>
                      <w:rFonts w:hint="eastAsia"/>
                      <w:bCs/>
                      <w:color w:val="auto"/>
                      <w:sz w:val="21"/>
                      <w:szCs w:val="21"/>
                    </w:rPr>
                    <w:t>6.87</w:t>
                  </w:r>
                </w:p>
              </w:tc>
              <w:tc>
                <w:tcPr>
                  <w:tcW w:w="1456" w:type="dxa"/>
                  <w:vAlign w:val="center"/>
                </w:tcPr>
                <w:p w14:paraId="6A1293AF">
                  <w:pPr>
                    <w:spacing w:line="240" w:lineRule="auto"/>
                    <w:ind w:firstLine="0" w:firstLineChars="0"/>
                    <w:jc w:val="center"/>
                    <w:rPr>
                      <w:rFonts w:hint="eastAsia"/>
                      <w:bCs/>
                      <w:color w:val="auto"/>
                      <w:sz w:val="21"/>
                      <w:szCs w:val="21"/>
                    </w:rPr>
                  </w:pPr>
                  <w:r>
                    <w:rPr>
                      <w:rFonts w:hint="eastAsia"/>
                      <w:bCs/>
                      <w:color w:val="auto"/>
                      <w:sz w:val="21"/>
                      <w:szCs w:val="21"/>
                    </w:rPr>
                    <w:t>6.91</w:t>
                  </w:r>
                </w:p>
              </w:tc>
              <w:tc>
                <w:tcPr>
                  <w:tcW w:w="832" w:type="dxa"/>
                  <w:vAlign w:val="center"/>
                </w:tcPr>
                <w:p w14:paraId="3F86BCFA">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6-9</w:t>
                  </w:r>
                </w:p>
              </w:tc>
              <w:tc>
                <w:tcPr>
                  <w:tcW w:w="829" w:type="dxa"/>
                  <w:vAlign w:val="center"/>
                </w:tcPr>
                <w:p w14:paraId="08B2D75B">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达标</w:t>
                  </w:r>
                </w:p>
              </w:tc>
            </w:tr>
            <w:tr w14:paraId="6CA2CC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702" w:type="dxa"/>
                  <w:vAlign w:val="center"/>
                </w:tcPr>
                <w:p w14:paraId="32A18822">
                  <w:pPr>
                    <w:spacing w:line="240" w:lineRule="auto"/>
                    <w:ind w:firstLine="0" w:firstLineChars="0"/>
                    <w:jc w:val="center"/>
                    <w:rPr>
                      <w:rFonts w:hint="eastAsia"/>
                      <w:bCs/>
                      <w:color w:val="auto"/>
                      <w:sz w:val="21"/>
                      <w:szCs w:val="21"/>
                    </w:rPr>
                  </w:pPr>
                  <w:r>
                    <w:rPr>
                      <w:rFonts w:hint="eastAsia"/>
                      <w:bCs/>
                      <w:color w:val="auto"/>
                      <w:sz w:val="21"/>
                      <w:szCs w:val="21"/>
                    </w:rPr>
                    <w:t>五日生化需氧量</w:t>
                  </w:r>
                </w:p>
              </w:tc>
              <w:tc>
                <w:tcPr>
                  <w:tcW w:w="1456" w:type="dxa"/>
                  <w:vAlign w:val="center"/>
                </w:tcPr>
                <w:p w14:paraId="56782909">
                  <w:pPr>
                    <w:spacing w:line="240" w:lineRule="auto"/>
                    <w:ind w:firstLine="0" w:firstLineChars="0"/>
                    <w:jc w:val="center"/>
                    <w:rPr>
                      <w:rFonts w:hint="eastAsia"/>
                      <w:bCs/>
                      <w:color w:val="auto"/>
                      <w:sz w:val="21"/>
                      <w:szCs w:val="21"/>
                    </w:rPr>
                  </w:pPr>
                  <w:r>
                    <w:rPr>
                      <w:rFonts w:hint="eastAsia"/>
                      <w:bCs/>
                      <w:color w:val="auto"/>
                      <w:sz w:val="21"/>
                      <w:szCs w:val="21"/>
                    </w:rPr>
                    <w:t>25.0</w:t>
                  </w:r>
                </w:p>
              </w:tc>
              <w:tc>
                <w:tcPr>
                  <w:tcW w:w="1456" w:type="dxa"/>
                  <w:vAlign w:val="center"/>
                </w:tcPr>
                <w:p w14:paraId="6FB72C3D">
                  <w:pPr>
                    <w:spacing w:line="240" w:lineRule="auto"/>
                    <w:ind w:firstLine="0" w:firstLineChars="0"/>
                    <w:jc w:val="center"/>
                    <w:rPr>
                      <w:rFonts w:hint="eastAsia"/>
                      <w:bCs/>
                      <w:color w:val="auto"/>
                      <w:sz w:val="21"/>
                      <w:szCs w:val="21"/>
                    </w:rPr>
                  </w:pPr>
                  <w:r>
                    <w:rPr>
                      <w:rFonts w:hint="eastAsia"/>
                      <w:bCs/>
                      <w:color w:val="auto"/>
                      <w:sz w:val="21"/>
                      <w:szCs w:val="21"/>
                    </w:rPr>
                    <w:t>26.8</w:t>
                  </w:r>
                </w:p>
              </w:tc>
              <w:tc>
                <w:tcPr>
                  <w:tcW w:w="1456" w:type="dxa"/>
                  <w:vAlign w:val="center"/>
                </w:tcPr>
                <w:p w14:paraId="746DD616">
                  <w:pPr>
                    <w:spacing w:line="240" w:lineRule="auto"/>
                    <w:ind w:firstLine="0" w:firstLineChars="0"/>
                    <w:jc w:val="center"/>
                    <w:rPr>
                      <w:rFonts w:hint="eastAsia"/>
                      <w:bCs/>
                      <w:color w:val="auto"/>
                      <w:sz w:val="21"/>
                      <w:szCs w:val="21"/>
                    </w:rPr>
                  </w:pPr>
                  <w:r>
                    <w:rPr>
                      <w:rFonts w:hint="eastAsia"/>
                      <w:bCs/>
                      <w:color w:val="auto"/>
                      <w:sz w:val="21"/>
                      <w:szCs w:val="21"/>
                    </w:rPr>
                    <w:t>26.3</w:t>
                  </w:r>
                </w:p>
              </w:tc>
              <w:tc>
                <w:tcPr>
                  <w:tcW w:w="832" w:type="dxa"/>
                  <w:vAlign w:val="center"/>
                </w:tcPr>
                <w:p w14:paraId="437DEA78">
                  <w:pPr>
                    <w:spacing w:line="240" w:lineRule="auto"/>
                    <w:ind w:firstLine="0" w:firstLineChars="0"/>
                    <w:jc w:val="center"/>
                    <w:rPr>
                      <w:rFonts w:hint="eastAsia"/>
                      <w:bCs/>
                      <w:color w:val="auto"/>
                      <w:sz w:val="21"/>
                      <w:szCs w:val="21"/>
                    </w:rPr>
                  </w:pPr>
                  <w:r>
                    <w:rPr>
                      <w:rFonts w:hint="eastAsia"/>
                      <w:bCs/>
                      <w:color w:val="auto"/>
                      <w:sz w:val="21"/>
                      <w:szCs w:val="21"/>
                    </w:rPr>
                    <w:t>100</w:t>
                  </w:r>
                </w:p>
              </w:tc>
              <w:tc>
                <w:tcPr>
                  <w:tcW w:w="829" w:type="dxa"/>
                  <w:vAlign w:val="center"/>
                </w:tcPr>
                <w:p w14:paraId="155D32BE">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75F83E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702" w:type="dxa"/>
                  <w:vAlign w:val="center"/>
                </w:tcPr>
                <w:p w14:paraId="247A56FD">
                  <w:pPr>
                    <w:spacing w:line="240" w:lineRule="auto"/>
                    <w:ind w:firstLine="0" w:firstLineChars="0"/>
                    <w:jc w:val="center"/>
                    <w:rPr>
                      <w:rFonts w:hint="eastAsia"/>
                      <w:bCs/>
                      <w:color w:val="auto"/>
                      <w:sz w:val="21"/>
                      <w:szCs w:val="21"/>
                    </w:rPr>
                  </w:pPr>
                  <w:r>
                    <w:rPr>
                      <w:rFonts w:hint="eastAsia"/>
                      <w:bCs/>
                      <w:color w:val="auto"/>
                      <w:sz w:val="21"/>
                      <w:szCs w:val="21"/>
                    </w:rPr>
                    <w:t>石油类</w:t>
                  </w:r>
                </w:p>
              </w:tc>
              <w:tc>
                <w:tcPr>
                  <w:tcW w:w="1456" w:type="dxa"/>
                  <w:vAlign w:val="center"/>
                </w:tcPr>
                <w:p w14:paraId="1503BD5F">
                  <w:pPr>
                    <w:spacing w:line="240" w:lineRule="auto"/>
                    <w:ind w:firstLine="0" w:firstLineChars="0"/>
                    <w:jc w:val="center"/>
                    <w:rPr>
                      <w:rFonts w:hint="eastAsia"/>
                      <w:bCs/>
                      <w:color w:val="auto"/>
                      <w:sz w:val="21"/>
                      <w:szCs w:val="21"/>
                    </w:rPr>
                  </w:pPr>
                  <w:r>
                    <w:rPr>
                      <w:rFonts w:hint="eastAsia"/>
                      <w:bCs/>
                      <w:color w:val="auto"/>
                      <w:sz w:val="21"/>
                      <w:szCs w:val="21"/>
                    </w:rPr>
                    <w:t>3.98</w:t>
                  </w:r>
                </w:p>
              </w:tc>
              <w:tc>
                <w:tcPr>
                  <w:tcW w:w="1456" w:type="dxa"/>
                  <w:vAlign w:val="center"/>
                </w:tcPr>
                <w:p w14:paraId="629CFE48">
                  <w:pPr>
                    <w:spacing w:line="240" w:lineRule="auto"/>
                    <w:ind w:firstLine="0" w:firstLineChars="0"/>
                    <w:jc w:val="center"/>
                    <w:rPr>
                      <w:rFonts w:hint="eastAsia"/>
                      <w:bCs/>
                      <w:color w:val="auto"/>
                      <w:sz w:val="21"/>
                      <w:szCs w:val="21"/>
                    </w:rPr>
                  </w:pPr>
                  <w:r>
                    <w:rPr>
                      <w:rFonts w:hint="eastAsia"/>
                      <w:bCs/>
                      <w:color w:val="auto"/>
                      <w:sz w:val="21"/>
                      <w:szCs w:val="21"/>
                    </w:rPr>
                    <w:t>3.99</w:t>
                  </w:r>
                </w:p>
              </w:tc>
              <w:tc>
                <w:tcPr>
                  <w:tcW w:w="1456" w:type="dxa"/>
                  <w:vAlign w:val="center"/>
                </w:tcPr>
                <w:p w14:paraId="0A253CFB">
                  <w:pPr>
                    <w:spacing w:line="240" w:lineRule="auto"/>
                    <w:ind w:firstLine="0" w:firstLineChars="0"/>
                    <w:jc w:val="center"/>
                    <w:rPr>
                      <w:rFonts w:hint="eastAsia"/>
                      <w:bCs/>
                      <w:color w:val="auto"/>
                      <w:sz w:val="21"/>
                      <w:szCs w:val="21"/>
                    </w:rPr>
                  </w:pPr>
                  <w:r>
                    <w:rPr>
                      <w:rFonts w:hint="eastAsia"/>
                      <w:bCs/>
                      <w:color w:val="auto"/>
                      <w:sz w:val="21"/>
                      <w:szCs w:val="21"/>
                    </w:rPr>
                    <w:t>4.01</w:t>
                  </w:r>
                </w:p>
              </w:tc>
              <w:tc>
                <w:tcPr>
                  <w:tcW w:w="832" w:type="dxa"/>
                  <w:vAlign w:val="center"/>
                </w:tcPr>
                <w:p w14:paraId="2F804BE5">
                  <w:pPr>
                    <w:spacing w:line="240" w:lineRule="auto"/>
                    <w:ind w:firstLine="0" w:firstLineChars="0"/>
                    <w:jc w:val="center"/>
                    <w:rPr>
                      <w:rFonts w:hint="eastAsia"/>
                      <w:bCs/>
                      <w:color w:val="auto"/>
                      <w:sz w:val="21"/>
                      <w:szCs w:val="21"/>
                    </w:rPr>
                  </w:pPr>
                  <w:r>
                    <w:rPr>
                      <w:rFonts w:hint="eastAsia"/>
                      <w:bCs/>
                      <w:color w:val="auto"/>
                      <w:sz w:val="21"/>
                      <w:szCs w:val="21"/>
                    </w:rPr>
                    <w:t>20</w:t>
                  </w:r>
                </w:p>
              </w:tc>
              <w:tc>
                <w:tcPr>
                  <w:tcW w:w="829" w:type="dxa"/>
                  <w:vAlign w:val="center"/>
                </w:tcPr>
                <w:p w14:paraId="0DDACD8F">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7C2011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702" w:type="dxa"/>
                  <w:vAlign w:val="center"/>
                </w:tcPr>
                <w:p w14:paraId="19C38826">
                  <w:pPr>
                    <w:spacing w:line="240" w:lineRule="auto"/>
                    <w:ind w:firstLine="0" w:firstLineChars="0"/>
                    <w:jc w:val="center"/>
                    <w:rPr>
                      <w:rFonts w:hint="eastAsia"/>
                      <w:bCs/>
                      <w:color w:val="auto"/>
                      <w:sz w:val="21"/>
                      <w:szCs w:val="21"/>
                    </w:rPr>
                  </w:pPr>
                  <w:r>
                    <w:rPr>
                      <w:rFonts w:hint="eastAsia"/>
                      <w:bCs/>
                      <w:color w:val="auto"/>
                      <w:sz w:val="21"/>
                      <w:szCs w:val="21"/>
                    </w:rPr>
                    <w:t>动植物油类</w:t>
                  </w:r>
                </w:p>
              </w:tc>
              <w:tc>
                <w:tcPr>
                  <w:tcW w:w="1456" w:type="dxa"/>
                  <w:vAlign w:val="center"/>
                </w:tcPr>
                <w:p w14:paraId="117349A0">
                  <w:pPr>
                    <w:spacing w:line="240" w:lineRule="auto"/>
                    <w:ind w:firstLine="0" w:firstLineChars="0"/>
                    <w:jc w:val="center"/>
                    <w:rPr>
                      <w:rFonts w:hint="eastAsia"/>
                      <w:bCs/>
                      <w:color w:val="auto"/>
                      <w:sz w:val="21"/>
                      <w:szCs w:val="21"/>
                    </w:rPr>
                  </w:pPr>
                  <w:r>
                    <w:rPr>
                      <w:rFonts w:hint="eastAsia"/>
                      <w:bCs/>
                      <w:color w:val="auto"/>
                      <w:sz w:val="21"/>
                      <w:szCs w:val="21"/>
                    </w:rPr>
                    <w:t>0.06L</w:t>
                  </w:r>
                </w:p>
              </w:tc>
              <w:tc>
                <w:tcPr>
                  <w:tcW w:w="1456" w:type="dxa"/>
                  <w:vAlign w:val="center"/>
                </w:tcPr>
                <w:p w14:paraId="7CAC9D38">
                  <w:pPr>
                    <w:spacing w:line="240" w:lineRule="auto"/>
                    <w:ind w:firstLine="0" w:firstLineChars="0"/>
                    <w:jc w:val="center"/>
                    <w:rPr>
                      <w:rFonts w:hint="eastAsia"/>
                      <w:bCs/>
                      <w:color w:val="auto"/>
                      <w:sz w:val="21"/>
                      <w:szCs w:val="21"/>
                    </w:rPr>
                  </w:pPr>
                  <w:r>
                    <w:rPr>
                      <w:rFonts w:hint="eastAsia"/>
                      <w:bCs/>
                      <w:color w:val="auto"/>
                      <w:sz w:val="21"/>
                      <w:szCs w:val="21"/>
                    </w:rPr>
                    <w:t>0.06L</w:t>
                  </w:r>
                </w:p>
              </w:tc>
              <w:tc>
                <w:tcPr>
                  <w:tcW w:w="1456" w:type="dxa"/>
                  <w:vAlign w:val="center"/>
                </w:tcPr>
                <w:p w14:paraId="60BB2AAD">
                  <w:pPr>
                    <w:spacing w:line="240" w:lineRule="auto"/>
                    <w:ind w:firstLine="0" w:firstLineChars="0"/>
                    <w:jc w:val="center"/>
                    <w:rPr>
                      <w:rFonts w:hint="eastAsia"/>
                      <w:bCs/>
                      <w:color w:val="auto"/>
                      <w:sz w:val="21"/>
                      <w:szCs w:val="21"/>
                    </w:rPr>
                  </w:pPr>
                  <w:r>
                    <w:rPr>
                      <w:rFonts w:hint="eastAsia"/>
                      <w:bCs/>
                      <w:color w:val="auto"/>
                      <w:sz w:val="21"/>
                      <w:szCs w:val="21"/>
                    </w:rPr>
                    <w:t>0.06L</w:t>
                  </w:r>
                </w:p>
              </w:tc>
              <w:tc>
                <w:tcPr>
                  <w:tcW w:w="832" w:type="dxa"/>
                  <w:vAlign w:val="center"/>
                </w:tcPr>
                <w:p w14:paraId="50ABF2BA">
                  <w:pPr>
                    <w:spacing w:line="240" w:lineRule="auto"/>
                    <w:ind w:firstLine="0" w:firstLineChars="0"/>
                    <w:jc w:val="center"/>
                    <w:rPr>
                      <w:rFonts w:hint="eastAsia"/>
                      <w:bCs/>
                      <w:color w:val="auto"/>
                      <w:sz w:val="21"/>
                      <w:szCs w:val="21"/>
                    </w:rPr>
                  </w:pPr>
                  <w:r>
                    <w:rPr>
                      <w:rFonts w:hint="eastAsia"/>
                      <w:bCs/>
                      <w:color w:val="auto"/>
                      <w:sz w:val="21"/>
                      <w:szCs w:val="21"/>
                    </w:rPr>
                    <w:t>20</w:t>
                  </w:r>
                </w:p>
              </w:tc>
              <w:tc>
                <w:tcPr>
                  <w:tcW w:w="829" w:type="dxa"/>
                  <w:vAlign w:val="center"/>
                </w:tcPr>
                <w:p w14:paraId="53721A67">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3103A4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702" w:type="dxa"/>
                  <w:vAlign w:val="center"/>
                </w:tcPr>
                <w:p w14:paraId="6DA78910">
                  <w:pPr>
                    <w:spacing w:line="240" w:lineRule="auto"/>
                    <w:ind w:firstLine="0" w:firstLineChars="0"/>
                    <w:jc w:val="center"/>
                    <w:rPr>
                      <w:rFonts w:hint="eastAsia"/>
                      <w:bCs/>
                      <w:color w:val="auto"/>
                      <w:sz w:val="21"/>
                      <w:szCs w:val="21"/>
                    </w:rPr>
                  </w:pPr>
                  <w:r>
                    <w:rPr>
                      <w:rFonts w:hint="eastAsia"/>
                      <w:bCs/>
                      <w:color w:val="auto"/>
                      <w:sz w:val="21"/>
                      <w:szCs w:val="21"/>
                    </w:rPr>
                    <w:t>阴离子表面活性剂</w:t>
                  </w:r>
                </w:p>
              </w:tc>
              <w:tc>
                <w:tcPr>
                  <w:tcW w:w="1456" w:type="dxa"/>
                  <w:vAlign w:val="center"/>
                </w:tcPr>
                <w:p w14:paraId="1855CEB5">
                  <w:pPr>
                    <w:spacing w:line="240" w:lineRule="auto"/>
                    <w:ind w:firstLine="0" w:firstLineChars="0"/>
                    <w:jc w:val="center"/>
                    <w:rPr>
                      <w:rFonts w:hint="eastAsia"/>
                      <w:bCs/>
                      <w:color w:val="auto"/>
                      <w:sz w:val="21"/>
                      <w:szCs w:val="21"/>
                    </w:rPr>
                  </w:pPr>
                  <w:r>
                    <w:rPr>
                      <w:rFonts w:hint="eastAsia"/>
                      <w:bCs/>
                      <w:color w:val="auto"/>
                      <w:sz w:val="21"/>
                      <w:szCs w:val="21"/>
                    </w:rPr>
                    <w:t>0.20</w:t>
                  </w:r>
                </w:p>
              </w:tc>
              <w:tc>
                <w:tcPr>
                  <w:tcW w:w="1456" w:type="dxa"/>
                  <w:vAlign w:val="center"/>
                </w:tcPr>
                <w:p w14:paraId="1C7F72EE">
                  <w:pPr>
                    <w:spacing w:line="240" w:lineRule="auto"/>
                    <w:ind w:firstLine="0" w:firstLineChars="0"/>
                    <w:jc w:val="center"/>
                    <w:rPr>
                      <w:rFonts w:hint="eastAsia"/>
                      <w:bCs/>
                      <w:color w:val="auto"/>
                      <w:sz w:val="21"/>
                      <w:szCs w:val="21"/>
                    </w:rPr>
                  </w:pPr>
                  <w:r>
                    <w:rPr>
                      <w:rFonts w:hint="eastAsia"/>
                      <w:bCs/>
                      <w:color w:val="auto"/>
                      <w:sz w:val="21"/>
                      <w:szCs w:val="21"/>
                    </w:rPr>
                    <w:t>0.22</w:t>
                  </w:r>
                </w:p>
              </w:tc>
              <w:tc>
                <w:tcPr>
                  <w:tcW w:w="1456" w:type="dxa"/>
                  <w:vAlign w:val="center"/>
                </w:tcPr>
                <w:p w14:paraId="30C12093">
                  <w:pPr>
                    <w:spacing w:line="240" w:lineRule="auto"/>
                    <w:ind w:firstLine="0" w:firstLineChars="0"/>
                    <w:jc w:val="center"/>
                    <w:rPr>
                      <w:rFonts w:hint="eastAsia"/>
                      <w:bCs/>
                      <w:color w:val="auto"/>
                      <w:sz w:val="21"/>
                      <w:szCs w:val="21"/>
                    </w:rPr>
                  </w:pPr>
                  <w:r>
                    <w:rPr>
                      <w:rFonts w:hint="eastAsia"/>
                      <w:bCs/>
                      <w:color w:val="auto"/>
                      <w:sz w:val="21"/>
                      <w:szCs w:val="21"/>
                    </w:rPr>
                    <w:t>0.19</w:t>
                  </w:r>
                </w:p>
              </w:tc>
              <w:tc>
                <w:tcPr>
                  <w:tcW w:w="832" w:type="dxa"/>
                  <w:vAlign w:val="center"/>
                </w:tcPr>
                <w:p w14:paraId="5D73BB1D">
                  <w:pPr>
                    <w:spacing w:line="240" w:lineRule="auto"/>
                    <w:ind w:firstLine="0" w:firstLineChars="0"/>
                    <w:jc w:val="center"/>
                    <w:rPr>
                      <w:rFonts w:hint="eastAsia"/>
                      <w:bCs/>
                      <w:color w:val="auto"/>
                      <w:sz w:val="21"/>
                      <w:szCs w:val="21"/>
                    </w:rPr>
                  </w:pPr>
                  <w:r>
                    <w:rPr>
                      <w:rFonts w:hint="eastAsia"/>
                      <w:bCs/>
                      <w:color w:val="auto"/>
                      <w:sz w:val="21"/>
                      <w:szCs w:val="21"/>
                    </w:rPr>
                    <w:t>10</w:t>
                  </w:r>
                </w:p>
              </w:tc>
              <w:tc>
                <w:tcPr>
                  <w:tcW w:w="829" w:type="dxa"/>
                  <w:vAlign w:val="center"/>
                </w:tcPr>
                <w:p w14:paraId="23A9D6A4">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426B27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702" w:type="dxa"/>
                  <w:vAlign w:val="center"/>
                </w:tcPr>
                <w:p w14:paraId="40D7087E">
                  <w:pPr>
                    <w:spacing w:line="240" w:lineRule="auto"/>
                    <w:ind w:firstLine="0" w:firstLineChars="0"/>
                    <w:jc w:val="center"/>
                    <w:rPr>
                      <w:rFonts w:hint="eastAsia"/>
                      <w:bCs/>
                      <w:color w:val="auto"/>
                      <w:sz w:val="21"/>
                      <w:szCs w:val="21"/>
                    </w:rPr>
                  </w:pPr>
                  <w:r>
                    <w:rPr>
                      <w:rFonts w:hint="eastAsia"/>
                      <w:bCs/>
                      <w:color w:val="auto"/>
                      <w:sz w:val="21"/>
                      <w:szCs w:val="21"/>
                    </w:rPr>
                    <w:t>挥发酚</w:t>
                  </w:r>
                </w:p>
              </w:tc>
              <w:tc>
                <w:tcPr>
                  <w:tcW w:w="1456" w:type="dxa"/>
                  <w:vAlign w:val="center"/>
                </w:tcPr>
                <w:p w14:paraId="21C347CE">
                  <w:pPr>
                    <w:spacing w:line="240" w:lineRule="auto"/>
                    <w:ind w:firstLine="0" w:firstLineChars="0"/>
                    <w:jc w:val="center"/>
                    <w:rPr>
                      <w:rFonts w:hint="eastAsia"/>
                      <w:bCs/>
                      <w:color w:val="auto"/>
                      <w:sz w:val="21"/>
                      <w:szCs w:val="21"/>
                    </w:rPr>
                  </w:pPr>
                  <w:r>
                    <w:rPr>
                      <w:rFonts w:hint="eastAsia"/>
                      <w:bCs/>
                      <w:color w:val="auto"/>
                      <w:sz w:val="21"/>
                      <w:szCs w:val="21"/>
                    </w:rPr>
                    <w:t>0.35</w:t>
                  </w:r>
                </w:p>
              </w:tc>
              <w:tc>
                <w:tcPr>
                  <w:tcW w:w="1456" w:type="dxa"/>
                  <w:vAlign w:val="center"/>
                </w:tcPr>
                <w:p w14:paraId="759FD851">
                  <w:pPr>
                    <w:spacing w:line="240" w:lineRule="auto"/>
                    <w:ind w:firstLine="0" w:firstLineChars="0"/>
                    <w:jc w:val="center"/>
                    <w:rPr>
                      <w:rFonts w:hint="eastAsia"/>
                      <w:bCs/>
                      <w:color w:val="auto"/>
                      <w:sz w:val="21"/>
                      <w:szCs w:val="21"/>
                    </w:rPr>
                  </w:pPr>
                  <w:r>
                    <w:rPr>
                      <w:rFonts w:hint="eastAsia"/>
                      <w:bCs/>
                      <w:color w:val="auto"/>
                      <w:sz w:val="21"/>
                      <w:szCs w:val="21"/>
                    </w:rPr>
                    <w:t>0.35</w:t>
                  </w:r>
                </w:p>
              </w:tc>
              <w:tc>
                <w:tcPr>
                  <w:tcW w:w="1456" w:type="dxa"/>
                  <w:vAlign w:val="center"/>
                </w:tcPr>
                <w:p w14:paraId="37063FBD">
                  <w:pPr>
                    <w:spacing w:line="240" w:lineRule="auto"/>
                    <w:ind w:firstLine="0" w:firstLineChars="0"/>
                    <w:jc w:val="center"/>
                    <w:rPr>
                      <w:rFonts w:hint="eastAsia"/>
                      <w:bCs/>
                      <w:color w:val="auto"/>
                      <w:sz w:val="21"/>
                      <w:szCs w:val="21"/>
                    </w:rPr>
                  </w:pPr>
                  <w:r>
                    <w:rPr>
                      <w:rFonts w:hint="eastAsia"/>
                      <w:bCs/>
                      <w:color w:val="auto"/>
                      <w:sz w:val="21"/>
                      <w:szCs w:val="21"/>
                    </w:rPr>
                    <w:t>0.34</w:t>
                  </w:r>
                </w:p>
              </w:tc>
              <w:tc>
                <w:tcPr>
                  <w:tcW w:w="832" w:type="dxa"/>
                  <w:vAlign w:val="center"/>
                </w:tcPr>
                <w:p w14:paraId="0D76D65E">
                  <w:pPr>
                    <w:spacing w:line="240" w:lineRule="auto"/>
                    <w:ind w:firstLine="0" w:firstLineChars="0"/>
                    <w:jc w:val="center"/>
                    <w:rPr>
                      <w:rFonts w:hint="eastAsia"/>
                      <w:bCs/>
                      <w:color w:val="auto"/>
                      <w:sz w:val="21"/>
                      <w:szCs w:val="21"/>
                    </w:rPr>
                  </w:pPr>
                  <w:r>
                    <w:rPr>
                      <w:rFonts w:hint="eastAsia"/>
                      <w:bCs/>
                      <w:color w:val="auto"/>
                      <w:sz w:val="21"/>
                      <w:szCs w:val="21"/>
                    </w:rPr>
                    <w:t>1.0</w:t>
                  </w:r>
                </w:p>
              </w:tc>
              <w:tc>
                <w:tcPr>
                  <w:tcW w:w="829" w:type="dxa"/>
                  <w:vAlign w:val="center"/>
                </w:tcPr>
                <w:p w14:paraId="1648AB79">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4723D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1702" w:type="dxa"/>
                  <w:vAlign w:val="center"/>
                </w:tcPr>
                <w:p w14:paraId="360FF6C3">
                  <w:pPr>
                    <w:spacing w:line="240" w:lineRule="auto"/>
                    <w:ind w:firstLine="0" w:firstLineChars="0"/>
                    <w:jc w:val="center"/>
                    <w:rPr>
                      <w:rFonts w:hint="eastAsia"/>
                      <w:bCs/>
                      <w:color w:val="auto"/>
                      <w:sz w:val="21"/>
                      <w:szCs w:val="21"/>
                    </w:rPr>
                  </w:pPr>
                  <w:r>
                    <w:rPr>
                      <w:rFonts w:hint="eastAsia"/>
                      <w:bCs/>
                      <w:color w:val="auto"/>
                      <w:sz w:val="21"/>
                      <w:szCs w:val="21"/>
                    </w:rPr>
                    <w:t>氰化物</w:t>
                  </w:r>
                </w:p>
              </w:tc>
              <w:tc>
                <w:tcPr>
                  <w:tcW w:w="1456" w:type="dxa"/>
                  <w:vAlign w:val="center"/>
                </w:tcPr>
                <w:p w14:paraId="3BFB05C2">
                  <w:pPr>
                    <w:spacing w:line="240" w:lineRule="auto"/>
                    <w:ind w:firstLine="0" w:firstLineChars="0"/>
                    <w:jc w:val="center"/>
                    <w:rPr>
                      <w:rFonts w:hint="eastAsia"/>
                      <w:bCs/>
                      <w:color w:val="auto"/>
                      <w:sz w:val="21"/>
                      <w:szCs w:val="21"/>
                    </w:rPr>
                  </w:pPr>
                  <w:r>
                    <w:rPr>
                      <w:rFonts w:hint="eastAsia"/>
                      <w:bCs/>
                      <w:color w:val="auto"/>
                      <w:sz w:val="21"/>
                      <w:szCs w:val="21"/>
                    </w:rPr>
                    <w:t>0.004L</w:t>
                  </w:r>
                </w:p>
              </w:tc>
              <w:tc>
                <w:tcPr>
                  <w:tcW w:w="1456" w:type="dxa"/>
                  <w:vAlign w:val="center"/>
                </w:tcPr>
                <w:p w14:paraId="3EE88332">
                  <w:pPr>
                    <w:spacing w:line="240" w:lineRule="auto"/>
                    <w:ind w:firstLine="0" w:firstLineChars="0"/>
                    <w:jc w:val="center"/>
                    <w:rPr>
                      <w:rFonts w:hint="eastAsia"/>
                      <w:bCs/>
                      <w:color w:val="auto"/>
                      <w:sz w:val="21"/>
                      <w:szCs w:val="21"/>
                    </w:rPr>
                  </w:pPr>
                  <w:r>
                    <w:rPr>
                      <w:rFonts w:hint="eastAsia"/>
                      <w:bCs/>
                      <w:color w:val="auto"/>
                      <w:sz w:val="21"/>
                      <w:szCs w:val="21"/>
                    </w:rPr>
                    <w:t>0.004L</w:t>
                  </w:r>
                </w:p>
              </w:tc>
              <w:tc>
                <w:tcPr>
                  <w:tcW w:w="1456" w:type="dxa"/>
                  <w:vAlign w:val="center"/>
                </w:tcPr>
                <w:p w14:paraId="54FD4614">
                  <w:pPr>
                    <w:spacing w:line="240" w:lineRule="auto"/>
                    <w:ind w:firstLine="0" w:firstLineChars="0"/>
                    <w:jc w:val="center"/>
                    <w:rPr>
                      <w:rFonts w:hint="eastAsia"/>
                      <w:bCs/>
                      <w:color w:val="auto"/>
                      <w:sz w:val="21"/>
                      <w:szCs w:val="21"/>
                    </w:rPr>
                  </w:pPr>
                  <w:r>
                    <w:rPr>
                      <w:rFonts w:hint="eastAsia"/>
                      <w:bCs/>
                      <w:color w:val="auto"/>
                      <w:sz w:val="21"/>
                      <w:szCs w:val="21"/>
                    </w:rPr>
                    <w:t>0.004L</w:t>
                  </w:r>
                </w:p>
              </w:tc>
              <w:tc>
                <w:tcPr>
                  <w:tcW w:w="832" w:type="dxa"/>
                  <w:vAlign w:val="center"/>
                </w:tcPr>
                <w:p w14:paraId="42A1772B">
                  <w:pPr>
                    <w:spacing w:line="240" w:lineRule="auto"/>
                    <w:ind w:firstLine="0" w:firstLineChars="0"/>
                    <w:jc w:val="center"/>
                    <w:rPr>
                      <w:rFonts w:hint="eastAsia"/>
                      <w:bCs/>
                      <w:color w:val="auto"/>
                      <w:sz w:val="21"/>
                      <w:szCs w:val="21"/>
                    </w:rPr>
                  </w:pPr>
                  <w:r>
                    <w:rPr>
                      <w:rFonts w:hint="eastAsia"/>
                      <w:bCs/>
                      <w:color w:val="auto"/>
                      <w:sz w:val="21"/>
                      <w:szCs w:val="21"/>
                    </w:rPr>
                    <w:t>0.5</w:t>
                  </w:r>
                </w:p>
              </w:tc>
              <w:tc>
                <w:tcPr>
                  <w:tcW w:w="829" w:type="dxa"/>
                  <w:vAlign w:val="center"/>
                </w:tcPr>
                <w:p w14:paraId="2C5775C2">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636AE8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5" w:hRule="atLeast"/>
                <w:jc w:val="center"/>
              </w:trPr>
              <w:tc>
                <w:tcPr>
                  <w:tcW w:w="1702" w:type="dxa"/>
                  <w:vAlign w:val="center"/>
                </w:tcPr>
                <w:p w14:paraId="394BDC83">
                  <w:pPr>
                    <w:spacing w:line="240" w:lineRule="auto"/>
                    <w:ind w:firstLine="0" w:firstLineChars="0"/>
                    <w:jc w:val="center"/>
                    <w:rPr>
                      <w:rFonts w:hint="eastAsia"/>
                      <w:bCs/>
                      <w:color w:val="auto"/>
                      <w:sz w:val="21"/>
                      <w:szCs w:val="21"/>
                    </w:rPr>
                  </w:pPr>
                  <w:r>
                    <w:rPr>
                      <w:rFonts w:hint="eastAsia"/>
                      <w:bCs/>
                      <w:color w:val="auto"/>
                      <w:sz w:val="21"/>
                      <w:szCs w:val="21"/>
                    </w:rPr>
                    <w:t>备注</w:t>
                  </w:r>
                </w:p>
              </w:tc>
              <w:tc>
                <w:tcPr>
                  <w:tcW w:w="6029" w:type="dxa"/>
                  <w:gridSpan w:val="5"/>
                  <w:vAlign w:val="center"/>
                </w:tcPr>
                <w:p w14:paraId="6225D550">
                  <w:pPr>
                    <w:spacing w:line="240" w:lineRule="auto"/>
                    <w:ind w:firstLine="0" w:firstLineChars="0"/>
                    <w:jc w:val="center"/>
                    <w:rPr>
                      <w:rFonts w:hint="eastAsia"/>
                      <w:bCs/>
                      <w:color w:val="auto"/>
                      <w:sz w:val="21"/>
                      <w:szCs w:val="21"/>
                    </w:rPr>
                  </w:pPr>
                  <w:r>
                    <w:rPr>
                      <w:rFonts w:hint="eastAsia"/>
                      <w:bCs/>
                      <w:color w:val="auto"/>
                      <w:sz w:val="21"/>
                      <w:szCs w:val="21"/>
                    </w:rPr>
                    <w:t>“L”表示检测结果低于分析方法最低方法检出限或范围。</w:t>
                  </w:r>
                </w:p>
              </w:tc>
            </w:tr>
          </w:tbl>
          <w:tbl>
            <w:tblPr>
              <w:tblStyle w:val="19"/>
              <w:tblW w:w="63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5"/>
            </w:tblGrid>
            <w:tr w14:paraId="7B4FB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tcBorders>
                    <w:tl2br w:val="nil"/>
                    <w:tr2bl w:val="nil"/>
                  </w:tcBorders>
                  <w:vAlign w:val="center"/>
                </w:tcPr>
                <w:p w14:paraId="0F55E881">
                  <w:pPr>
                    <w:pStyle w:val="34"/>
                    <w:ind w:firstLine="480"/>
                    <w:rPr>
                      <w:color w:val="auto"/>
                    </w:rPr>
                  </w:pPr>
                  <w:r>
                    <w:rPr>
                      <w:color w:val="auto"/>
                    </w:rPr>
                    <w:t>注：</w:t>
                  </w:r>
                </w:p>
              </w:tc>
            </w:tr>
          </w:tbl>
          <w:tbl>
            <w:tblPr>
              <w:tblStyle w:val="5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67"/>
              <w:gridCol w:w="649"/>
              <w:gridCol w:w="180"/>
              <w:gridCol w:w="1431"/>
              <w:gridCol w:w="598"/>
              <w:gridCol w:w="1667"/>
              <w:gridCol w:w="2276"/>
            </w:tblGrid>
            <w:tr w14:paraId="10A7D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7" w:type="pct"/>
                  <w:vAlign w:val="center"/>
                </w:tcPr>
                <w:p w14:paraId="2783250E">
                  <w:pPr>
                    <w:spacing w:line="240" w:lineRule="auto"/>
                    <w:ind w:firstLine="0" w:firstLineChars="0"/>
                    <w:jc w:val="center"/>
                    <w:rPr>
                      <w:rFonts w:hint="eastAsia"/>
                      <w:bCs/>
                      <w:color w:val="auto"/>
                      <w:sz w:val="21"/>
                      <w:szCs w:val="21"/>
                    </w:rPr>
                  </w:pPr>
                  <w:r>
                    <w:rPr>
                      <w:rFonts w:hint="eastAsia"/>
                      <w:bCs/>
                      <w:color w:val="auto"/>
                      <w:sz w:val="21"/>
                      <w:szCs w:val="21"/>
                    </w:rPr>
                    <w:t>送检方样品名称</w:t>
                  </w:r>
                </w:p>
              </w:tc>
              <w:tc>
                <w:tcPr>
                  <w:tcW w:w="1493" w:type="pct"/>
                  <w:gridSpan w:val="3"/>
                  <w:vAlign w:val="center"/>
                </w:tcPr>
                <w:p w14:paraId="5F64B25B">
                  <w:pPr>
                    <w:spacing w:line="240" w:lineRule="auto"/>
                    <w:ind w:firstLine="0" w:firstLineChars="0"/>
                    <w:jc w:val="center"/>
                    <w:rPr>
                      <w:rFonts w:hint="eastAsia"/>
                      <w:bCs/>
                      <w:color w:val="auto"/>
                      <w:sz w:val="21"/>
                      <w:szCs w:val="21"/>
                    </w:rPr>
                  </w:pPr>
                  <w:r>
                    <w:rPr>
                      <w:rFonts w:hint="eastAsia"/>
                      <w:bCs/>
                      <w:color w:val="auto"/>
                      <w:sz w:val="21"/>
                      <w:szCs w:val="21"/>
                    </w:rPr>
                    <w:t>玉溪市江川区人民医院</w:t>
                  </w:r>
                </w:p>
              </w:tc>
              <w:tc>
                <w:tcPr>
                  <w:tcW w:w="1496" w:type="pct"/>
                  <w:gridSpan w:val="2"/>
                  <w:vMerge w:val="restart"/>
                  <w:vAlign w:val="center"/>
                </w:tcPr>
                <w:p w14:paraId="159938FA">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标准限值</w:t>
                  </w:r>
                </w:p>
              </w:tc>
              <w:tc>
                <w:tcPr>
                  <w:tcW w:w="1502" w:type="pct"/>
                  <w:vMerge w:val="restart"/>
                  <w:vAlign w:val="center"/>
                </w:tcPr>
                <w:p w14:paraId="4D59D6E0">
                  <w:pPr>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达标情况</w:t>
                  </w:r>
                </w:p>
              </w:tc>
            </w:tr>
            <w:tr w14:paraId="75537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07" w:type="pct"/>
                  <w:vAlign w:val="center"/>
                </w:tcPr>
                <w:p w14:paraId="74EC2365">
                  <w:pPr>
                    <w:spacing w:line="240" w:lineRule="auto"/>
                    <w:ind w:firstLine="0" w:firstLineChars="0"/>
                    <w:jc w:val="center"/>
                    <w:rPr>
                      <w:rFonts w:hint="eastAsia"/>
                      <w:bCs/>
                      <w:color w:val="auto"/>
                      <w:sz w:val="21"/>
                      <w:szCs w:val="21"/>
                    </w:rPr>
                  </w:pPr>
                  <w:r>
                    <w:rPr>
                      <w:rFonts w:hint="eastAsia"/>
                      <w:bCs/>
                      <w:color w:val="auto"/>
                      <w:sz w:val="21"/>
                      <w:szCs w:val="21"/>
                    </w:rPr>
                    <w:t>送样日期</w:t>
                  </w:r>
                </w:p>
              </w:tc>
              <w:tc>
                <w:tcPr>
                  <w:tcW w:w="1493" w:type="pct"/>
                  <w:gridSpan w:val="3"/>
                  <w:vAlign w:val="center"/>
                </w:tcPr>
                <w:p w14:paraId="757A5391">
                  <w:pPr>
                    <w:spacing w:line="240" w:lineRule="auto"/>
                    <w:ind w:firstLine="0" w:firstLineChars="0"/>
                    <w:jc w:val="center"/>
                    <w:rPr>
                      <w:rFonts w:hint="eastAsia"/>
                      <w:bCs/>
                      <w:color w:val="auto"/>
                      <w:sz w:val="21"/>
                      <w:szCs w:val="21"/>
                    </w:rPr>
                  </w:pPr>
                  <w:r>
                    <w:rPr>
                      <w:rFonts w:hint="eastAsia"/>
                      <w:bCs/>
                      <w:color w:val="auto"/>
                      <w:sz w:val="21"/>
                      <w:szCs w:val="21"/>
                    </w:rPr>
                    <w:t>2026.02.27</w:t>
                  </w:r>
                </w:p>
              </w:tc>
              <w:tc>
                <w:tcPr>
                  <w:tcW w:w="1496" w:type="pct"/>
                  <w:gridSpan w:val="2"/>
                  <w:vMerge w:val="continue"/>
                  <w:vAlign w:val="center"/>
                </w:tcPr>
                <w:p w14:paraId="1B7FFACA">
                  <w:pPr>
                    <w:spacing w:line="240" w:lineRule="auto"/>
                    <w:ind w:firstLine="0" w:firstLineChars="0"/>
                    <w:jc w:val="center"/>
                    <w:rPr>
                      <w:rFonts w:hint="eastAsia"/>
                      <w:bCs/>
                      <w:color w:val="auto"/>
                      <w:sz w:val="21"/>
                      <w:szCs w:val="21"/>
                    </w:rPr>
                  </w:pPr>
                </w:p>
              </w:tc>
              <w:tc>
                <w:tcPr>
                  <w:tcW w:w="1502" w:type="pct"/>
                  <w:vMerge w:val="continue"/>
                  <w:vAlign w:val="center"/>
                </w:tcPr>
                <w:p w14:paraId="4297CEF2">
                  <w:pPr>
                    <w:spacing w:line="240" w:lineRule="auto"/>
                    <w:ind w:firstLine="0" w:firstLineChars="0"/>
                    <w:jc w:val="center"/>
                    <w:rPr>
                      <w:rFonts w:hint="eastAsia"/>
                      <w:bCs/>
                      <w:color w:val="auto"/>
                      <w:sz w:val="21"/>
                      <w:szCs w:val="21"/>
                    </w:rPr>
                  </w:pPr>
                </w:p>
              </w:tc>
            </w:tr>
            <w:tr w14:paraId="0CF26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trPr>
              <w:tc>
                <w:tcPr>
                  <w:tcW w:w="507" w:type="pct"/>
                  <w:tcBorders>
                    <w:tl2br w:val="single" w:color="000000" w:sz="4" w:space="0"/>
                  </w:tcBorders>
                  <w:vAlign w:val="center"/>
                </w:tcPr>
                <w:p w14:paraId="51D6BF3E">
                  <w:pPr>
                    <w:spacing w:line="240" w:lineRule="auto"/>
                    <w:ind w:firstLine="0" w:firstLineChars="0"/>
                    <w:jc w:val="center"/>
                    <w:rPr>
                      <w:rFonts w:hint="eastAsia"/>
                      <w:bCs/>
                      <w:color w:val="auto"/>
                      <w:sz w:val="21"/>
                      <w:szCs w:val="21"/>
                    </w:rPr>
                  </w:pPr>
                  <w:r>
                    <w:rPr>
                      <w:rFonts w:hint="eastAsia"/>
                      <w:bCs/>
                      <w:color w:val="auto"/>
                      <w:sz w:val="21"/>
                      <w:szCs w:val="21"/>
                    </w:rPr>
                    <w:t>样品编号检测项目</w:t>
                  </w:r>
                </w:p>
              </w:tc>
              <w:tc>
                <w:tcPr>
                  <w:tcW w:w="1493" w:type="pct"/>
                  <w:gridSpan w:val="3"/>
                  <w:vAlign w:val="center"/>
                </w:tcPr>
                <w:p w14:paraId="007846BD">
                  <w:pPr>
                    <w:spacing w:line="240" w:lineRule="auto"/>
                    <w:ind w:firstLine="0" w:firstLineChars="0"/>
                    <w:jc w:val="center"/>
                    <w:rPr>
                      <w:rFonts w:hint="eastAsia"/>
                      <w:bCs/>
                      <w:color w:val="auto"/>
                      <w:sz w:val="21"/>
                      <w:szCs w:val="21"/>
                    </w:rPr>
                  </w:pPr>
                  <w:r>
                    <w:rPr>
                      <w:rFonts w:hint="eastAsia"/>
                      <w:bCs/>
                      <w:color w:val="auto"/>
                      <w:sz w:val="21"/>
                      <w:szCs w:val="21"/>
                    </w:rPr>
                    <w:t>S260227X2-01-1</w:t>
                  </w:r>
                </w:p>
              </w:tc>
              <w:tc>
                <w:tcPr>
                  <w:tcW w:w="1496" w:type="pct"/>
                  <w:gridSpan w:val="2"/>
                  <w:vMerge w:val="continue"/>
                  <w:vAlign w:val="center"/>
                </w:tcPr>
                <w:p w14:paraId="3B4CB654">
                  <w:pPr>
                    <w:spacing w:line="240" w:lineRule="auto"/>
                    <w:ind w:firstLine="0" w:firstLineChars="0"/>
                    <w:jc w:val="center"/>
                    <w:rPr>
                      <w:rFonts w:hint="eastAsia"/>
                      <w:bCs/>
                      <w:color w:val="auto"/>
                      <w:sz w:val="21"/>
                      <w:szCs w:val="21"/>
                    </w:rPr>
                  </w:pPr>
                </w:p>
              </w:tc>
              <w:tc>
                <w:tcPr>
                  <w:tcW w:w="1502" w:type="pct"/>
                  <w:vMerge w:val="continue"/>
                  <w:vAlign w:val="center"/>
                </w:tcPr>
                <w:p w14:paraId="2D483035">
                  <w:pPr>
                    <w:spacing w:line="240" w:lineRule="auto"/>
                    <w:ind w:firstLine="0" w:firstLineChars="0"/>
                    <w:jc w:val="center"/>
                    <w:rPr>
                      <w:rFonts w:hint="eastAsia"/>
                      <w:bCs/>
                      <w:color w:val="auto"/>
                      <w:sz w:val="21"/>
                      <w:szCs w:val="21"/>
                    </w:rPr>
                  </w:pPr>
                </w:p>
              </w:tc>
            </w:tr>
            <w:tr w14:paraId="3A1026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07" w:type="pct"/>
                  <w:vAlign w:val="center"/>
                </w:tcPr>
                <w:p w14:paraId="76A99A1B">
                  <w:pPr>
                    <w:spacing w:line="240" w:lineRule="auto"/>
                    <w:ind w:firstLine="0" w:firstLineChars="0"/>
                    <w:jc w:val="center"/>
                    <w:rPr>
                      <w:rFonts w:hint="eastAsia"/>
                      <w:bCs/>
                      <w:color w:val="auto"/>
                      <w:sz w:val="21"/>
                      <w:szCs w:val="21"/>
                    </w:rPr>
                  </w:pPr>
                  <w:r>
                    <w:rPr>
                      <w:rFonts w:hint="eastAsia"/>
                      <w:bCs/>
                      <w:color w:val="auto"/>
                      <w:sz w:val="21"/>
                      <w:szCs w:val="21"/>
                    </w:rPr>
                    <w:t>化学需氧量</w:t>
                  </w:r>
                </w:p>
              </w:tc>
              <w:tc>
                <w:tcPr>
                  <w:tcW w:w="1493" w:type="pct"/>
                  <w:gridSpan w:val="3"/>
                  <w:vAlign w:val="center"/>
                </w:tcPr>
                <w:p w14:paraId="2639DE25">
                  <w:pPr>
                    <w:spacing w:line="240" w:lineRule="auto"/>
                    <w:ind w:firstLine="0" w:firstLineChars="0"/>
                    <w:jc w:val="center"/>
                    <w:rPr>
                      <w:rFonts w:hint="eastAsia"/>
                      <w:bCs/>
                      <w:color w:val="auto"/>
                      <w:sz w:val="21"/>
                      <w:szCs w:val="21"/>
                    </w:rPr>
                  </w:pPr>
                  <w:r>
                    <w:rPr>
                      <w:rFonts w:hint="eastAsia"/>
                      <w:bCs/>
                      <w:color w:val="auto"/>
                      <w:sz w:val="21"/>
                      <w:szCs w:val="21"/>
                    </w:rPr>
                    <w:t>73</w:t>
                  </w:r>
                </w:p>
              </w:tc>
              <w:tc>
                <w:tcPr>
                  <w:tcW w:w="1496" w:type="pct"/>
                  <w:gridSpan w:val="2"/>
                  <w:vAlign w:val="center"/>
                </w:tcPr>
                <w:p w14:paraId="0BB40473">
                  <w:pPr>
                    <w:spacing w:line="240" w:lineRule="auto"/>
                    <w:ind w:firstLine="0" w:firstLineChars="0"/>
                    <w:jc w:val="center"/>
                    <w:rPr>
                      <w:rFonts w:hint="eastAsia"/>
                      <w:bCs/>
                      <w:color w:val="auto"/>
                      <w:sz w:val="21"/>
                      <w:szCs w:val="21"/>
                    </w:rPr>
                  </w:pPr>
                  <w:r>
                    <w:rPr>
                      <w:rFonts w:hint="eastAsia"/>
                      <w:bCs/>
                      <w:color w:val="auto"/>
                      <w:sz w:val="21"/>
                      <w:szCs w:val="21"/>
                    </w:rPr>
                    <w:t>250</w:t>
                  </w:r>
                </w:p>
              </w:tc>
              <w:tc>
                <w:tcPr>
                  <w:tcW w:w="1502" w:type="pct"/>
                  <w:vAlign w:val="center"/>
                </w:tcPr>
                <w:p w14:paraId="7E017C1C">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达标</w:t>
                  </w:r>
                </w:p>
              </w:tc>
            </w:tr>
            <w:tr w14:paraId="45C79B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07" w:type="pct"/>
                  <w:vAlign w:val="center"/>
                </w:tcPr>
                <w:p w14:paraId="31A7BB17">
                  <w:pPr>
                    <w:spacing w:line="240" w:lineRule="auto"/>
                    <w:ind w:firstLine="0" w:firstLineChars="0"/>
                    <w:jc w:val="center"/>
                    <w:rPr>
                      <w:rFonts w:hint="eastAsia"/>
                      <w:bCs/>
                      <w:color w:val="auto"/>
                      <w:sz w:val="21"/>
                      <w:szCs w:val="21"/>
                    </w:rPr>
                  </w:pPr>
                  <w:r>
                    <w:rPr>
                      <w:rFonts w:hint="eastAsia"/>
                      <w:bCs/>
                      <w:color w:val="auto"/>
                      <w:sz w:val="21"/>
                      <w:szCs w:val="21"/>
                    </w:rPr>
                    <w:t>悬浮物</w:t>
                  </w:r>
                </w:p>
              </w:tc>
              <w:tc>
                <w:tcPr>
                  <w:tcW w:w="1493" w:type="pct"/>
                  <w:gridSpan w:val="3"/>
                  <w:vAlign w:val="center"/>
                </w:tcPr>
                <w:p w14:paraId="422E0AC7">
                  <w:pPr>
                    <w:spacing w:line="240" w:lineRule="auto"/>
                    <w:ind w:firstLine="0" w:firstLineChars="0"/>
                    <w:jc w:val="center"/>
                    <w:rPr>
                      <w:rFonts w:hint="eastAsia"/>
                      <w:bCs/>
                      <w:color w:val="auto"/>
                      <w:sz w:val="21"/>
                      <w:szCs w:val="21"/>
                    </w:rPr>
                  </w:pPr>
                  <w:r>
                    <w:rPr>
                      <w:rFonts w:hint="eastAsia"/>
                      <w:bCs/>
                      <w:color w:val="auto"/>
                      <w:sz w:val="21"/>
                      <w:szCs w:val="21"/>
                    </w:rPr>
                    <w:t>11</w:t>
                  </w:r>
                </w:p>
              </w:tc>
              <w:tc>
                <w:tcPr>
                  <w:tcW w:w="1496" w:type="pct"/>
                  <w:gridSpan w:val="2"/>
                  <w:vAlign w:val="center"/>
                </w:tcPr>
                <w:p w14:paraId="3D5F79D4">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w:t>
                  </w:r>
                </w:p>
              </w:tc>
              <w:tc>
                <w:tcPr>
                  <w:tcW w:w="1502" w:type="pct"/>
                  <w:vAlign w:val="center"/>
                </w:tcPr>
                <w:p w14:paraId="61DD9004">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1120D5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07" w:type="pct"/>
                  <w:vAlign w:val="center"/>
                </w:tcPr>
                <w:p w14:paraId="633FB7F1">
                  <w:pPr>
                    <w:spacing w:line="240" w:lineRule="auto"/>
                    <w:ind w:firstLine="0" w:firstLineChars="0"/>
                    <w:jc w:val="center"/>
                    <w:rPr>
                      <w:rFonts w:hint="eastAsia"/>
                      <w:bCs/>
                      <w:color w:val="auto"/>
                      <w:sz w:val="21"/>
                      <w:szCs w:val="21"/>
                    </w:rPr>
                  </w:pPr>
                  <w:r>
                    <w:rPr>
                      <w:rFonts w:hint="eastAsia"/>
                      <w:bCs/>
                      <w:color w:val="auto"/>
                      <w:sz w:val="21"/>
                      <w:szCs w:val="21"/>
                    </w:rPr>
                    <w:t>色度(倍)</w:t>
                  </w:r>
                </w:p>
              </w:tc>
              <w:tc>
                <w:tcPr>
                  <w:tcW w:w="1493" w:type="pct"/>
                  <w:gridSpan w:val="3"/>
                  <w:vAlign w:val="center"/>
                </w:tcPr>
                <w:p w14:paraId="148F7673">
                  <w:pPr>
                    <w:spacing w:line="240" w:lineRule="auto"/>
                    <w:ind w:firstLine="0" w:firstLineChars="0"/>
                    <w:jc w:val="center"/>
                    <w:rPr>
                      <w:rFonts w:hint="eastAsia"/>
                      <w:bCs/>
                      <w:color w:val="auto"/>
                      <w:sz w:val="21"/>
                      <w:szCs w:val="21"/>
                    </w:rPr>
                  </w:pPr>
                  <w:r>
                    <w:rPr>
                      <w:rFonts w:hint="eastAsia"/>
                      <w:bCs/>
                      <w:color w:val="auto"/>
                      <w:sz w:val="21"/>
                      <w:szCs w:val="21"/>
                    </w:rPr>
                    <w:t>4</w:t>
                  </w:r>
                </w:p>
              </w:tc>
              <w:tc>
                <w:tcPr>
                  <w:tcW w:w="1496" w:type="pct"/>
                  <w:gridSpan w:val="2"/>
                  <w:vAlign w:val="center"/>
                </w:tcPr>
                <w:p w14:paraId="456D9065">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w:t>
                  </w:r>
                </w:p>
              </w:tc>
              <w:tc>
                <w:tcPr>
                  <w:tcW w:w="1502" w:type="pct"/>
                  <w:vAlign w:val="center"/>
                </w:tcPr>
                <w:p w14:paraId="4474B567">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5E6399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507" w:type="pct"/>
                  <w:vAlign w:val="center"/>
                </w:tcPr>
                <w:p w14:paraId="261F0283">
                  <w:pPr>
                    <w:spacing w:line="240" w:lineRule="auto"/>
                    <w:ind w:firstLine="0" w:firstLineChars="0"/>
                    <w:jc w:val="center"/>
                    <w:rPr>
                      <w:rFonts w:hint="eastAsia"/>
                      <w:bCs/>
                      <w:color w:val="auto"/>
                      <w:sz w:val="21"/>
                      <w:szCs w:val="21"/>
                    </w:rPr>
                  </w:pPr>
                  <w:r>
                    <w:rPr>
                      <w:rFonts w:hint="eastAsia"/>
                      <w:bCs/>
                      <w:color w:val="auto"/>
                      <w:sz w:val="21"/>
                      <w:szCs w:val="21"/>
                    </w:rPr>
                    <w:t>氨氮</w:t>
                  </w:r>
                </w:p>
              </w:tc>
              <w:tc>
                <w:tcPr>
                  <w:tcW w:w="1493" w:type="pct"/>
                  <w:gridSpan w:val="3"/>
                  <w:vAlign w:val="center"/>
                </w:tcPr>
                <w:p w14:paraId="354CEB3A">
                  <w:pPr>
                    <w:spacing w:line="240" w:lineRule="auto"/>
                    <w:ind w:firstLine="0" w:firstLineChars="0"/>
                    <w:jc w:val="center"/>
                    <w:rPr>
                      <w:rFonts w:hint="eastAsia"/>
                      <w:bCs/>
                      <w:color w:val="auto"/>
                      <w:sz w:val="21"/>
                      <w:szCs w:val="21"/>
                    </w:rPr>
                  </w:pPr>
                  <w:r>
                    <w:rPr>
                      <w:rFonts w:hint="eastAsia"/>
                      <w:bCs/>
                      <w:color w:val="auto"/>
                      <w:sz w:val="21"/>
                      <w:szCs w:val="21"/>
                    </w:rPr>
                    <w:t>20.3</w:t>
                  </w:r>
                </w:p>
              </w:tc>
              <w:tc>
                <w:tcPr>
                  <w:tcW w:w="1496" w:type="pct"/>
                  <w:gridSpan w:val="2"/>
                  <w:vAlign w:val="center"/>
                </w:tcPr>
                <w:p w14:paraId="7CBC29BE">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w:t>
                  </w:r>
                </w:p>
              </w:tc>
              <w:tc>
                <w:tcPr>
                  <w:tcW w:w="1502" w:type="pct"/>
                  <w:vAlign w:val="center"/>
                </w:tcPr>
                <w:p w14:paraId="70E57463">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2E88B5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507" w:type="pct"/>
                  <w:vAlign w:val="center"/>
                </w:tcPr>
                <w:p w14:paraId="764E6064">
                  <w:pPr>
                    <w:spacing w:line="240" w:lineRule="auto"/>
                    <w:ind w:firstLine="0" w:firstLineChars="0"/>
                    <w:jc w:val="center"/>
                    <w:rPr>
                      <w:rFonts w:hint="eastAsia"/>
                      <w:bCs/>
                      <w:color w:val="auto"/>
                      <w:sz w:val="21"/>
                      <w:szCs w:val="21"/>
                    </w:rPr>
                  </w:pPr>
                  <w:r>
                    <w:rPr>
                      <w:rFonts w:hint="eastAsia"/>
                      <w:bCs/>
                      <w:color w:val="auto"/>
                      <w:sz w:val="21"/>
                      <w:szCs w:val="21"/>
                    </w:rPr>
                    <w:t>总余氯</w:t>
                  </w:r>
                </w:p>
              </w:tc>
              <w:tc>
                <w:tcPr>
                  <w:tcW w:w="1493" w:type="pct"/>
                  <w:gridSpan w:val="3"/>
                  <w:vAlign w:val="center"/>
                </w:tcPr>
                <w:p w14:paraId="296BB52A">
                  <w:pPr>
                    <w:spacing w:line="240" w:lineRule="auto"/>
                    <w:ind w:firstLine="0" w:firstLineChars="0"/>
                    <w:jc w:val="center"/>
                    <w:rPr>
                      <w:rFonts w:hint="eastAsia"/>
                      <w:bCs/>
                      <w:color w:val="auto"/>
                      <w:sz w:val="21"/>
                      <w:szCs w:val="21"/>
                    </w:rPr>
                  </w:pPr>
                  <w:r>
                    <w:rPr>
                      <w:rFonts w:hint="eastAsia"/>
                      <w:bCs/>
                      <w:color w:val="auto"/>
                      <w:sz w:val="21"/>
                      <w:szCs w:val="21"/>
                    </w:rPr>
                    <w:t>2.21</w:t>
                  </w:r>
                </w:p>
              </w:tc>
              <w:tc>
                <w:tcPr>
                  <w:tcW w:w="1496" w:type="pct"/>
                  <w:gridSpan w:val="2"/>
                  <w:vAlign w:val="center"/>
                </w:tcPr>
                <w:p w14:paraId="2FADD5CA">
                  <w:pPr>
                    <w:spacing w:line="240" w:lineRule="auto"/>
                    <w:ind w:firstLine="0" w:firstLineChars="0"/>
                    <w:jc w:val="center"/>
                    <w:rPr>
                      <w:rFonts w:hint="eastAsia"/>
                      <w:bCs/>
                      <w:color w:val="auto"/>
                      <w:sz w:val="21"/>
                      <w:szCs w:val="21"/>
                      <w:lang w:val="en-US" w:eastAsia="zh-CN"/>
                    </w:rPr>
                  </w:pPr>
                  <w:r>
                    <w:rPr>
                      <w:rFonts w:hint="eastAsia"/>
                      <w:bCs/>
                      <w:color w:val="auto"/>
                      <w:sz w:val="21"/>
                      <w:szCs w:val="21"/>
                      <w:lang w:val="en-US" w:eastAsia="zh-CN"/>
                    </w:rPr>
                    <w:t>-</w:t>
                  </w:r>
                </w:p>
              </w:tc>
              <w:tc>
                <w:tcPr>
                  <w:tcW w:w="1502" w:type="pct"/>
                  <w:vAlign w:val="center"/>
                </w:tcPr>
                <w:p w14:paraId="1004AC15">
                  <w:pPr>
                    <w:spacing w:line="240" w:lineRule="auto"/>
                    <w:ind w:firstLine="0" w:firstLineChars="0"/>
                    <w:jc w:val="center"/>
                    <w:rPr>
                      <w:rFonts w:hint="eastAsia"/>
                      <w:bCs/>
                      <w:color w:val="auto"/>
                      <w:sz w:val="21"/>
                      <w:szCs w:val="21"/>
                    </w:rPr>
                  </w:pPr>
                  <w:r>
                    <w:rPr>
                      <w:rFonts w:hint="eastAsia"/>
                      <w:bCs/>
                      <w:color w:val="auto"/>
                      <w:sz w:val="21"/>
                      <w:szCs w:val="21"/>
                      <w:lang w:val="en-US" w:eastAsia="zh-CN"/>
                    </w:rPr>
                    <w:t>达标</w:t>
                  </w:r>
                </w:p>
              </w:tc>
            </w:tr>
            <w:tr w14:paraId="599C5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07" w:type="pct"/>
                  <w:vAlign w:val="center"/>
                </w:tcPr>
                <w:p w14:paraId="0A187B88">
                  <w:pPr>
                    <w:spacing w:line="240" w:lineRule="auto"/>
                    <w:ind w:firstLine="0" w:firstLineChars="0"/>
                    <w:jc w:val="center"/>
                    <w:rPr>
                      <w:rFonts w:hint="eastAsia"/>
                      <w:bCs/>
                      <w:color w:val="auto"/>
                      <w:sz w:val="21"/>
                      <w:szCs w:val="21"/>
                    </w:rPr>
                  </w:pPr>
                  <w:r>
                    <w:rPr>
                      <w:rFonts w:hint="eastAsia"/>
                      <w:bCs/>
                      <w:color w:val="auto"/>
                      <w:sz w:val="21"/>
                      <w:szCs w:val="21"/>
                    </w:rPr>
                    <w:t>备注</w:t>
                  </w:r>
                </w:p>
              </w:tc>
              <w:tc>
                <w:tcPr>
                  <w:tcW w:w="4492" w:type="pct"/>
                  <w:gridSpan w:val="6"/>
                  <w:vAlign w:val="center"/>
                </w:tcPr>
                <w:p w14:paraId="1B25B52C">
                  <w:pPr>
                    <w:spacing w:line="240" w:lineRule="auto"/>
                    <w:ind w:firstLine="0" w:firstLineChars="0"/>
                    <w:jc w:val="center"/>
                    <w:rPr>
                      <w:rFonts w:hint="eastAsia"/>
                      <w:bCs/>
                      <w:color w:val="auto"/>
                      <w:sz w:val="21"/>
                      <w:szCs w:val="21"/>
                    </w:rPr>
                  </w:pPr>
                  <w:r>
                    <w:rPr>
                      <w:rFonts w:hint="eastAsia"/>
                      <w:bCs/>
                      <w:color w:val="auto"/>
                      <w:sz w:val="21"/>
                      <w:szCs w:val="21"/>
                    </w:rPr>
                    <w:t>本次样品为送检样品，项目名称及样品原标识由委托方提供，本公司检测报告只对样品所检项目的符合性情况负责，送检样品的代表性和真实性由委托人负责。</w:t>
                  </w:r>
                </w:p>
              </w:tc>
            </w:tr>
            <w:tr w14:paraId="2A3E0F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507" w:type="pct"/>
                  <w:vAlign w:val="center"/>
                </w:tcPr>
                <w:p w14:paraId="3BD68D30">
                  <w:pPr>
                    <w:spacing w:line="240" w:lineRule="auto"/>
                    <w:ind w:firstLine="0" w:firstLineChars="0"/>
                    <w:jc w:val="center"/>
                    <w:rPr>
                      <w:rFonts w:hint="eastAsia"/>
                      <w:bCs/>
                      <w:color w:val="auto"/>
                      <w:sz w:val="21"/>
                      <w:szCs w:val="21"/>
                    </w:rPr>
                  </w:pPr>
                  <w:r>
                    <w:rPr>
                      <w:rFonts w:hint="eastAsia"/>
                      <w:bCs/>
                      <w:color w:val="auto"/>
                      <w:sz w:val="21"/>
                      <w:szCs w:val="21"/>
                    </w:rPr>
                    <w:t>来样编号</w:t>
                  </w:r>
                </w:p>
              </w:tc>
              <w:tc>
                <w:tcPr>
                  <w:tcW w:w="4492" w:type="pct"/>
                  <w:gridSpan w:val="6"/>
                  <w:vAlign w:val="center"/>
                </w:tcPr>
                <w:p w14:paraId="2F957A43">
                  <w:pPr>
                    <w:spacing w:line="240" w:lineRule="auto"/>
                    <w:ind w:firstLine="0" w:firstLineChars="0"/>
                    <w:jc w:val="center"/>
                    <w:rPr>
                      <w:rFonts w:hint="eastAsia"/>
                      <w:bCs/>
                      <w:color w:val="auto"/>
                      <w:sz w:val="21"/>
                      <w:szCs w:val="21"/>
                    </w:rPr>
                  </w:pPr>
                  <w:r>
                    <w:rPr>
                      <w:rFonts w:hint="eastAsia"/>
                      <w:bCs/>
                      <w:color w:val="auto"/>
                      <w:sz w:val="21"/>
                      <w:szCs w:val="21"/>
                    </w:rPr>
                    <w:t>200000005911</w:t>
                  </w:r>
                </w:p>
              </w:tc>
            </w:tr>
            <w:tr w14:paraId="3B02DE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507" w:type="pct"/>
                  <w:vAlign w:val="center"/>
                </w:tcPr>
                <w:p w14:paraId="2D447102">
                  <w:pPr>
                    <w:spacing w:line="240" w:lineRule="auto"/>
                    <w:ind w:firstLine="0" w:firstLineChars="0"/>
                    <w:jc w:val="center"/>
                    <w:rPr>
                      <w:rFonts w:hint="eastAsia"/>
                      <w:bCs/>
                      <w:color w:val="auto"/>
                      <w:sz w:val="21"/>
                      <w:szCs w:val="21"/>
                    </w:rPr>
                  </w:pPr>
                  <w:r>
                    <w:rPr>
                      <w:rFonts w:hint="eastAsia"/>
                      <w:bCs/>
                      <w:color w:val="auto"/>
                      <w:sz w:val="21"/>
                      <w:szCs w:val="21"/>
                    </w:rPr>
                    <w:t>样品编号</w:t>
                  </w:r>
                </w:p>
              </w:tc>
              <w:tc>
                <w:tcPr>
                  <w:tcW w:w="4492" w:type="pct"/>
                  <w:gridSpan w:val="6"/>
                  <w:vAlign w:val="center"/>
                </w:tcPr>
                <w:p w14:paraId="7FA375B3">
                  <w:pPr>
                    <w:spacing w:line="240" w:lineRule="auto"/>
                    <w:ind w:firstLine="0" w:firstLineChars="0"/>
                    <w:jc w:val="center"/>
                    <w:rPr>
                      <w:rFonts w:hint="eastAsia"/>
                      <w:bCs/>
                      <w:color w:val="auto"/>
                      <w:sz w:val="21"/>
                      <w:szCs w:val="21"/>
                    </w:rPr>
                  </w:pPr>
                  <w:r>
                    <w:rPr>
                      <w:rFonts w:hint="eastAsia"/>
                      <w:bCs/>
                      <w:color w:val="auto"/>
                      <w:sz w:val="21"/>
                      <w:szCs w:val="21"/>
                    </w:rPr>
                    <w:t>HJ2025121019-S01101</w:t>
                  </w:r>
                </w:p>
              </w:tc>
            </w:tr>
            <w:tr w14:paraId="5BDD0F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936" w:type="pct"/>
                  <w:gridSpan w:val="2"/>
                  <w:vAlign w:val="center"/>
                </w:tcPr>
                <w:p w14:paraId="7BC87DB4">
                  <w:pPr>
                    <w:spacing w:line="240" w:lineRule="auto"/>
                    <w:ind w:firstLine="0" w:firstLineChars="0"/>
                    <w:jc w:val="center"/>
                    <w:rPr>
                      <w:rFonts w:hint="eastAsia"/>
                      <w:bCs/>
                      <w:color w:val="auto"/>
                      <w:sz w:val="21"/>
                      <w:szCs w:val="21"/>
                    </w:rPr>
                  </w:pPr>
                  <w:r>
                    <w:rPr>
                      <w:rFonts w:hint="eastAsia"/>
                      <w:bCs/>
                      <w:color w:val="auto"/>
                      <w:sz w:val="21"/>
                      <w:szCs w:val="21"/>
                    </w:rPr>
                    <w:t>分析项目单位：/</w:t>
                  </w:r>
                </w:p>
              </w:tc>
              <w:tc>
                <w:tcPr>
                  <w:tcW w:w="1459" w:type="pct"/>
                  <w:gridSpan w:val="3"/>
                  <w:vAlign w:val="center"/>
                </w:tcPr>
                <w:p w14:paraId="1B70FE98">
                  <w:pPr>
                    <w:spacing w:line="240" w:lineRule="auto"/>
                    <w:ind w:firstLine="0" w:firstLineChars="0"/>
                    <w:jc w:val="center"/>
                    <w:rPr>
                      <w:rFonts w:hint="eastAsia"/>
                      <w:bCs/>
                      <w:color w:val="auto"/>
                      <w:sz w:val="21"/>
                      <w:szCs w:val="21"/>
                    </w:rPr>
                  </w:pPr>
                  <w:r>
                    <w:rPr>
                      <w:rFonts w:hint="eastAsia"/>
                      <w:bCs/>
                      <w:color w:val="auto"/>
                      <w:sz w:val="21"/>
                      <w:szCs w:val="21"/>
                    </w:rPr>
                    <w:t>志贺氏菌(1)</w:t>
                  </w:r>
                </w:p>
              </w:tc>
              <w:tc>
                <w:tcPr>
                  <w:tcW w:w="2604" w:type="pct"/>
                  <w:gridSpan w:val="2"/>
                  <w:vAlign w:val="center"/>
                </w:tcPr>
                <w:p w14:paraId="439297DD">
                  <w:pPr>
                    <w:spacing w:line="240" w:lineRule="auto"/>
                    <w:ind w:firstLine="0" w:firstLineChars="0"/>
                    <w:jc w:val="center"/>
                    <w:rPr>
                      <w:rFonts w:hint="eastAsia"/>
                      <w:bCs/>
                      <w:color w:val="auto"/>
                      <w:sz w:val="21"/>
                      <w:szCs w:val="21"/>
                    </w:rPr>
                  </w:pPr>
                  <w:r>
                    <w:rPr>
                      <w:rFonts w:hint="eastAsia"/>
                      <w:bCs/>
                      <w:color w:val="auto"/>
                      <w:sz w:val="21"/>
                      <w:szCs w:val="21"/>
                    </w:rPr>
                    <w:t>不存在/200mL</w:t>
                  </w:r>
                </w:p>
              </w:tc>
            </w:tr>
            <w:tr w14:paraId="56ADC6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trPr>
              <w:tc>
                <w:tcPr>
                  <w:tcW w:w="2395" w:type="pct"/>
                  <w:gridSpan w:val="5"/>
                  <w:vAlign w:val="center"/>
                </w:tcPr>
                <w:p w14:paraId="6DB0E019">
                  <w:pPr>
                    <w:spacing w:line="240" w:lineRule="auto"/>
                    <w:ind w:firstLine="0" w:firstLineChars="0"/>
                    <w:jc w:val="center"/>
                    <w:rPr>
                      <w:rFonts w:hint="eastAsia"/>
                      <w:bCs/>
                      <w:color w:val="auto"/>
                      <w:sz w:val="21"/>
                      <w:szCs w:val="21"/>
                    </w:rPr>
                  </w:pPr>
                  <w:r>
                    <w:rPr>
                      <w:rFonts w:hint="eastAsia"/>
                      <w:bCs/>
                      <w:color w:val="auto"/>
                      <w:sz w:val="21"/>
                      <w:szCs w:val="21"/>
                    </w:rPr>
                    <w:t>来样编号</w:t>
                  </w:r>
                </w:p>
              </w:tc>
              <w:tc>
                <w:tcPr>
                  <w:tcW w:w="2604" w:type="pct"/>
                  <w:gridSpan w:val="2"/>
                  <w:vAlign w:val="center"/>
                </w:tcPr>
                <w:p w14:paraId="3F2AAD91">
                  <w:pPr>
                    <w:spacing w:line="240" w:lineRule="auto"/>
                    <w:ind w:firstLine="0" w:firstLineChars="0"/>
                    <w:jc w:val="center"/>
                    <w:rPr>
                      <w:rFonts w:hint="eastAsia"/>
                      <w:bCs/>
                      <w:color w:val="auto"/>
                      <w:sz w:val="21"/>
                      <w:szCs w:val="21"/>
                    </w:rPr>
                  </w:pPr>
                  <w:r>
                    <w:rPr>
                      <w:rFonts w:hint="eastAsia"/>
                      <w:bCs/>
                      <w:color w:val="auto"/>
                      <w:sz w:val="21"/>
                      <w:szCs w:val="21"/>
                    </w:rPr>
                    <w:t>200000005910</w:t>
                  </w:r>
                </w:p>
              </w:tc>
            </w:tr>
            <w:tr w14:paraId="04DA56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2395" w:type="pct"/>
                  <w:gridSpan w:val="5"/>
                  <w:vAlign w:val="center"/>
                </w:tcPr>
                <w:p w14:paraId="75CAB9F2">
                  <w:pPr>
                    <w:spacing w:line="240" w:lineRule="auto"/>
                    <w:ind w:firstLine="0" w:firstLineChars="0"/>
                    <w:jc w:val="center"/>
                    <w:rPr>
                      <w:rFonts w:hint="eastAsia"/>
                      <w:bCs/>
                      <w:color w:val="auto"/>
                      <w:sz w:val="21"/>
                      <w:szCs w:val="21"/>
                    </w:rPr>
                  </w:pPr>
                  <w:r>
                    <w:rPr>
                      <w:rFonts w:hint="eastAsia"/>
                      <w:bCs/>
                      <w:color w:val="auto"/>
                      <w:sz w:val="21"/>
                      <w:szCs w:val="21"/>
                    </w:rPr>
                    <w:t>样品编号</w:t>
                  </w:r>
                </w:p>
              </w:tc>
              <w:tc>
                <w:tcPr>
                  <w:tcW w:w="2604" w:type="pct"/>
                  <w:gridSpan w:val="2"/>
                  <w:vAlign w:val="center"/>
                </w:tcPr>
                <w:p w14:paraId="28086279">
                  <w:pPr>
                    <w:spacing w:line="240" w:lineRule="auto"/>
                    <w:ind w:firstLine="0" w:firstLineChars="0"/>
                    <w:jc w:val="center"/>
                    <w:rPr>
                      <w:rFonts w:hint="eastAsia"/>
                      <w:bCs/>
                      <w:color w:val="auto"/>
                      <w:sz w:val="21"/>
                      <w:szCs w:val="21"/>
                    </w:rPr>
                  </w:pPr>
                  <w:r>
                    <w:rPr>
                      <w:rFonts w:hint="eastAsia"/>
                      <w:bCs/>
                      <w:color w:val="auto"/>
                      <w:sz w:val="21"/>
                      <w:szCs w:val="21"/>
                    </w:rPr>
                    <w:t>HJ2025121018-S01101</w:t>
                  </w:r>
                </w:p>
              </w:tc>
            </w:tr>
            <w:tr w14:paraId="54651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2" w:hRule="atLeast"/>
              </w:trPr>
              <w:tc>
                <w:tcPr>
                  <w:tcW w:w="1055" w:type="pct"/>
                  <w:gridSpan w:val="3"/>
                  <w:vAlign w:val="center"/>
                </w:tcPr>
                <w:p w14:paraId="2DBFF84F">
                  <w:pPr>
                    <w:spacing w:line="240" w:lineRule="auto"/>
                    <w:ind w:firstLine="0" w:firstLineChars="0"/>
                    <w:jc w:val="center"/>
                    <w:rPr>
                      <w:rFonts w:hint="eastAsia"/>
                      <w:bCs/>
                      <w:color w:val="auto"/>
                      <w:sz w:val="21"/>
                      <w:szCs w:val="21"/>
                    </w:rPr>
                  </w:pPr>
                  <w:r>
                    <w:rPr>
                      <w:rFonts w:hint="eastAsia"/>
                      <w:bCs/>
                      <w:color w:val="auto"/>
                      <w:sz w:val="21"/>
                      <w:szCs w:val="21"/>
                    </w:rPr>
                    <w:t>分析项目单位：/</w:t>
                  </w:r>
                </w:p>
              </w:tc>
              <w:tc>
                <w:tcPr>
                  <w:tcW w:w="1339" w:type="pct"/>
                  <w:gridSpan w:val="2"/>
                  <w:vAlign w:val="center"/>
                </w:tcPr>
                <w:p w14:paraId="1082E25A">
                  <w:pPr>
                    <w:spacing w:line="240" w:lineRule="auto"/>
                    <w:ind w:firstLine="0" w:firstLineChars="0"/>
                    <w:jc w:val="center"/>
                    <w:rPr>
                      <w:rFonts w:hint="eastAsia"/>
                      <w:bCs/>
                      <w:color w:val="auto"/>
                      <w:sz w:val="21"/>
                      <w:szCs w:val="21"/>
                    </w:rPr>
                  </w:pPr>
                  <w:r>
                    <w:rPr>
                      <w:rFonts w:hint="eastAsia"/>
                      <w:bCs/>
                      <w:color w:val="auto"/>
                      <w:sz w:val="21"/>
                      <w:szCs w:val="21"/>
                    </w:rPr>
                    <w:t>沙门氏菌(/)</w:t>
                  </w:r>
                </w:p>
              </w:tc>
              <w:tc>
                <w:tcPr>
                  <w:tcW w:w="2604" w:type="pct"/>
                  <w:gridSpan w:val="2"/>
                  <w:vAlign w:val="center"/>
                </w:tcPr>
                <w:p w14:paraId="4DE0A854">
                  <w:pPr>
                    <w:spacing w:line="240" w:lineRule="auto"/>
                    <w:ind w:firstLine="0" w:firstLineChars="0"/>
                    <w:jc w:val="center"/>
                    <w:rPr>
                      <w:rFonts w:hint="eastAsia"/>
                      <w:bCs/>
                      <w:color w:val="auto"/>
                      <w:sz w:val="21"/>
                      <w:szCs w:val="21"/>
                    </w:rPr>
                  </w:pPr>
                  <w:r>
                    <w:rPr>
                      <w:rFonts w:hint="eastAsia"/>
                      <w:bCs/>
                      <w:color w:val="auto"/>
                      <w:sz w:val="21"/>
                      <w:szCs w:val="21"/>
                    </w:rPr>
                    <w:t>不存在/200mL</w:t>
                  </w:r>
                </w:p>
              </w:tc>
            </w:tr>
          </w:tbl>
          <w:p w14:paraId="20D81C49">
            <w:pPr>
              <w:pStyle w:val="2"/>
              <w:jc w:val="center"/>
              <w:rPr>
                <w:b/>
                <w:bCs/>
                <w:color w:val="auto"/>
                <w:highlight w:val="none"/>
              </w:rPr>
            </w:pPr>
            <w:r>
              <w:rPr>
                <w:b/>
                <w:bCs/>
                <w:color w:val="auto"/>
                <w:highlight w:val="none"/>
              </w:rPr>
              <w:t>表2-1</w:t>
            </w:r>
            <w:r>
              <w:rPr>
                <w:rFonts w:hint="eastAsia"/>
                <w:b/>
                <w:bCs/>
                <w:color w:val="auto"/>
                <w:highlight w:val="none"/>
                <w:lang w:val="en-US" w:eastAsia="zh-CN"/>
              </w:rPr>
              <w:t>8</w:t>
            </w:r>
            <w:r>
              <w:rPr>
                <w:b/>
                <w:bCs/>
                <w:color w:val="auto"/>
                <w:highlight w:val="none"/>
              </w:rPr>
              <w:t>现有工程废水总排放量</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997"/>
              <w:gridCol w:w="3996"/>
            </w:tblGrid>
            <w:tr w14:paraId="336A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0" w:type="pct"/>
                  <w:vAlign w:val="center"/>
                </w:tcPr>
                <w:p w14:paraId="60C15B49">
                  <w:pPr>
                    <w:spacing w:line="240" w:lineRule="auto"/>
                    <w:ind w:firstLine="0" w:firstLineChars="0"/>
                    <w:jc w:val="center"/>
                    <w:rPr>
                      <w:bCs/>
                      <w:color w:val="auto"/>
                      <w:sz w:val="21"/>
                      <w:szCs w:val="21"/>
                      <w:highlight w:val="none"/>
                    </w:rPr>
                  </w:pPr>
                  <w:r>
                    <w:rPr>
                      <w:bCs/>
                      <w:color w:val="auto"/>
                      <w:sz w:val="21"/>
                      <w:szCs w:val="21"/>
                      <w:highlight w:val="none"/>
                    </w:rPr>
                    <w:t>序号</w:t>
                  </w:r>
                </w:p>
              </w:tc>
              <w:tc>
                <w:tcPr>
                  <w:tcW w:w="1319" w:type="pct"/>
                  <w:vAlign w:val="center"/>
                </w:tcPr>
                <w:p w14:paraId="222E734B">
                  <w:pPr>
                    <w:spacing w:line="240" w:lineRule="auto"/>
                    <w:ind w:firstLine="0" w:firstLineChars="0"/>
                    <w:jc w:val="center"/>
                    <w:rPr>
                      <w:bCs/>
                      <w:color w:val="auto"/>
                      <w:sz w:val="21"/>
                      <w:szCs w:val="21"/>
                      <w:highlight w:val="none"/>
                    </w:rPr>
                  </w:pPr>
                  <w:r>
                    <w:rPr>
                      <w:bCs/>
                      <w:color w:val="auto"/>
                      <w:sz w:val="21"/>
                      <w:szCs w:val="21"/>
                      <w:highlight w:val="none"/>
                    </w:rPr>
                    <w:t>项目</w:t>
                  </w:r>
                </w:p>
              </w:tc>
              <w:tc>
                <w:tcPr>
                  <w:tcW w:w="2639" w:type="pct"/>
                  <w:vAlign w:val="center"/>
                </w:tcPr>
                <w:p w14:paraId="4F9F3DF3">
                  <w:pPr>
                    <w:spacing w:line="240" w:lineRule="auto"/>
                    <w:ind w:firstLine="0" w:firstLineChars="0"/>
                    <w:jc w:val="center"/>
                    <w:rPr>
                      <w:bCs/>
                      <w:color w:val="auto"/>
                      <w:sz w:val="21"/>
                      <w:szCs w:val="21"/>
                      <w:highlight w:val="none"/>
                    </w:rPr>
                  </w:pPr>
                  <w:r>
                    <w:rPr>
                      <w:bCs/>
                      <w:color w:val="auto"/>
                      <w:sz w:val="21"/>
                      <w:szCs w:val="21"/>
                      <w:highlight w:val="none"/>
                    </w:rPr>
                    <w:t>现有工程废水排放总量</w:t>
                  </w:r>
                </w:p>
              </w:tc>
            </w:tr>
            <w:tr w14:paraId="10BDA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0" w:type="pct"/>
                  <w:vAlign w:val="center"/>
                </w:tcPr>
                <w:p w14:paraId="48CFAEC3">
                  <w:pPr>
                    <w:spacing w:line="240" w:lineRule="auto"/>
                    <w:ind w:firstLine="0" w:firstLineChars="0"/>
                    <w:jc w:val="center"/>
                    <w:rPr>
                      <w:bCs/>
                      <w:color w:val="auto"/>
                      <w:sz w:val="21"/>
                      <w:szCs w:val="21"/>
                      <w:highlight w:val="none"/>
                    </w:rPr>
                  </w:pPr>
                  <w:r>
                    <w:rPr>
                      <w:bCs/>
                      <w:color w:val="auto"/>
                      <w:sz w:val="21"/>
                      <w:szCs w:val="21"/>
                      <w:highlight w:val="none"/>
                    </w:rPr>
                    <w:t>1</w:t>
                  </w:r>
                </w:p>
              </w:tc>
              <w:tc>
                <w:tcPr>
                  <w:tcW w:w="1319" w:type="pct"/>
                  <w:vAlign w:val="center"/>
                </w:tcPr>
                <w:p w14:paraId="5BB2918C">
                  <w:pPr>
                    <w:spacing w:line="240" w:lineRule="auto"/>
                    <w:ind w:firstLine="0" w:firstLineChars="0"/>
                    <w:jc w:val="center"/>
                    <w:rPr>
                      <w:bCs/>
                      <w:color w:val="auto"/>
                      <w:sz w:val="21"/>
                      <w:szCs w:val="21"/>
                      <w:highlight w:val="none"/>
                    </w:rPr>
                  </w:pPr>
                  <w:r>
                    <w:rPr>
                      <w:bCs/>
                      <w:color w:val="auto"/>
                      <w:sz w:val="21"/>
                      <w:szCs w:val="21"/>
                      <w:highlight w:val="none"/>
                    </w:rPr>
                    <w:t>水量</w:t>
                  </w:r>
                </w:p>
              </w:tc>
              <w:tc>
                <w:tcPr>
                  <w:tcW w:w="2639" w:type="pct"/>
                  <w:vAlign w:val="center"/>
                </w:tcPr>
                <w:p w14:paraId="765013C6">
                  <w:pPr>
                    <w:spacing w:line="240" w:lineRule="auto"/>
                    <w:ind w:firstLine="0" w:firstLineChars="0"/>
                    <w:jc w:val="center"/>
                    <w:rPr>
                      <w:bCs/>
                      <w:color w:val="auto"/>
                      <w:sz w:val="21"/>
                      <w:szCs w:val="21"/>
                      <w:highlight w:val="none"/>
                    </w:rPr>
                  </w:pPr>
                  <w:r>
                    <w:rPr>
                      <w:bCs/>
                      <w:color w:val="auto"/>
                      <w:sz w:val="21"/>
                      <w:szCs w:val="21"/>
                      <w:highlight w:val="none"/>
                    </w:rPr>
                    <w:t>109.41</w:t>
                  </w:r>
                </w:p>
              </w:tc>
            </w:tr>
          </w:tbl>
          <w:p w14:paraId="5B90092F">
            <w:pPr>
              <w:pStyle w:val="34"/>
              <w:ind w:firstLine="480"/>
              <w:rPr>
                <w:color w:val="auto"/>
              </w:rPr>
            </w:pPr>
            <w:r>
              <w:rPr>
                <w:color w:val="auto"/>
              </w:rPr>
              <w:t>根据上表可知项目废水排放能达到《医疗机构水污染物排放标准》（GB18466-2005）的综合医疗机构和其他医疗机构水污染物预处理标准的要求。</w:t>
            </w:r>
          </w:p>
          <w:p w14:paraId="11C2AA17">
            <w:pPr>
              <w:pStyle w:val="34"/>
              <w:ind w:firstLine="480"/>
              <w:rPr>
                <w:color w:val="auto"/>
              </w:rPr>
            </w:pPr>
            <w:r>
              <w:rPr>
                <w:color w:val="auto"/>
              </w:rPr>
              <w:t>（3）噪声</w:t>
            </w:r>
          </w:p>
          <w:p w14:paraId="565AD75D">
            <w:pPr>
              <w:pStyle w:val="34"/>
              <w:ind w:firstLine="480"/>
              <w:rPr>
                <w:color w:val="auto"/>
              </w:rPr>
            </w:pPr>
            <w:r>
              <w:rPr>
                <w:color w:val="auto"/>
              </w:rPr>
              <w:t>噪声来源主要为医院设备运行产生的噪声、人群噪声及车辆进出噪声。根据</w:t>
            </w:r>
            <w:r>
              <w:rPr>
                <w:color w:val="auto"/>
                <w:highlight w:val="none"/>
              </w:rPr>
              <w:t>《江川区人民医院</w:t>
            </w:r>
            <w:r>
              <w:rPr>
                <w:rFonts w:hint="eastAsia"/>
                <w:color w:val="auto"/>
                <w:highlight w:val="none"/>
                <w:lang w:val="en-US" w:eastAsia="zh-CN"/>
              </w:rPr>
              <w:t>2025</w:t>
            </w:r>
            <w:r>
              <w:rPr>
                <w:color w:val="auto"/>
                <w:highlight w:val="none"/>
              </w:rPr>
              <w:t>年自行监测（四季度）》</w:t>
            </w:r>
            <w:r>
              <w:rPr>
                <w:color w:val="auto"/>
              </w:rPr>
              <w:t>中对厂界的噪声监测结果。</w:t>
            </w:r>
          </w:p>
          <w:p w14:paraId="154FEF99">
            <w:pPr>
              <w:pStyle w:val="2"/>
              <w:jc w:val="center"/>
              <w:rPr>
                <w:b/>
                <w:bCs/>
                <w:color w:val="auto"/>
              </w:rPr>
            </w:pPr>
            <w:r>
              <w:rPr>
                <w:b/>
                <w:bCs/>
                <w:color w:val="auto"/>
              </w:rPr>
              <w:t>表2-</w:t>
            </w:r>
            <w:r>
              <w:rPr>
                <w:rFonts w:hint="eastAsia"/>
                <w:b/>
                <w:bCs/>
                <w:color w:val="auto"/>
                <w:lang w:val="en-US" w:eastAsia="zh-CN"/>
              </w:rPr>
              <w:t>19</w:t>
            </w:r>
            <w:r>
              <w:rPr>
                <w:b/>
                <w:bCs/>
                <w:color w:val="auto"/>
              </w:rPr>
              <w:t>现有工程噪声检测结果</w:t>
            </w:r>
          </w:p>
          <w:tbl>
            <w:tblPr>
              <w:tblStyle w:val="20"/>
              <w:tblW w:w="75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1275"/>
              <w:gridCol w:w="1134"/>
              <w:gridCol w:w="993"/>
              <w:gridCol w:w="992"/>
              <w:gridCol w:w="1134"/>
              <w:gridCol w:w="567"/>
              <w:gridCol w:w="630"/>
            </w:tblGrid>
            <w:tr w14:paraId="69B70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849" w:type="dxa"/>
                  <w:vMerge w:val="restart"/>
                  <w:vAlign w:val="center"/>
                </w:tcPr>
                <w:p w14:paraId="272FA6F9">
                  <w:pPr>
                    <w:spacing w:line="240" w:lineRule="auto"/>
                    <w:ind w:firstLine="0" w:firstLineChars="0"/>
                    <w:jc w:val="center"/>
                    <w:rPr>
                      <w:bCs/>
                      <w:color w:val="auto"/>
                      <w:sz w:val="21"/>
                      <w:szCs w:val="21"/>
                    </w:rPr>
                  </w:pPr>
                  <w:r>
                    <w:rPr>
                      <w:bCs/>
                      <w:color w:val="auto"/>
                      <w:sz w:val="21"/>
                      <w:szCs w:val="21"/>
                    </w:rPr>
                    <w:t>检测日期</w:t>
                  </w:r>
                </w:p>
              </w:tc>
              <w:tc>
                <w:tcPr>
                  <w:tcW w:w="3402" w:type="dxa"/>
                  <w:gridSpan w:val="3"/>
                  <w:vAlign w:val="center"/>
                </w:tcPr>
                <w:p w14:paraId="3BBC9811">
                  <w:pPr>
                    <w:spacing w:line="240" w:lineRule="auto"/>
                    <w:ind w:firstLine="0" w:firstLineChars="0"/>
                    <w:jc w:val="center"/>
                    <w:rPr>
                      <w:bCs/>
                      <w:color w:val="auto"/>
                      <w:sz w:val="21"/>
                      <w:szCs w:val="21"/>
                    </w:rPr>
                  </w:pPr>
                  <w:r>
                    <w:rPr>
                      <w:bCs/>
                      <w:color w:val="auto"/>
                      <w:sz w:val="21"/>
                      <w:szCs w:val="21"/>
                    </w:rPr>
                    <w:t>现场气象条件</w:t>
                  </w:r>
                </w:p>
              </w:tc>
              <w:tc>
                <w:tcPr>
                  <w:tcW w:w="2126" w:type="dxa"/>
                  <w:gridSpan w:val="2"/>
                  <w:vAlign w:val="center"/>
                </w:tcPr>
                <w:p w14:paraId="5A8B0E02">
                  <w:pPr>
                    <w:spacing w:line="240" w:lineRule="auto"/>
                    <w:ind w:firstLine="0" w:firstLineChars="0"/>
                    <w:jc w:val="center"/>
                    <w:rPr>
                      <w:bCs/>
                      <w:color w:val="auto"/>
                      <w:sz w:val="21"/>
                      <w:szCs w:val="21"/>
                    </w:rPr>
                  </w:pPr>
                  <w:r>
                    <w:rPr>
                      <w:bCs/>
                      <w:color w:val="auto"/>
                      <w:sz w:val="21"/>
                      <w:szCs w:val="21"/>
                    </w:rPr>
                    <w:t>仪器校准情况</w:t>
                  </w:r>
                </w:p>
              </w:tc>
              <w:tc>
                <w:tcPr>
                  <w:tcW w:w="567" w:type="dxa"/>
                  <w:vMerge w:val="restart"/>
                  <w:vAlign w:val="center"/>
                </w:tcPr>
                <w:p w14:paraId="35EC3BD2">
                  <w:pPr>
                    <w:spacing w:line="240" w:lineRule="auto"/>
                    <w:ind w:firstLine="0" w:firstLineChars="0"/>
                    <w:rPr>
                      <w:bCs/>
                      <w:color w:val="auto"/>
                      <w:sz w:val="21"/>
                      <w:szCs w:val="21"/>
                    </w:rPr>
                  </w:pPr>
                  <w:r>
                    <w:rPr>
                      <w:bCs/>
                      <w:color w:val="auto"/>
                      <w:sz w:val="21"/>
                      <w:szCs w:val="21"/>
                    </w:rPr>
                    <w:t>标准限值</w:t>
                  </w:r>
                </w:p>
              </w:tc>
              <w:tc>
                <w:tcPr>
                  <w:tcW w:w="630" w:type="dxa"/>
                  <w:vMerge w:val="restart"/>
                  <w:vAlign w:val="center"/>
                </w:tcPr>
                <w:p w14:paraId="615DDF6A">
                  <w:pPr>
                    <w:spacing w:line="240" w:lineRule="auto"/>
                    <w:ind w:firstLine="0" w:firstLineChars="0"/>
                    <w:rPr>
                      <w:bCs/>
                      <w:color w:val="auto"/>
                      <w:sz w:val="21"/>
                      <w:szCs w:val="21"/>
                    </w:rPr>
                  </w:pPr>
                  <w:r>
                    <w:rPr>
                      <w:bCs/>
                      <w:color w:val="auto"/>
                      <w:sz w:val="21"/>
                      <w:szCs w:val="21"/>
                    </w:rPr>
                    <w:t>达标情况</w:t>
                  </w:r>
                </w:p>
              </w:tc>
            </w:tr>
            <w:tr w14:paraId="6E750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849" w:type="dxa"/>
                  <w:vMerge w:val="continue"/>
                  <w:vAlign w:val="center"/>
                </w:tcPr>
                <w:p w14:paraId="66D1B2B3">
                  <w:pPr>
                    <w:spacing w:line="240" w:lineRule="auto"/>
                    <w:ind w:firstLine="0" w:firstLineChars="0"/>
                    <w:jc w:val="center"/>
                    <w:rPr>
                      <w:bCs/>
                      <w:color w:val="auto"/>
                      <w:sz w:val="21"/>
                      <w:szCs w:val="21"/>
                    </w:rPr>
                  </w:pPr>
                </w:p>
              </w:tc>
              <w:tc>
                <w:tcPr>
                  <w:tcW w:w="1275" w:type="dxa"/>
                  <w:vAlign w:val="center"/>
                </w:tcPr>
                <w:p w14:paraId="6D1EB4BB">
                  <w:pPr>
                    <w:spacing w:line="240" w:lineRule="auto"/>
                    <w:ind w:firstLine="0" w:firstLineChars="0"/>
                    <w:jc w:val="center"/>
                    <w:rPr>
                      <w:bCs/>
                      <w:color w:val="auto"/>
                      <w:sz w:val="21"/>
                      <w:szCs w:val="21"/>
                    </w:rPr>
                  </w:pPr>
                  <w:r>
                    <w:rPr>
                      <w:bCs/>
                      <w:color w:val="auto"/>
                      <w:sz w:val="21"/>
                      <w:szCs w:val="21"/>
                    </w:rPr>
                    <w:t>天气情况</w:t>
                  </w:r>
                </w:p>
              </w:tc>
              <w:tc>
                <w:tcPr>
                  <w:tcW w:w="1134" w:type="dxa"/>
                  <w:vAlign w:val="center"/>
                </w:tcPr>
                <w:p w14:paraId="0A4BE2E8">
                  <w:pPr>
                    <w:spacing w:line="240" w:lineRule="auto"/>
                    <w:ind w:firstLine="0" w:firstLineChars="0"/>
                    <w:jc w:val="center"/>
                    <w:rPr>
                      <w:bCs/>
                      <w:color w:val="auto"/>
                      <w:sz w:val="21"/>
                      <w:szCs w:val="21"/>
                    </w:rPr>
                  </w:pPr>
                  <w:r>
                    <w:rPr>
                      <w:bCs/>
                      <w:color w:val="auto"/>
                      <w:sz w:val="21"/>
                      <w:szCs w:val="21"/>
                    </w:rPr>
                    <w:t>风速（m/s&gt;)</w:t>
                  </w:r>
                </w:p>
              </w:tc>
              <w:tc>
                <w:tcPr>
                  <w:tcW w:w="993" w:type="dxa"/>
                  <w:vAlign w:val="center"/>
                </w:tcPr>
                <w:p w14:paraId="299C7D81">
                  <w:pPr>
                    <w:spacing w:line="240" w:lineRule="auto"/>
                    <w:ind w:firstLine="0" w:firstLineChars="0"/>
                    <w:jc w:val="center"/>
                    <w:rPr>
                      <w:bCs/>
                      <w:color w:val="auto"/>
                      <w:sz w:val="21"/>
                      <w:szCs w:val="21"/>
                    </w:rPr>
                  </w:pPr>
                  <w:r>
                    <w:rPr>
                      <w:bCs/>
                      <w:color w:val="auto"/>
                      <w:sz w:val="21"/>
                      <w:szCs w:val="21"/>
                    </w:rPr>
                    <w:t>风向</w:t>
                  </w:r>
                </w:p>
              </w:tc>
              <w:tc>
                <w:tcPr>
                  <w:tcW w:w="992" w:type="dxa"/>
                  <w:vAlign w:val="center"/>
                </w:tcPr>
                <w:p w14:paraId="19AF14C2">
                  <w:pPr>
                    <w:spacing w:line="240" w:lineRule="auto"/>
                    <w:ind w:firstLine="0" w:firstLineChars="0"/>
                    <w:jc w:val="center"/>
                    <w:rPr>
                      <w:bCs/>
                      <w:color w:val="auto"/>
                      <w:sz w:val="21"/>
                      <w:szCs w:val="21"/>
                    </w:rPr>
                  </w:pPr>
                  <w:r>
                    <w:rPr>
                      <w:bCs/>
                      <w:color w:val="auto"/>
                      <w:sz w:val="21"/>
                      <w:szCs w:val="21"/>
                    </w:rPr>
                    <w:t>检测前校准值dB(A)</w:t>
                  </w:r>
                </w:p>
              </w:tc>
              <w:tc>
                <w:tcPr>
                  <w:tcW w:w="1134" w:type="dxa"/>
                  <w:vAlign w:val="center"/>
                </w:tcPr>
                <w:p w14:paraId="6A54DDC3">
                  <w:pPr>
                    <w:spacing w:line="240" w:lineRule="auto"/>
                    <w:ind w:firstLine="0" w:firstLineChars="0"/>
                    <w:jc w:val="center"/>
                    <w:rPr>
                      <w:bCs/>
                      <w:color w:val="auto"/>
                      <w:sz w:val="21"/>
                      <w:szCs w:val="21"/>
                    </w:rPr>
                  </w:pPr>
                  <w:r>
                    <w:rPr>
                      <w:bCs/>
                      <w:color w:val="auto"/>
                      <w:sz w:val="21"/>
                      <w:szCs w:val="21"/>
                    </w:rPr>
                    <w:t>检测后校准值dB(A)</w:t>
                  </w:r>
                </w:p>
              </w:tc>
              <w:tc>
                <w:tcPr>
                  <w:tcW w:w="567" w:type="dxa"/>
                  <w:vMerge w:val="continue"/>
                  <w:vAlign w:val="center"/>
                </w:tcPr>
                <w:p w14:paraId="15E6F931">
                  <w:pPr>
                    <w:spacing w:line="240" w:lineRule="auto"/>
                    <w:ind w:firstLine="420"/>
                    <w:jc w:val="center"/>
                    <w:rPr>
                      <w:bCs/>
                      <w:color w:val="auto"/>
                      <w:sz w:val="21"/>
                      <w:szCs w:val="21"/>
                    </w:rPr>
                  </w:pPr>
                </w:p>
              </w:tc>
              <w:tc>
                <w:tcPr>
                  <w:tcW w:w="630" w:type="dxa"/>
                  <w:vMerge w:val="continue"/>
                  <w:vAlign w:val="center"/>
                </w:tcPr>
                <w:p w14:paraId="7C1C5993">
                  <w:pPr>
                    <w:spacing w:line="240" w:lineRule="auto"/>
                    <w:ind w:firstLine="420"/>
                    <w:jc w:val="center"/>
                    <w:rPr>
                      <w:bCs/>
                      <w:color w:val="auto"/>
                      <w:sz w:val="21"/>
                      <w:szCs w:val="21"/>
                    </w:rPr>
                  </w:pPr>
                </w:p>
              </w:tc>
            </w:tr>
            <w:tr w14:paraId="090B8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849" w:type="dxa"/>
                  <w:vAlign w:val="center"/>
                </w:tcPr>
                <w:p w14:paraId="08BEFF62">
                  <w:pPr>
                    <w:spacing w:line="240" w:lineRule="auto"/>
                    <w:ind w:firstLine="0" w:firstLineChars="0"/>
                    <w:jc w:val="center"/>
                    <w:rPr>
                      <w:bCs/>
                      <w:color w:val="auto"/>
                      <w:sz w:val="21"/>
                      <w:szCs w:val="21"/>
                    </w:rPr>
                  </w:pPr>
                  <w:r>
                    <w:rPr>
                      <w:bCs/>
                      <w:color w:val="auto"/>
                      <w:sz w:val="21"/>
                      <w:szCs w:val="21"/>
                    </w:rPr>
                    <w:t>检测日期</w:t>
                  </w:r>
                </w:p>
              </w:tc>
              <w:tc>
                <w:tcPr>
                  <w:tcW w:w="1275" w:type="dxa"/>
                  <w:vAlign w:val="center"/>
                </w:tcPr>
                <w:p w14:paraId="1E264F46">
                  <w:pPr>
                    <w:spacing w:line="240" w:lineRule="auto"/>
                    <w:ind w:firstLine="0" w:firstLineChars="0"/>
                    <w:jc w:val="center"/>
                    <w:rPr>
                      <w:bCs/>
                      <w:color w:val="auto"/>
                      <w:sz w:val="21"/>
                      <w:szCs w:val="21"/>
                    </w:rPr>
                  </w:pPr>
                  <w:r>
                    <w:rPr>
                      <w:bCs/>
                      <w:color w:val="auto"/>
                      <w:sz w:val="21"/>
                      <w:szCs w:val="21"/>
                    </w:rPr>
                    <w:t>检测点位</w:t>
                  </w:r>
                </w:p>
              </w:tc>
              <w:tc>
                <w:tcPr>
                  <w:tcW w:w="2127" w:type="dxa"/>
                  <w:gridSpan w:val="2"/>
                  <w:vAlign w:val="center"/>
                </w:tcPr>
                <w:p w14:paraId="2B3AAF53">
                  <w:pPr>
                    <w:spacing w:line="240" w:lineRule="auto"/>
                    <w:ind w:firstLine="0" w:firstLineChars="0"/>
                    <w:jc w:val="center"/>
                    <w:rPr>
                      <w:bCs/>
                      <w:color w:val="auto"/>
                      <w:sz w:val="21"/>
                      <w:szCs w:val="21"/>
                    </w:rPr>
                  </w:pPr>
                  <w:r>
                    <w:rPr>
                      <w:bCs/>
                      <w:color w:val="auto"/>
                      <w:sz w:val="21"/>
                      <w:szCs w:val="21"/>
                    </w:rPr>
                    <w:t>检测时间</w:t>
                  </w:r>
                </w:p>
              </w:tc>
              <w:tc>
                <w:tcPr>
                  <w:tcW w:w="992" w:type="dxa"/>
                  <w:vAlign w:val="center"/>
                </w:tcPr>
                <w:p w14:paraId="740C0CDF">
                  <w:pPr>
                    <w:spacing w:line="240" w:lineRule="auto"/>
                    <w:ind w:firstLine="0" w:firstLineChars="0"/>
                    <w:jc w:val="center"/>
                    <w:rPr>
                      <w:bCs/>
                      <w:color w:val="auto"/>
                      <w:sz w:val="21"/>
                      <w:szCs w:val="21"/>
                    </w:rPr>
                  </w:pPr>
                  <w:r>
                    <w:rPr>
                      <w:bCs/>
                      <w:color w:val="auto"/>
                      <w:sz w:val="21"/>
                      <w:szCs w:val="21"/>
                    </w:rPr>
                    <w:t>等效声级(Leq)</w:t>
                  </w:r>
                </w:p>
              </w:tc>
              <w:tc>
                <w:tcPr>
                  <w:tcW w:w="1134" w:type="dxa"/>
                  <w:vAlign w:val="center"/>
                </w:tcPr>
                <w:p w14:paraId="5ECA8FFC">
                  <w:pPr>
                    <w:spacing w:line="240" w:lineRule="auto"/>
                    <w:ind w:firstLine="0" w:firstLineChars="0"/>
                    <w:jc w:val="center"/>
                    <w:rPr>
                      <w:bCs/>
                      <w:color w:val="auto"/>
                      <w:sz w:val="21"/>
                      <w:szCs w:val="21"/>
                    </w:rPr>
                  </w:pPr>
                  <w:r>
                    <w:rPr>
                      <w:bCs/>
                      <w:color w:val="auto"/>
                      <w:sz w:val="21"/>
                      <w:szCs w:val="21"/>
                    </w:rPr>
                    <w:t>主要声源</w:t>
                  </w:r>
                </w:p>
              </w:tc>
              <w:tc>
                <w:tcPr>
                  <w:tcW w:w="567" w:type="dxa"/>
                  <w:vMerge w:val="continue"/>
                  <w:vAlign w:val="center"/>
                </w:tcPr>
                <w:p w14:paraId="78F3B1B5">
                  <w:pPr>
                    <w:spacing w:line="240" w:lineRule="auto"/>
                    <w:ind w:firstLine="0" w:firstLineChars="0"/>
                    <w:jc w:val="center"/>
                    <w:rPr>
                      <w:bCs/>
                      <w:color w:val="auto"/>
                      <w:sz w:val="21"/>
                      <w:szCs w:val="21"/>
                    </w:rPr>
                  </w:pPr>
                </w:p>
              </w:tc>
              <w:tc>
                <w:tcPr>
                  <w:tcW w:w="630" w:type="dxa"/>
                  <w:vMerge w:val="continue"/>
                  <w:vAlign w:val="center"/>
                </w:tcPr>
                <w:p w14:paraId="7102C466">
                  <w:pPr>
                    <w:spacing w:line="240" w:lineRule="auto"/>
                    <w:ind w:firstLine="0" w:firstLineChars="0"/>
                    <w:jc w:val="center"/>
                    <w:rPr>
                      <w:bCs/>
                      <w:color w:val="auto"/>
                      <w:sz w:val="21"/>
                      <w:szCs w:val="21"/>
                    </w:rPr>
                  </w:pPr>
                </w:p>
              </w:tc>
            </w:tr>
            <w:tr w14:paraId="6AF68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849" w:type="dxa"/>
                  <w:vMerge w:val="restart"/>
                  <w:vAlign w:val="center"/>
                </w:tcPr>
                <w:p w14:paraId="32658624">
                  <w:pPr>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2025.12.23-24</w:t>
                  </w:r>
                </w:p>
              </w:tc>
              <w:tc>
                <w:tcPr>
                  <w:tcW w:w="1275" w:type="dxa"/>
                  <w:vMerge w:val="restart"/>
                  <w:vAlign w:val="center"/>
                </w:tcPr>
                <w:p w14:paraId="4B99EEA3">
                  <w:pPr>
                    <w:spacing w:line="240" w:lineRule="auto"/>
                    <w:ind w:firstLine="0" w:firstLineChars="0"/>
                    <w:jc w:val="center"/>
                    <w:rPr>
                      <w:bCs/>
                      <w:color w:val="auto"/>
                      <w:sz w:val="21"/>
                      <w:szCs w:val="21"/>
                    </w:rPr>
                  </w:pPr>
                  <w:r>
                    <w:rPr>
                      <w:bCs/>
                      <w:color w:val="auto"/>
                      <w:sz w:val="21"/>
                      <w:szCs w:val="21"/>
                    </w:rPr>
                    <w:t>项目厂界东侧外lm处</w:t>
                  </w:r>
                </w:p>
              </w:tc>
              <w:tc>
                <w:tcPr>
                  <w:tcW w:w="2127" w:type="dxa"/>
                  <w:gridSpan w:val="2"/>
                  <w:vAlign w:val="top"/>
                </w:tcPr>
                <w:p w14:paraId="44151FC9">
                  <w:pPr>
                    <w:spacing w:line="240" w:lineRule="auto"/>
                    <w:ind w:firstLine="0" w:firstLineChars="0"/>
                    <w:rPr>
                      <w:bCs/>
                      <w:color w:val="auto"/>
                      <w:sz w:val="21"/>
                      <w:szCs w:val="21"/>
                    </w:rPr>
                  </w:pPr>
                  <w:r>
                    <w:rPr>
                      <w:bCs/>
                      <w:color w:val="auto"/>
                      <w:sz w:val="21"/>
                      <w:szCs w:val="21"/>
                    </w:rPr>
                    <w:t>昼间(15:16～15:26)</w:t>
                  </w:r>
                </w:p>
              </w:tc>
              <w:tc>
                <w:tcPr>
                  <w:tcW w:w="992" w:type="dxa"/>
                  <w:vAlign w:val="top"/>
                </w:tcPr>
                <w:p w14:paraId="760B8462">
                  <w:pPr>
                    <w:spacing w:line="240" w:lineRule="auto"/>
                    <w:ind w:firstLine="0" w:firstLineChars="0"/>
                    <w:jc w:val="center"/>
                    <w:rPr>
                      <w:bCs/>
                      <w:color w:val="auto"/>
                      <w:sz w:val="21"/>
                      <w:szCs w:val="21"/>
                    </w:rPr>
                  </w:pPr>
                  <w:r>
                    <w:rPr>
                      <w:bCs/>
                      <w:color w:val="auto"/>
                      <w:sz w:val="21"/>
                      <w:szCs w:val="21"/>
                    </w:rPr>
                    <w:t>54.1</w:t>
                  </w:r>
                </w:p>
              </w:tc>
              <w:tc>
                <w:tcPr>
                  <w:tcW w:w="1134" w:type="dxa"/>
                  <w:vAlign w:val="center"/>
                </w:tcPr>
                <w:p w14:paraId="03CF7029">
                  <w:pPr>
                    <w:spacing w:line="240" w:lineRule="auto"/>
                    <w:ind w:firstLine="0" w:firstLineChars="0"/>
                    <w:jc w:val="center"/>
                    <w:rPr>
                      <w:bCs/>
                      <w:color w:val="auto"/>
                      <w:sz w:val="21"/>
                      <w:szCs w:val="21"/>
                    </w:rPr>
                  </w:pPr>
                  <w:r>
                    <w:rPr>
                      <w:bCs/>
                      <w:color w:val="auto"/>
                      <w:sz w:val="21"/>
                      <w:szCs w:val="21"/>
                    </w:rPr>
                    <w:t>交通噪声</w:t>
                  </w:r>
                </w:p>
              </w:tc>
              <w:tc>
                <w:tcPr>
                  <w:tcW w:w="567" w:type="dxa"/>
                  <w:vAlign w:val="center"/>
                </w:tcPr>
                <w:p w14:paraId="336FB970">
                  <w:pPr>
                    <w:spacing w:line="240" w:lineRule="auto"/>
                    <w:ind w:firstLine="0" w:firstLineChars="0"/>
                    <w:jc w:val="center"/>
                    <w:rPr>
                      <w:bCs/>
                      <w:color w:val="auto"/>
                      <w:sz w:val="21"/>
                      <w:szCs w:val="21"/>
                    </w:rPr>
                  </w:pPr>
                  <w:r>
                    <w:rPr>
                      <w:bCs/>
                      <w:color w:val="auto"/>
                      <w:sz w:val="21"/>
                      <w:szCs w:val="21"/>
                    </w:rPr>
                    <w:t>70</w:t>
                  </w:r>
                </w:p>
              </w:tc>
              <w:tc>
                <w:tcPr>
                  <w:tcW w:w="630" w:type="dxa"/>
                  <w:vAlign w:val="center"/>
                </w:tcPr>
                <w:p w14:paraId="66995550">
                  <w:pPr>
                    <w:spacing w:line="240" w:lineRule="auto"/>
                    <w:ind w:firstLine="0" w:firstLineChars="0"/>
                    <w:jc w:val="center"/>
                    <w:rPr>
                      <w:bCs/>
                      <w:color w:val="auto"/>
                      <w:sz w:val="21"/>
                      <w:szCs w:val="21"/>
                    </w:rPr>
                  </w:pPr>
                  <w:r>
                    <w:rPr>
                      <w:bCs/>
                      <w:color w:val="auto"/>
                      <w:sz w:val="21"/>
                      <w:szCs w:val="21"/>
                    </w:rPr>
                    <w:t>达标</w:t>
                  </w:r>
                </w:p>
              </w:tc>
            </w:tr>
            <w:tr w14:paraId="399AE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trPr>
              <w:tc>
                <w:tcPr>
                  <w:tcW w:w="849" w:type="dxa"/>
                  <w:vMerge w:val="continue"/>
                  <w:vAlign w:val="center"/>
                </w:tcPr>
                <w:p w14:paraId="6C09921F">
                  <w:pPr>
                    <w:spacing w:line="240" w:lineRule="auto"/>
                    <w:ind w:firstLine="420"/>
                    <w:jc w:val="center"/>
                    <w:rPr>
                      <w:bCs/>
                      <w:color w:val="auto"/>
                      <w:sz w:val="21"/>
                      <w:szCs w:val="21"/>
                    </w:rPr>
                  </w:pPr>
                </w:p>
              </w:tc>
              <w:tc>
                <w:tcPr>
                  <w:tcW w:w="1275" w:type="dxa"/>
                  <w:vMerge w:val="continue"/>
                  <w:vAlign w:val="center"/>
                </w:tcPr>
                <w:p w14:paraId="426449C8">
                  <w:pPr>
                    <w:spacing w:line="240" w:lineRule="auto"/>
                    <w:ind w:firstLine="0" w:firstLineChars="0"/>
                    <w:jc w:val="center"/>
                    <w:rPr>
                      <w:bCs/>
                      <w:color w:val="auto"/>
                      <w:sz w:val="21"/>
                      <w:szCs w:val="21"/>
                    </w:rPr>
                  </w:pPr>
                </w:p>
              </w:tc>
              <w:tc>
                <w:tcPr>
                  <w:tcW w:w="2127" w:type="dxa"/>
                  <w:gridSpan w:val="2"/>
                  <w:vAlign w:val="top"/>
                </w:tcPr>
                <w:p w14:paraId="4635E750">
                  <w:pPr>
                    <w:spacing w:line="240" w:lineRule="auto"/>
                    <w:ind w:firstLine="0" w:firstLineChars="0"/>
                    <w:rPr>
                      <w:bCs/>
                      <w:color w:val="auto"/>
                      <w:sz w:val="21"/>
                      <w:szCs w:val="21"/>
                    </w:rPr>
                  </w:pPr>
                  <w:r>
                    <w:rPr>
                      <w:bCs/>
                      <w:color w:val="auto"/>
                      <w:sz w:val="21"/>
                      <w:szCs w:val="21"/>
                    </w:rPr>
                    <w:t>夜间(23:46～23:56)</w:t>
                  </w:r>
                </w:p>
              </w:tc>
              <w:tc>
                <w:tcPr>
                  <w:tcW w:w="992" w:type="dxa"/>
                  <w:vAlign w:val="top"/>
                </w:tcPr>
                <w:p w14:paraId="33EB8403">
                  <w:pPr>
                    <w:spacing w:line="240" w:lineRule="auto"/>
                    <w:ind w:firstLine="0" w:firstLineChars="0"/>
                    <w:jc w:val="center"/>
                    <w:rPr>
                      <w:bCs/>
                      <w:color w:val="auto"/>
                      <w:sz w:val="21"/>
                      <w:szCs w:val="21"/>
                    </w:rPr>
                  </w:pPr>
                  <w:r>
                    <w:rPr>
                      <w:bCs/>
                      <w:color w:val="auto"/>
                      <w:sz w:val="21"/>
                      <w:szCs w:val="21"/>
                    </w:rPr>
                    <w:t>41.1</w:t>
                  </w:r>
                </w:p>
              </w:tc>
              <w:tc>
                <w:tcPr>
                  <w:tcW w:w="1134" w:type="dxa"/>
                  <w:vAlign w:val="center"/>
                </w:tcPr>
                <w:p w14:paraId="53E9C21E">
                  <w:pPr>
                    <w:spacing w:line="240" w:lineRule="auto"/>
                    <w:ind w:firstLine="0" w:firstLineChars="0"/>
                    <w:jc w:val="center"/>
                    <w:rPr>
                      <w:bCs/>
                      <w:color w:val="auto"/>
                      <w:sz w:val="21"/>
                      <w:szCs w:val="21"/>
                    </w:rPr>
                  </w:pPr>
                  <w:r>
                    <w:rPr>
                      <w:bCs/>
                      <w:color w:val="auto"/>
                      <w:sz w:val="21"/>
                      <w:szCs w:val="21"/>
                    </w:rPr>
                    <w:t>交通噪声</w:t>
                  </w:r>
                </w:p>
              </w:tc>
              <w:tc>
                <w:tcPr>
                  <w:tcW w:w="567" w:type="dxa"/>
                  <w:vAlign w:val="center"/>
                </w:tcPr>
                <w:p w14:paraId="41799F6C">
                  <w:pPr>
                    <w:spacing w:line="240" w:lineRule="auto"/>
                    <w:ind w:firstLine="0" w:firstLineChars="0"/>
                    <w:jc w:val="center"/>
                    <w:rPr>
                      <w:bCs/>
                      <w:color w:val="auto"/>
                      <w:sz w:val="21"/>
                      <w:szCs w:val="21"/>
                    </w:rPr>
                  </w:pPr>
                  <w:r>
                    <w:rPr>
                      <w:bCs/>
                      <w:color w:val="auto"/>
                      <w:sz w:val="21"/>
                      <w:szCs w:val="21"/>
                    </w:rPr>
                    <w:t>55</w:t>
                  </w:r>
                </w:p>
              </w:tc>
              <w:tc>
                <w:tcPr>
                  <w:tcW w:w="630" w:type="dxa"/>
                  <w:vAlign w:val="center"/>
                </w:tcPr>
                <w:p w14:paraId="76F93A54">
                  <w:pPr>
                    <w:spacing w:line="240" w:lineRule="auto"/>
                    <w:ind w:firstLine="0" w:firstLineChars="0"/>
                    <w:jc w:val="center"/>
                    <w:rPr>
                      <w:bCs/>
                      <w:color w:val="auto"/>
                      <w:sz w:val="21"/>
                      <w:szCs w:val="21"/>
                    </w:rPr>
                  </w:pPr>
                  <w:r>
                    <w:rPr>
                      <w:bCs/>
                      <w:color w:val="auto"/>
                      <w:sz w:val="21"/>
                      <w:szCs w:val="21"/>
                    </w:rPr>
                    <w:t>达标</w:t>
                  </w:r>
                </w:p>
              </w:tc>
            </w:tr>
            <w:tr w14:paraId="11263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849" w:type="dxa"/>
                  <w:vMerge w:val="continue"/>
                  <w:vAlign w:val="center"/>
                </w:tcPr>
                <w:p w14:paraId="520A2FCC">
                  <w:pPr>
                    <w:spacing w:line="240" w:lineRule="auto"/>
                    <w:ind w:firstLine="420"/>
                    <w:jc w:val="center"/>
                    <w:rPr>
                      <w:bCs/>
                      <w:color w:val="auto"/>
                      <w:sz w:val="21"/>
                      <w:szCs w:val="21"/>
                    </w:rPr>
                  </w:pPr>
                </w:p>
              </w:tc>
              <w:tc>
                <w:tcPr>
                  <w:tcW w:w="1275" w:type="dxa"/>
                  <w:vMerge w:val="restart"/>
                  <w:vAlign w:val="center"/>
                </w:tcPr>
                <w:p w14:paraId="267285F8">
                  <w:pPr>
                    <w:spacing w:line="240" w:lineRule="auto"/>
                    <w:ind w:firstLine="0" w:firstLineChars="0"/>
                    <w:jc w:val="center"/>
                    <w:rPr>
                      <w:bCs/>
                      <w:color w:val="auto"/>
                      <w:sz w:val="21"/>
                      <w:szCs w:val="21"/>
                    </w:rPr>
                  </w:pPr>
                  <w:r>
                    <w:rPr>
                      <w:bCs/>
                      <w:color w:val="auto"/>
                      <w:sz w:val="21"/>
                      <w:szCs w:val="21"/>
                    </w:rPr>
                    <w:t>项目厂界南侧外lm处</w:t>
                  </w:r>
                </w:p>
              </w:tc>
              <w:tc>
                <w:tcPr>
                  <w:tcW w:w="2127" w:type="dxa"/>
                  <w:gridSpan w:val="2"/>
                  <w:vAlign w:val="top"/>
                </w:tcPr>
                <w:p w14:paraId="663C8B05">
                  <w:pPr>
                    <w:spacing w:line="240" w:lineRule="auto"/>
                    <w:ind w:firstLine="0" w:firstLineChars="0"/>
                    <w:rPr>
                      <w:bCs/>
                      <w:color w:val="auto"/>
                      <w:sz w:val="21"/>
                      <w:szCs w:val="21"/>
                    </w:rPr>
                  </w:pPr>
                  <w:r>
                    <w:rPr>
                      <w:bCs/>
                      <w:color w:val="auto"/>
                      <w:sz w:val="21"/>
                      <w:szCs w:val="21"/>
                    </w:rPr>
                    <w:t>昼间(15:01～15:11)</w:t>
                  </w:r>
                </w:p>
              </w:tc>
              <w:tc>
                <w:tcPr>
                  <w:tcW w:w="992" w:type="dxa"/>
                  <w:vAlign w:val="top"/>
                </w:tcPr>
                <w:p w14:paraId="416C7B84">
                  <w:pPr>
                    <w:spacing w:line="240" w:lineRule="auto"/>
                    <w:ind w:firstLine="0" w:firstLineChars="0"/>
                    <w:jc w:val="center"/>
                    <w:rPr>
                      <w:bCs/>
                      <w:color w:val="auto"/>
                      <w:sz w:val="21"/>
                      <w:szCs w:val="21"/>
                    </w:rPr>
                  </w:pPr>
                  <w:r>
                    <w:rPr>
                      <w:bCs/>
                      <w:color w:val="auto"/>
                      <w:sz w:val="21"/>
                      <w:szCs w:val="21"/>
                    </w:rPr>
                    <w:t>53.6</w:t>
                  </w:r>
                </w:p>
              </w:tc>
              <w:tc>
                <w:tcPr>
                  <w:tcW w:w="1134" w:type="dxa"/>
                  <w:vAlign w:val="center"/>
                </w:tcPr>
                <w:p w14:paraId="018988AB">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60AF33C0">
                  <w:pPr>
                    <w:spacing w:line="240" w:lineRule="auto"/>
                    <w:ind w:firstLine="0" w:firstLineChars="0"/>
                    <w:jc w:val="center"/>
                    <w:rPr>
                      <w:bCs/>
                      <w:color w:val="auto"/>
                      <w:sz w:val="21"/>
                      <w:szCs w:val="21"/>
                    </w:rPr>
                  </w:pPr>
                  <w:r>
                    <w:rPr>
                      <w:bCs/>
                      <w:color w:val="auto"/>
                      <w:sz w:val="21"/>
                      <w:szCs w:val="21"/>
                    </w:rPr>
                    <w:t>60</w:t>
                  </w:r>
                </w:p>
              </w:tc>
              <w:tc>
                <w:tcPr>
                  <w:tcW w:w="630" w:type="dxa"/>
                  <w:vAlign w:val="center"/>
                </w:tcPr>
                <w:p w14:paraId="6F3D44DD">
                  <w:pPr>
                    <w:spacing w:line="240" w:lineRule="auto"/>
                    <w:ind w:firstLine="0" w:firstLineChars="0"/>
                    <w:jc w:val="center"/>
                    <w:rPr>
                      <w:bCs/>
                      <w:color w:val="auto"/>
                      <w:sz w:val="21"/>
                      <w:szCs w:val="21"/>
                    </w:rPr>
                  </w:pPr>
                  <w:r>
                    <w:rPr>
                      <w:bCs/>
                      <w:color w:val="auto"/>
                      <w:sz w:val="21"/>
                      <w:szCs w:val="21"/>
                    </w:rPr>
                    <w:t>达标</w:t>
                  </w:r>
                </w:p>
              </w:tc>
            </w:tr>
            <w:tr w14:paraId="798A6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49" w:type="dxa"/>
                  <w:vMerge w:val="continue"/>
                  <w:vAlign w:val="center"/>
                </w:tcPr>
                <w:p w14:paraId="56EA98FE">
                  <w:pPr>
                    <w:spacing w:line="240" w:lineRule="auto"/>
                    <w:ind w:firstLine="420"/>
                    <w:jc w:val="center"/>
                    <w:rPr>
                      <w:bCs/>
                      <w:color w:val="auto"/>
                      <w:sz w:val="21"/>
                      <w:szCs w:val="21"/>
                    </w:rPr>
                  </w:pPr>
                </w:p>
              </w:tc>
              <w:tc>
                <w:tcPr>
                  <w:tcW w:w="1275" w:type="dxa"/>
                  <w:vMerge w:val="continue"/>
                  <w:vAlign w:val="center"/>
                </w:tcPr>
                <w:p w14:paraId="533A44CD">
                  <w:pPr>
                    <w:spacing w:line="240" w:lineRule="auto"/>
                    <w:ind w:firstLine="0" w:firstLineChars="0"/>
                    <w:jc w:val="center"/>
                    <w:rPr>
                      <w:bCs/>
                      <w:color w:val="auto"/>
                      <w:sz w:val="21"/>
                      <w:szCs w:val="21"/>
                    </w:rPr>
                  </w:pPr>
                </w:p>
              </w:tc>
              <w:tc>
                <w:tcPr>
                  <w:tcW w:w="2127" w:type="dxa"/>
                  <w:gridSpan w:val="2"/>
                  <w:vAlign w:val="top"/>
                </w:tcPr>
                <w:p w14:paraId="697EE6BF">
                  <w:pPr>
                    <w:spacing w:line="240" w:lineRule="auto"/>
                    <w:ind w:firstLine="0" w:firstLineChars="0"/>
                    <w:rPr>
                      <w:bCs/>
                      <w:color w:val="auto"/>
                      <w:sz w:val="21"/>
                      <w:szCs w:val="21"/>
                    </w:rPr>
                  </w:pPr>
                  <w:r>
                    <w:rPr>
                      <w:bCs/>
                      <w:color w:val="auto"/>
                      <w:sz w:val="21"/>
                      <w:szCs w:val="21"/>
                    </w:rPr>
                    <w:t>夜间(23:31～23:41)</w:t>
                  </w:r>
                </w:p>
              </w:tc>
              <w:tc>
                <w:tcPr>
                  <w:tcW w:w="992" w:type="dxa"/>
                  <w:vAlign w:val="top"/>
                </w:tcPr>
                <w:p w14:paraId="51D797AF">
                  <w:pPr>
                    <w:spacing w:line="240" w:lineRule="auto"/>
                    <w:ind w:firstLine="0" w:firstLineChars="0"/>
                    <w:jc w:val="center"/>
                    <w:rPr>
                      <w:bCs/>
                      <w:color w:val="auto"/>
                      <w:sz w:val="21"/>
                      <w:szCs w:val="21"/>
                    </w:rPr>
                  </w:pPr>
                  <w:r>
                    <w:rPr>
                      <w:bCs/>
                      <w:color w:val="auto"/>
                      <w:sz w:val="21"/>
                      <w:szCs w:val="21"/>
                    </w:rPr>
                    <w:t>43.4</w:t>
                  </w:r>
                </w:p>
              </w:tc>
              <w:tc>
                <w:tcPr>
                  <w:tcW w:w="1134" w:type="dxa"/>
                  <w:vAlign w:val="center"/>
                </w:tcPr>
                <w:p w14:paraId="7CD73538">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5A2ABC48">
                  <w:pPr>
                    <w:spacing w:line="240" w:lineRule="auto"/>
                    <w:ind w:firstLine="0" w:firstLineChars="0"/>
                    <w:jc w:val="center"/>
                    <w:rPr>
                      <w:bCs/>
                      <w:color w:val="auto"/>
                      <w:sz w:val="21"/>
                      <w:szCs w:val="21"/>
                    </w:rPr>
                  </w:pPr>
                  <w:r>
                    <w:rPr>
                      <w:bCs/>
                      <w:color w:val="auto"/>
                      <w:sz w:val="21"/>
                      <w:szCs w:val="21"/>
                    </w:rPr>
                    <w:t>50</w:t>
                  </w:r>
                </w:p>
              </w:tc>
              <w:tc>
                <w:tcPr>
                  <w:tcW w:w="630" w:type="dxa"/>
                  <w:vAlign w:val="center"/>
                </w:tcPr>
                <w:p w14:paraId="0AA510B3">
                  <w:pPr>
                    <w:spacing w:line="240" w:lineRule="auto"/>
                    <w:ind w:firstLine="0" w:firstLineChars="0"/>
                    <w:jc w:val="center"/>
                    <w:rPr>
                      <w:bCs/>
                      <w:color w:val="auto"/>
                      <w:sz w:val="21"/>
                      <w:szCs w:val="21"/>
                    </w:rPr>
                  </w:pPr>
                  <w:r>
                    <w:rPr>
                      <w:bCs/>
                      <w:color w:val="auto"/>
                      <w:sz w:val="21"/>
                      <w:szCs w:val="21"/>
                    </w:rPr>
                    <w:t>达标</w:t>
                  </w:r>
                </w:p>
              </w:tc>
            </w:tr>
            <w:tr w14:paraId="3B61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849" w:type="dxa"/>
                  <w:vMerge w:val="continue"/>
                  <w:vAlign w:val="center"/>
                </w:tcPr>
                <w:p w14:paraId="4D9E82F4">
                  <w:pPr>
                    <w:spacing w:line="240" w:lineRule="auto"/>
                    <w:ind w:firstLine="0" w:firstLineChars="0"/>
                    <w:jc w:val="center"/>
                    <w:rPr>
                      <w:bCs/>
                      <w:color w:val="auto"/>
                      <w:sz w:val="21"/>
                      <w:szCs w:val="21"/>
                    </w:rPr>
                  </w:pPr>
                </w:p>
              </w:tc>
              <w:tc>
                <w:tcPr>
                  <w:tcW w:w="1275" w:type="dxa"/>
                  <w:vMerge w:val="restart"/>
                  <w:vAlign w:val="center"/>
                </w:tcPr>
                <w:p w14:paraId="28582F4F">
                  <w:pPr>
                    <w:spacing w:line="240" w:lineRule="auto"/>
                    <w:ind w:firstLine="0" w:firstLineChars="0"/>
                    <w:jc w:val="center"/>
                    <w:rPr>
                      <w:bCs/>
                      <w:color w:val="auto"/>
                      <w:sz w:val="21"/>
                      <w:szCs w:val="21"/>
                    </w:rPr>
                  </w:pPr>
                  <w:r>
                    <w:rPr>
                      <w:bCs/>
                      <w:color w:val="auto"/>
                      <w:sz w:val="21"/>
                      <w:szCs w:val="21"/>
                    </w:rPr>
                    <w:t>项目厂界西侧外1m处</w:t>
                  </w:r>
                </w:p>
              </w:tc>
              <w:tc>
                <w:tcPr>
                  <w:tcW w:w="2127" w:type="dxa"/>
                  <w:gridSpan w:val="2"/>
                  <w:vAlign w:val="top"/>
                </w:tcPr>
                <w:p w14:paraId="45FC0C5E">
                  <w:pPr>
                    <w:spacing w:line="240" w:lineRule="auto"/>
                    <w:ind w:firstLine="0" w:firstLineChars="0"/>
                    <w:rPr>
                      <w:bCs/>
                      <w:color w:val="auto"/>
                      <w:sz w:val="21"/>
                      <w:szCs w:val="21"/>
                    </w:rPr>
                  </w:pPr>
                  <w:r>
                    <w:rPr>
                      <w:bCs/>
                      <w:color w:val="auto"/>
                      <w:sz w:val="21"/>
                      <w:szCs w:val="21"/>
                    </w:rPr>
                    <w:t>昼间(14:45～14:55)</w:t>
                  </w:r>
                </w:p>
              </w:tc>
              <w:tc>
                <w:tcPr>
                  <w:tcW w:w="992" w:type="dxa"/>
                  <w:vAlign w:val="top"/>
                </w:tcPr>
                <w:p w14:paraId="4E23A8F3">
                  <w:pPr>
                    <w:spacing w:line="240" w:lineRule="auto"/>
                    <w:ind w:firstLine="0" w:firstLineChars="0"/>
                    <w:jc w:val="center"/>
                    <w:rPr>
                      <w:bCs/>
                      <w:color w:val="auto"/>
                      <w:sz w:val="21"/>
                      <w:szCs w:val="21"/>
                    </w:rPr>
                  </w:pPr>
                  <w:r>
                    <w:rPr>
                      <w:bCs/>
                      <w:color w:val="auto"/>
                      <w:sz w:val="21"/>
                      <w:szCs w:val="21"/>
                    </w:rPr>
                    <w:t>52.3</w:t>
                  </w:r>
                </w:p>
              </w:tc>
              <w:tc>
                <w:tcPr>
                  <w:tcW w:w="1134" w:type="dxa"/>
                  <w:vAlign w:val="center"/>
                </w:tcPr>
                <w:p w14:paraId="6E3B43D2">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0EF5D964">
                  <w:pPr>
                    <w:spacing w:line="240" w:lineRule="auto"/>
                    <w:ind w:firstLine="0" w:firstLineChars="0"/>
                    <w:jc w:val="center"/>
                    <w:rPr>
                      <w:bCs/>
                      <w:color w:val="auto"/>
                      <w:sz w:val="21"/>
                      <w:szCs w:val="21"/>
                    </w:rPr>
                  </w:pPr>
                  <w:r>
                    <w:rPr>
                      <w:bCs/>
                      <w:color w:val="auto"/>
                      <w:sz w:val="21"/>
                      <w:szCs w:val="21"/>
                    </w:rPr>
                    <w:t>60</w:t>
                  </w:r>
                </w:p>
              </w:tc>
              <w:tc>
                <w:tcPr>
                  <w:tcW w:w="630" w:type="dxa"/>
                  <w:vAlign w:val="center"/>
                </w:tcPr>
                <w:p w14:paraId="510E1B43">
                  <w:pPr>
                    <w:spacing w:line="240" w:lineRule="auto"/>
                    <w:ind w:firstLine="0" w:firstLineChars="0"/>
                    <w:jc w:val="center"/>
                    <w:rPr>
                      <w:bCs/>
                      <w:color w:val="auto"/>
                      <w:sz w:val="21"/>
                      <w:szCs w:val="21"/>
                    </w:rPr>
                  </w:pPr>
                  <w:r>
                    <w:rPr>
                      <w:bCs/>
                      <w:color w:val="auto"/>
                      <w:sz w:val="21"/>
                      <w:szCs w:val="21"/>
                    </w:rPr>
                    <w:t>达标</w:t>
                  </w:r>
                </w:p>
              </w:tc>
            </w:tr>
            <w:tr w14:paraId="01ADF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849" w:type="dxa"/>
                  <w:vMerge w:val="continue"/>
                  <w:vAlign w:val="center"/>
                </w:tcPr>
                <w:p w14:paraId="4892D8F4">
                  <w:pPr>
                    <w:spacing w:line="240" w:lineRule="auto"/>
                    <w:ind w:firstLine="0" w:firstLineChars="0"/>
                    <w:jc w:val="center"/>
                    <w:rPr>
                      <w:bCs/>
                      <w:color w:val="auto"/>
                      <w:sz w:val="21"/>
                      <w:szCs w:val="21"/>
                    </w:rPr>
                  </w:pPr>
                </w:p>
              </w:tc>
              <w:tc>
                <w:tcPr>
                  <w:tcW w:w="1275" w:type="dxa"/>
                  <w:vMerge w:val="continue"/>
                  <w:vAlign w:val="center"/>
                </w:tcPr>
                <w:p w14:paraId="2AFB2194">
                  <w:pPr>
                    <w:spacing w:line="240" w:lineRule="auto"/>
                    <w:ind w:firstLine="0" w:firstLineChars="0"/>
                    <w:jc w:val="center"/>
                    <w:rPr>
                      <w:bCs/>
                      <w:color w:val="auto"/>
                      <w:sz w:val="21"/>
                      <w:szCs w:val="21"/>
                    </w:rPr>
                  </w:pPr>
                </w:p>
              </w:tc>
              <w:tc>
                <w:tcPr>
                  <w:tcW w:w="2127" w:type="dxa"/>
                  <w:gridSpan w:val="2"/>
                  <w:vAlign w:val="top"/>
                </w:tcPr>
                <w:p w14:paraId="695AC63A">
                  <w:pPr>
                    <w:spacing w:line="240" w:lineRule="auto"/>
                    <w:ind w:firstLine="0" w:firstLineChars="0"/>
                    <w:rPr>
                      <w:bCs/>
                      <w:color w:val="auto"/>
                      <w:sz w:val="21"/>
                      <w:szCs w:val="21"/>
                    </w:rPr>
                  </w:pPr>
                  <w:r>
                    <w:rPr>
                      <w:bCs/>
                      <w:color w:val="auto"/>
                      <w:sz w:val="21"/>
                      <w:szCs w:val="21"/>
                    </w:rPr>
                    <w:t>夜间(23:15～23:25)</w:t>
                  </w:r>
                </w:p>
              </w:tc>
              <w:tc>
                <w:tcPr>
                  <w:tcW w:w="992" w:type="dxa"/>
                  <w:vAlign w:val="top"/>
                </w:tcPr>
                <w:p w14:paraId="3A805AF8">
                  <w:pPr>
                    <w:spacing w:line="240" w:lineRule="auto"/>
                    <w:ind w:firstLine="0" w:firstLineChars="0"/>
                    <w:jc w:val="center"/>
                    <w:rPr>
                      <w:bCs/>
                      <w:color w:val="auto"/>
                      <w:sz w:val="21"/>
                      <w:szCs w:val="21"/>
                    </w:rPr>
                  </w:pPr>
                  <w:r>
                    <w:rPr>
                      <w:bCs/>
                      <w:color w:val="auto"/>
                      <w:sz w:val="21"/>
                      <w:szCs w:val="21"/>
                    </w:rPr>
                    <w:t>42.2</w:t>
                  </w:r>
                </w:p>
              </w:tc>
              <w:tc>
                <w:tcPr>
                  <w:tcW w:w="1134" w:type="dxa"/>
                  <w:vAlign w:val="center"/>
                </w:tcPr>
                <w:p w14:paraId="667EEC58">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0E86E6F4">
                  <w:pPr>
                    <w:spacing w:line="240" w:lineRule="auto"/>
                    <w:ind w:firstLine="0" w:firstLineChars="0"/>
                    <w:jc w:val="center"/>
                    <w:rPr>
                      <w:bCs/>
                      <w:color w:val="auto"/>
                      <w:sz w:val="21"/>
                      <w:szCs w:val="21"/>
                    </w:rPr>
                  </w:pPr>
                  <w:r>
                    <w:rPr>
                      <w:bCs/>
                      <w:color w:val="auto"/>
                      <w:sz w:val="21"/>
                      <w:szCs w:val="21"/>
                    </w:rPr>
                    <w:t>50</w:t>
                  </w:r>
                </w:p>
              </w:tc>
              <w:tc>
                <w:tcPr>
                  <w:tcW w:w="630" w:type="dxa"/>
                  <w:vAlign w:val="center"/>
                </w:tcPr>
                <w:p w14:paraId="60FCF76A">
                  <w:pPr>
                    <w:spacing w:line="240" w:lineRule="auto"/>
                    <w:ind w:firstLine="0" w:firstLineChars="0"/>
                    <w:jc w:val="center"/>
                    <w:rPr>
                      <w:bCs/>
                      <w:color w:val="auto"/>
                      <w:sz w:val="21"/>
                      <w:szCs w:val="21"/>
                    </w:rPr>
                  </w:pPr>
                  <w:r>
                    <w:rPr>
                      <w:bCs/>
                      <w:color w:val="auto"/>
                      <w:sz w:val="21"/>
                      <w:szCs w:val="21"/>
                    </w:rPr>
                    <w:t>达标</w:t>
                  </w:r>
                </w:p>
              </w:tc>
            </w:tr>
            <w:tr w14:paraId="1F455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849" w:type="dxa"/>
                  <w:vMerge w:val="continue"/>
                  <w:vAlign w:val="center"/>
                </w:tcPr>
                <w:p w14:paraId="3A1A2724">
                  <w:pPr>
                    <w:spacing w:line="240" w:lineRule="auto"/>
                    <w:ind w:firstLine="0" w:firstLineChars="0"/>
                    <w:jc w:val="center"/>
                    <w:rPr>
                      <w:bCs/>
                      <w:color w:val="auto"/>
                      <w:sz w:val="21"/>
                      <w:szCs w:val="21"/>
                    </w:rPr>
                  </w:pPr>
                </w:p>
              </w:tc>
              <w:tc>
                <w:tcPr>
                  <w:tcW w:w="1275" w:type="dxa"/>
                  <w:vMerge w:val="restart"/>
                  <w:vAlign w:val="center"/>
                </w:tcPr>
                <w:p w14:paraId="2FCD6526">
                  <w:pPr>
                    <w:spacing w:line="240" w:lineRule="auto"/>
                    <w:ind w:firstLine="0" w:firstLineChars="0"/>
                    <w:jc w:val="center"/>
                    <w:rPr>
                      <w:bCs/>
                      <w:color w:val="auto"/>
                      <w:sz w:val="21"/>
                      <w:szCs w:val="21"/>
                    </w:rPr>
                  </w:pPr>
                  <w:r>
                    <w:rPr>
                      <w:bCs/>
                      <w:color w:val="auto"/>
                      <w:sz w:val="21"/>
                      <w:szCs w:val="21"/>
                    </w:rPr>
                    <w:t>项目厂界北侧外lm处</w:t>
                  </w:r>
                </w:p>
              </w:tc>
              <w:tc>
                <w:tcPr>
                  <w:tcW w:w="2127" w:type="dxa"/>
                  <w:gridSpan w:val="2"/>
                  <w:vAlign w:val="top"/>
                </w:tcPr>
                <w:p w14:paraId="5E882732">
                  <w:pPr>
                    <w:spacing w:line="240" w:lineRule="auto"/>
                    <w:ind w:firstLine="0" w:firstLineChars="0"/>
                    <w:rPr>
                      <w:bCs/>
                      <w:color w:val="auto"/>
                      <w:sz w:val="21"/>
                      <w:szCs w:val="21"/>
                    </w:rPr>
                  </w:pPr>
                  <w:r>
                    <w:rPr>
                      <w:bCs/>
                      <w:color w:val="auto"/>
                      <w:sz w:val="21"/>
                      <w:szCs w:val="21"/>
                    </w:rPr>
                    <w:t>昼间(15:31～15:41)</w:t>
                  </w:r>
                </w:p>
              </w:tc>
              <w:tc>
                <w:tcPr>
                  <w:tcW w:w="992" w:type="dxa"/>
                  <w:vAlign w:val="top"/>
                </w:tcPr>
                <w:p w14:paraId="3FDF8E09">
                  <w:pPr>
                    <w:spacing w:line="240" w:lineRule="auto"/>
                    <w:ind w:firstLine="0" w:firstLineChars="0"/>
                    <w:jc w:val="center"/>
                    <w:rPr>
                      <w:bCs/>
                      <w:color w:val="auto"/>
                      <w:sz w:val="21"/>
                      <w:szCs w:val="21"/>
                    </w:rPr>
                  </w:pPr>
                  <w:r>
                    <w:rPr>
                      <w:bCs/>
                      <w:color w:val="auto"/>
                      <w:sz w:val="21"/>
                      <w:szCs w:val="21"/>
                    </w:rPr>
                    <w:t>52.4</w:t>
                  </w:r>
                </w:p>
              </w:tc>
              <w:tc>
                <w:tcPr>
                  <w:tcW w:w="1134" w:type="dxa"/>
                  <w:vAlign w:val="center"/>
                </w:tcPr>
                <w:p w14:paraId="53A2458C">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6D9349B9">
                  <w:pPr>
                    <w:spacing w:line="240" w:lineRule="auto"/>
                    <w:ind w:firstLine="0" w:firstLineChars="0"/>
                    <w:jc w:val="center"/>
                    <w:rPr>
                      <w:bCs/>
                      <w:color w:val="auto"/>
                      <w:sz w:val="21"/>
                      <w:szCs w:val="21"/>
                    </w:rPr>
                  </w:pPr>
                  <w:r>
                    <w:rPr>
                      <w:bCs/>
                      <w:color w:val="auto"/>
                      <w:sz w:val="21"/>
                      <w:szCs w:val="21"/>
                    </w:rPr>
                    <w:t>60</w:t>
                  </w:r>
                </w:p>
              </w:tc>
              <w:tc>
                <w:tcPr>
                  <w:tcW w:w="630" w:type="dxa"/>
                  <w:vAlign w:val="center"/>
                </w:tcPr>
                <w:p w14:paraId="2AE0E656">
                  <w:pPr>
                    <w:spacing w:line="240" w:lineRule="auto"/>
                    <w:ind w:firstLine="0" w:firstLineChars="0"/>
                    <w:jc w:val="center"/>
                    <w:rPr>
                      <w:bCs/>
                      <w:color w:val="auto"/>
                      <w:sz w:val="21"/>
                      <w:szCs w:val="21"/>
                    </w:rPr>
                  </w:pPr>
                  <w:r>
                    <w:rPr>
                      <w:bCs/>
                      <w:color w:val="auto"/>
                      <w:sz w:val="21"/>
                      <w:szCs w:val="21"/>
                    </w:rPr>
                    <w:t>达标</w:t>
                  </w:r>
                </w:p>
              </w:tc>
            </w:tr>
            <w:tr w14:paraId="23C9C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49" w:type="dxa"/>
                  <w:vMerge w:val="continue"/>
                  <w:vAlign w:val="center"/>
                </w:tcPr>
                <w:p w14:paraId="0EE396EC">
                  <w:pPr>
                    <w:spacing w:line="240" w:lineRule="auto"/>
                    <w:ind w:firstLine="0" w:firstLineChars="0"/>
                    <w:jc w:val="center"/>
                    <w:rPr>
                      <w:bCs/>
                      <w:color w:val="auto"/>
                      <w:sz w:val="21"/>
                      <w:szCs w:val="21"/>
                    </w:rPr>
                  </w:pPr>
                </w:p>
              </w:tc>
              <w:tc>
                <w:tcPr>
                  <w:tcW w:w="1275" w:type="dxa"/>
                  <w:vMerge w:val="continue"/>
                  <w:vAlign w:val="center"/>
                </w:tcPr>
                <w:p w14:paraId="181B8DF0">
                  <w:pPr>
                    <w:spacing w:line="240" w:lineRule="auto"/>
                    <w:ind w:firstLine="0" w:firstLineChars="0"/>
                    <w:jc w:val="center"/>
                    <w:rPr>
                      <w:bCs/>
                      <w:color w:val="auto"/>
                      <w:sz w:val="21"/>
                      <w:szCs w:val="21"/>
                    </w:rPr>
                  </w:pPr>
                </w:p>
              </w:tc>
              <w:tc>
                <w:tcPr>
                  <w:tcW w:w="2127" w:type="dxa"/>
                  <w:gridSpan w:val="2"/>
                  <w:vAlign w:val="top"/>
                </w:tcPr>
                <w:p w14:paraId="0C3BBCAE">
                  <w:pPr>
                    <w:spacing w:line="240" w:lineRule="auto"/>
                    <w:ind w:firstLine="0" w:firstLineChars="0"/>
                    <w:rPr>
                      <w:bCs/>
                      <w:color w:val="auto"/>
                      <w:sz w:val="21"/>
                      <w:szCs w:val="21"/>
                    </w:rPr>
                  </w:pPr>
                  <w:r>
                    <w:rPr>
                      <w:bCs/>
                      <w:color w:val="auto"/>
                      <w:sz w:val="21"/>
                      <w:szCs w:val="21"/>
                    </w:rPr>
                    <w:t>夜间(次日00:01～00:11)</w:t>
                  </w:r>
                </w:p>
              </w:tc>
              <w:tc>
                <w:tcPr>
                  <w:tcW w:w="992" w:type="dxa"/>
                  <w:vAlign w:val="top"/>
                </w:tcPr>
                <w:p w14:paraId="57379272">
                  <w:pPr>
                    <w:spacing w:line="240" w:lineRule="auto"/>
                    <w:ind w:firstLine="0" w:firstLineChars="0"/>
                    <w:jc w:val="center"/>
                    <w:rPr>
                      <w:bCs/>
                      <w:color w:val="auto"/>
                      <w:sz w:val="21"/>
                      <w:szCs w:val="21"/>
                    </w:rPr>
                  </w:pPr>
                  <w:r>
                    <w:rPr>
                      <w:bCs/>
                      <w:color w:val="auto"/>
                      <w:sz w:val="21"/>
                      <w:szCs w:val="21"/>
                    </w:rPr>
                    <w:t>42.3</w:t>
                  </w:r>
                </w:p>
              </w:tc>
              <w:tc>
                <w:tcPr>
                  <w:tcW w:w="1134" w:type="dxa"/>
                  <w:vAlign w:val="center"/>
                </w:tcPr>
                <w:p w14:paraId="1324F5D4">
                  <w:pPr>
                    <w:spacing w:line="240" w:lineRule="auto"/>
                    <w:ind w:firstLine="0" w:firstLineChars="0"/>
                    <w:jc w:val="center"/>
                    <w:rPr>
                      <w:bCs/>
                      <w:color w:val="auto"/>
                      <w:sz w:val="21"/>
                      <w:szCs w:val="21"/>
                    </w:rPr>
                  </w:pPr>
                  <w:r>
                    <w:rPr>
                      <w:bCs/>
                      <w:color w:val="auto"/>
                      <w:sz w:val="21"/>
                      <w:szCs w:val="21"/>
                    </w:rPr>
                    <w:t>生活噪声</w:t>
                  </w:r>
                </w:p>
              </w:tc>
              <w:tc>
                <w:tcPr>
                  <w:tcW w:w="567" w:type="dxa"/>
                  <w:vAlign w:val="center"/>
                </w:tcPr>
                <w:p w14:paraId="32C8F5D9">
                  <w:pPr>
                    <w:spacing w:line="240" w:lineRule="auto"/>
                    <w:ind w:firstLine="0" w:firstLineChars="0"/>
                    <w:jc w:val="center"/>
                    <w:rPr>
                      <w:bCs/>
                      <w:color w:val="auto"/>
                      <w:sz w:val="21"/>
                      <w:szCs w:val="21"/>
                    </w:rPr>
                  </w:pPr>
                  <w:r>
                    <w:rPr>
                      <w:bCs/>
                      <w:color w:val="auto"/>
                      <w:sz w:val="21"/>
                      <w:szCs w:val="21"/>
                    </w:rPr>
                    <w:t>50</w:t>
                  </w:r>
                </w:p>
              </w:tc>
              <w:tc>
                <w:tcPr>
                  <w:tcW w:w="630" w:type="dxa"/>
                  <w:vAlign w:val="center"/>
                </w:tcPr>
                <w:p w14:paraId="1D490BE2">
                  <w:pPr>
                    <w:spacing w:line="240" w:lineRule="auto"/>
                    <w:ind w:firstLine="0" w:firstLineChars="0"/>
                    <w:jc w:val="center"/>
                    <w:rPr>
                      <w:bCs/>
                      <w:color w:val="auto"/>
                      <w:sz w:val="21"/>
                      <w:szCs w:val="21"/>
                    </w:rPr>
                  </w:pPr>
                  <w:r>
                    <w:rPr>
                      <w:bCs/>
                      <w:color w:val="auto"/>
                      <w:sz w:val="21"/>
                      <w:szCs w:val="21"/>
                    </w:rPr>
                    <w:t>达标</w:t>
                  </w:r>
                </w:p>
              </w:tc>
            </w:tr>
          </w:tbl>
          <w:p w14:paraId="08F2E4BC">
            <w:pPr>
              <w:pStyle w:val="34"/>
              <w:ind w:firstLine="480"/>
              <w:rPr>
                <w:color w:val="auto"/>
              </w:rPr>
            </w:pPr>
            <w:r>
              <w:rPr>
                <w:color w:val="auto"/>
              </w:rPr>
              <w:t>根据上表可知项目噪声排放能达到《工业企业厂界环境噪声排放标准》（GB12348-2008）2类和4类的排放标准。</w:t>
            </w:r>
          </w:p>
          <w:p w14:paraId="3314F0BE">
            <w:pPr>
              <w:pStyle w:val="34"/>
              <w:ind w:firstLine="480"/>
              <w:rPr>
                <w:color w:val="auto"/>
              </w:rPr>
            </w:pPr>
            <w:r>
              <w:rPr>
                <w:color w:val="auto"/>
              </w:rPr>
              <w:t>（4）固废</w:t>
            </w:r>
          </w:p>
          <w:p w14:paraId="4499CCB0">
            <w:pPr>
              <w:pStyle w:val="34"/>
              <w:ind w:firstLine="480"/>
              <w:rPr>
                <w:rFonts w:hint="default" w:eastAsia="宋体"/>
                <w:color w:val="auto"/>
                <w:highlight w:val="yellow"/>
                <w:lang w:val="en-US" w:eastAsia="zh-CN"/>
              </w:rPr>
            </w:pPr>
            <w:r>
              <w:rPr>
                <w:color w:val="auto"/>
              </w:rPr>
              <w:t>根据《江川县人民医院门诊、医技楼建设项目环境影响报告书》本项目</w:t>
            </w:r>
            <w:r>
              <w:rPr>
                <w:color w:val="auto"/>
              </w:rPr>
              <w:t>现有工程产生的固废主要为生活垃圾，医疗废物及污水处理站污泥。</w:t>
            </w:r>
            <w:r>
              <w:rPr>
                <w:rFonts w:hint="eastAsia"/>
                <w:color w:val="auto"/>
                <w:lang w:val="en-US" w:eastAsia="zh-CN"/>
              </w:rPr>
              <w:t>根据项目生活垃圾、医疗废物、污泥的转移联单统计，现有工程固废产生情况如下：</w:t>
            </w:r>
          </w:p>
          <w:p w14:paraId="6C0920BA">
            <w:pPr>
              <w:pStyle w:val="2"/>
              <w:jc w:val="center"/>
              <w:rPr>
                <w:b/>
                <w:bCs/>
                <w:color w:val="auto"/>
                <w:highlight w:val="none"/>
              </w:rPr>
            </w:pPr>
            <w:r>
              <w:rPr>
                <w:b/>
                <w:bCs/>
                <w:color w:val="auto"/>
                <w:highlight w:val="none"/>
              </w:rPr>
              <w:t>表2-</w:t>
            </w:r>
            <w:r>
              <w:rPr>
                <w:rFonts w:hint="eastAsia"/>
                <w:b/>
                <w:bCs/>
                <w:color w:val="auto"/>
                <w:highlight w:val="none"/>
                <w:lang w:val="en-US" w:eastAsia="zh-CN"/>
              </w:rPr>
              <w:t>20</w:t>
            </w:r>
            <w:r>
              <w:rPr>
                <w:b/>
                <w:bCs/>
                <w:color w:val="auto"/>
                <w:highlight w:val="none"/>
              </w:rPr>
              <w:t>现有工程固废产生量及处置方式</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417"/>
              <w:gridCol w:w="1701"/>
              <w:gridCol w:w="3195"/>
            </w:tblGrid>
            <w:tr w14:paraId="0AA81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497127F1">
                  <w:pPr>
                    <w:spacing w:line="240" w:lineRule="auto"/>
                    <w:ind w:firstLine="0" w:firstLineChars="0"/>
                    <w:jc w:val="center"/>
                    <w:rPr>
                      <w:bCs/>
                      <w:color w:val="auto"/>
                      <w:sz w:val="21"/>
                      <w:szCs w:val="21"/>
                    </w:rPr>
                  </w:pPr>
                  <w:r>
                    <w:rPr>
                      <w:bCs/>
                      <w:color w:val="auto"/>
                      <w:sz w:val="21"/>
                      <w:szCs w:val="21"/>
                    </w:rPr>
                    <w:t>序号</w:t>
                  </w:r>
                </w:p>
              </w:tc>
              <w:tc>
                <w:tcPr>
                  <w:tcW w:w="1417" w:type="dxa"/>
                  <w:vAlign w:val="center"/>
                </w:tcPr>
                <w:p w14:paraId="157E6808">
                  <w:pPr>
                    <w:spacing w:line="240" w:lineRule="auto"/>
                    <w:ind w:firstLine="0" w:firstLineChars="0"/>
                    <w:jc w:val="center"/>
                    <w:rPr>
                      <w:bCs/>
                      <w:color w:val="auto"/>
                      <w:sz w:val="21"/>
                      <w:szCs w:val="21"/>
                    </w:rPr>
                  </w:pPr>
                  <w:r>
                    <w:rPr>
                      <w:bCs/>
                      <w:color w:val="auto"/>
                      <w:sz w:val="21"/>
                      <w:szCs w:val="21"/>
                    </w:rPr>
                    <w:t>固体废物</w:t>
                  </w:r>
                </w:p>
              </w:tc>
              <w:tc>
                <w:tcPr>
                  <w:tcW w:w="1701" w:type="dxa"/>
                  <w:vAlign w:val="center"/>
                </w:tcPr>
                <w:p w14:paraId="0D0B9B6A">
                  <w:pPr>
                    <w:spacing w:line="240" w:lineRule="auto"/>
                    <w:ind w:firstLine="0" w:firstLineChars="0"/>
                    <w:jc w:val="center"/>
                    <w:rPr>
                      <w:bCs/>
                      <w:color w:val="auto"/>
                      <w:sz w:val="21"/>
                      <w:szCs w:val="21"/>
                    </w:rPr>
                  </w:pPr>
                  <w:r>
                    <w:rPr>
                      <w:bCs/>
                      <w:color w:val="auto"/>
                      <w:sz w:val="21"/>
                      <w:szCs w:val="21"/>
                    </w:rPr>
                    <w:t>产生量</w:t>
                  </w:r>
                </w:p>
              </w:tc>
              <w:tc>
                <w:tcPr>
                  <w:tcW w:w="3195" w:type="dxa"/>
                  <w:vAlign w:val="center"/>
                </w:tcPr>
                <w:p w14:paraId="15A0A6C1">
                  <w:pPr>
                    <w:spacing w:line="240" w:lineRule="auto"/>
                    <w:ind w:firstLine="0" w:firstLineChars="0"/>
                    <w:jc w:val="center"/>
                    <w:rPr>
                      <w:bCs/>
                      <w:color w:val="auto"/>
                      <w:sz w:val="21"/>
                      <w:szCs w:val="21"/>
                    </w:rPr>
                  </w:pPr>
                  <w:r>
                    <w:rPr>
                      <w:bCs/>
                      <w:color w:val="auto"/>
                      <w:sz w:val="21"/>
                      <w:szCs w:val="21"/>
                    </w:rPr>
                    <w:t>去向</w:t>
                  </w:r>
                </w:p>
              </w:tc>
            </w:tr>
            <w:tr w14:paraId="6FA57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090A6999">
                  <w:pPr>
                    <w:spacing w:line="240" w:lineRule="auto"/>
                    <w:ind w:firstLine="0" w:firstLineChars="0"/>
                    <w:jc w:val="center"/>
                    <w:rPr>
                      <w:bCs/>
                      <w:color w:val="auto"/>
                      <w:sz w:val="21"/>
                      <w:szCs w:val="21"/>
                    </w:rPr>
                  </w:pPr>
                  <w:r>
                    <w:rPr>
                      <w:bCs/>
                      <w:color w:val="auto"/>
                      <w:sz w:val="21"/>
                      <w:szCs w:val="21"/>
                    </w:rPr>
                    <w:t>1</w:t>
                  </w:r>
                </w:p>
              </w:tc>
              <w:tc>
                <w:tcPr>
                  <w:tcW w:w="1417" w:type="dxa"/>
                  <w:vAlign w:val="center"/>
                </w:tcPr>
                <w:p w14:paraId="208E359F">
                  <w:pPr>
                    <w:spacing w:line="240" w:lineRule="auto"/>
                    <w:ind w:firstLine="0" w:firstLineChars="0"/>
                    <w:jc w:val="center"/>
                    <w:rPr>
                      <w:bCs/>
                      <w:color w:val="auto"/>
                      <w:sz w:val="21"/>
                      <w:szCs w:val="21"/>
                    </w:rPr>
                  </w:pPr>
                  <w:r>
                    <w:rPr>
                      <w:bCs/>
                      <w:color w:val="auto"/>
                      <w:sz w:val="21"/>
                      <w:szCs w:val="21"/>
                    </w:rPr>
                    <w:t>生活垃圾</w:t>
                  </w:r>
                </w:p>
              </w:tc>
              <w:tc>
                <w:tcPr>
                  <w:tcW w:w="1701" w:type="dxa"/>
                  <w:vAlign w:val="center"/>
                </w:tcPr>
                <w:p w14:paraId="034E5DAC">
                  <w:pPr>
                    <w:spacing w:line="240" w:lineRule="auto"/>
                    <w:ind w:firstLine="0" w:firstLineChars="0"/>
                    <w:jc w:val="center"/>
                    <w:rPr>
                      <w:bCs/>
                      <w:color w:val="auto"/>
                      <w:sz w:val="21"/>
                      <w:szCs w:val="21"/>
                      <w:highlight w:val="none"/>
                    </w:rPr>
                  </w:pPr>
                  <w:r>
                    <w:rPr>
                      <w:bCs/>
                      <w:color w:val="auto"/>
                      <w:sz w:val="21"/>
                      <w:szCs w:val="21"/>
                      <w:highlight w:val="none"/>
                    </w:rPr>
                    <w:t>720kg/d</w:t>
                  </w:r>
                </w:p>
              </w:tc>
              <w:tc>
                <w:tcPr>
                  <w:tcW w:w="3195" w:type="dxa"/>
                  <w:vAlign w:val="center"/>
                </w:tcPr>
                <w:p w14:paraId="2902F8ED">
                  <w:pPr>
                    <w:spacing w:line="240" w:lineRule="auto"/>
                    <w:ind w:firstLine="0" w:firstLineChars="0"/>
                    <w:jc w:val="center"/>
                    <w:rPr>
                      <w:bCs/>
                      <w:color w:val="auto"/>
                      <w:sz w:val="21"/>
                      <w:szCs w:val="21"/>
                    </w:rPr>
                  </w:pPr>
                  <w:r>
                    <w:rPr>
                      <w:bCs/>
                      <w:color w:val="auto"/>
                      <w:sz w:val="21"/>
                      <w:szCs w:val="21"/>
                    </w:rPr>
                    <w:t>由环卫部门清运处置</w:t>
                  </w:r>
                </w:p>
              </w:tc>
            </w:tr>
            <w:tr w14:paraId="05E95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0A13CA7A">
                  <w:pPr>
                    <w:spacing w:line="240" w:lineRule="auto"/>
                    <w:ind w:firstLine="0" w:firstLineChars="0"/>
                    <w:jc w:val="center"/>
                    <w:rPr>
                      <w:bCs/>
                      <w:color w:val="auto"/>
                      <w:sz w:val="21"/>
                      <w:szCs w:val="21"/>
                    </w:rPr>
                  </w:pPr>
                  <w:r>
                    <w:rPr>
                      <w:bCs/>
                      <w:color w:val="auto"/>
                      <w:sz w:val="21"/>
                      <w:szCs w:val="21"/>
                    </w:rPr>
                    <w:t>2</w:t>
                  </w:r>
                </w:p>
              </w:tc>
              <w:tc>
                <w:tcPr>
                  <w:tcW w:w="1417" w:type="dxa"/>
                  <w:vAlign w:val="center"/>
                </w:tcPr>
                <w:p w14:paraId="42AD205D">
                  <w:pPr>
                    <w:spacing w:line="240" w:lineRule="auto"/>
                    <w:ind w:firstLine="0" w:firstLineChars="0"/>
                    <w:jc w:val="center"/>
                    <w:rPr>
                      <w:bCs/>
                      <w:color w:val="auto"/>
                      <w:sz w:val="21"/>
                      <w:szCs w:val="21"/>
                    </w:rPr>
                  </w:pPr>
                  <w:r>
                    <w:rPr>
                      <w:bCs/>
                      <w:color w:val="auto"/>
                      <w:sz w:val="21"/>
                      <w:szCs w:val="21"/>
                    </w:rPr>
                    <w:t>医疗废物</w:t>
                  </w:r>
                </w:p>
              </w:tc>
              <w:tc>
                <w:tcPr>
                  <w:tcW w:w="1701" w:type="dxa"/>
                  <w:vAlign w:val="center"/>
                </w:tcPr>
                <w:p w14:paraId="2C332F9E">
                  <w:pPr>
                    <w:spacing w:line="240" w:lineRule="auto"/>
                    <w:ind w:firstLine="0" w:firstLineChars="0"/>
                    <w:jc w:val="center"/>
                    <w:rPr>
                      <w:bCs/>
                      <w:color w:val="auto"/>
                      <w:sz w:val="21"/>
                      <w:szCs w:val="21"/>
                      <w:highlight w:val="none"/>
                    </w:rPr>
                  </w:pPr>
                  <w:r>
                    <w:rPr>
                      <w:rFonts w:hint="eastAsia"/>
                      <w:bCs/>
                      <w:color w:val="auto"/>
                      <w:sz w:val="21"/>
                      <w:szCs w:val="21"/>
                      <w:highlight w:val="none"/>
                      <w:lang w:val="en-US" w:eastAsia="zh-CN"/>
                    </w:rPr>
                    <w:t>294.021</w:t>
                  </w:r>
                  <w:r>
                    <w:rPr>
                      <w:bCs/>
                      <w:color w:val="auto"/>
                      <w:sz w:val="21"/>
                      <w:szCs w:val="21"/>
                      <w:highlight w:val="none"/>
                    </w:rPr>
                    <w:t>kg/d</w:t>
                  </w:r>
                </w:p>
              </w:tc>
              <w:tc>
                <w:tcPr>
                  <w:tcW w:w="3195" w:type="dxa"/>
                  <w:vAlign w:val="center"/>
                </w:tcPr>
                <w:p w14:paraId="769061A0">
                  <w:pPr>
                    <w:spacing w:line="240" w:lineRule="auto"/>
                    <w:ind w:firstLine="0" w:firstLineChars="0"/>
                    <w:jc w:val="center"/>
                    <w:rPr>
                      <w:bCs/>
                      <w:color w:val="auto"/>
                      <w:sz w:val="21"/>
                      <w:szCs w:val="21"/>
                    </w:rPr>
                  </w:pPr>
                  <w:r>
                    <w:rPr>
                      <w:bCs/>
                      <w:color w:val="auto"/>
                      <w:sz w:val="21"/>
                      <w:szCs w:val="21"/>
                    </w:rPr>
                    <w:t>每隔一天收集一次，委托玉溪</w:t>
                  </w:r>
                  <w:r>
                    <w:rPr>
                      <w:rFonts w:hint="eastAsia"/>
                      <w:bCs/>
                      <w:color w:val="auto"/>
                      <w:sz w:val="21"/>
                      <w:szCs w:val="21"/>
                      <w:lang w:val="en-US" w:eastAsia="zh-CN"/>
                    </w:rPr>
                    <w:t>兴洁垃圾处理</w:t>
                  </w:r>
                  <w:r>
                    <w:rPr>
                      <w:bCs/>
                      <w:color w:val="auto"/>
                      <w:sz w:val="21"/>
                      <w:szCs w:val="21"/>
                    </w:rPr>
                    <w:t>有限公司清运处置</w:t>
                  </w:r>
                </w:p>
              </w:tc>
            </w:tr>
            <w:tr w14:paraId="5CF95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1A48A4A8">
                  <w:pPr>
                    <w:spacing w:line="240" w:lineRule="auto"/>
                    <w:ind w:firstLine="0" w:firstLineChars="0"/>
                    <w:jc w:val="center"/>
                    <w:rPr>
                      <w:bCs/>
                      <w:color w:val="auto"/>
                      <w:sz w:val="21"/>
                      <w:szCs w:val="21"/>
                    </w:rPr>
                  </w:pPr>
                  <w:r>
                    <w:rPr>
                      <w:bCs/>
                      <w:color w:val="auto"/>
                      <w:sz w:val="21"/>
                      <w:szCs w:val="21"/>
                    </w:rPr>
                    <w:t>3</w:t>
                  </w:r>
                </w:p>
              </w:tc>
              <w:tc>
                <w:tcPr>
                  <w:tcW w:w="1417" w:type="dxa"/>
                  <w:vAlign w:val="center"/>
                </w:tcPr>
                <w:p w14:paraId="5A3CCCDA">
                  <w:pPr>
                    <w:spacing w:line="240" w:lineRule="auto"/>
                    <w:ind w:firstLine="0" w:firstLineChars="0"/>
                    <w:jc w:val="center"/>
                    <w:rPr>
                      <w:bCs/>
                      <w:color w:val="auto"/>
                      <w:sz w:val="21"/>
                      <w:szCs w:val="21"/>
                    </w:rPr>
                  </w:pPr>
                  <w:r>
                    <w:rPr>
                      <w:bCs/>
                      <w:color w:val="auto"/>
                      <w:sz w:val="21"/>
                      <w:szCs w:val="21"/>
                    </w:rPr>
                    <w:t>污泥</w:t>
                  </w:r>
                </w:p>
              </w:tc>
              <w:tc>
                <w:tcPr>
                  <w:tcW w:w="1701" w:type="dxa"/>
                  <w:vAlign w:val="center"/>
                </w:tcPr>
                <w:p w14:paraId="32307787">
                  <w:pPr>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11.47</w:t>
                  </w:r>
                  <w:r>
                    <w:rPr>
                      <w:bCs/>
                      <w:color w:val="auto"/>
                      <w:sz w:val="21"/>
                      <w:szCs w:val="21"/>
                      <w:highlight w:val="none"/>
                    </w:rPr>
                    <w:t>kg/d</w:t>
                  </w:r>
                </w:p>
              </w:tc>
              <w:tc>
                <w:tcPr>
                  <w:tcW w:w="3195" w:type="dxa"/>
                  <w:vAlign w:val="center"/>
                </w:tcPr>
                <w:p w14:paraId="531BEA71">
                  <w:pPr>
                    <w:spacing w:line="240" w:lineRule="auto"/>
                    <w:ind w:firstLine="0" w:firstLineChars="0"/>
                    <w:jc w:val="center"/>
                    <w:rPr>
                      <w:bCs/>
                      <w:color w:val="auto"/>
                      <w:sz w:val="21"/>
                      <w:szCs w:val="21"/>
                    </w:rPr>
                  </w:pPr>
                  <w:r>
                    <w:rPr>
                      <w:bCs/>
                      <w:color w:val="auto"/>
                      <w:sz w:val="21"/>
                      <w:szCs w:val="21"/>
                    </w:rPr>
                    <w:t>污水处理站和化粪池污泥每半年清掏一次，委托</w:t>
                  </w:r>
                  <w:r>
                    <w:rPr>
                      <w:rFonts w:hint="eastAsia"/>
                      <w:bCs/>
                      <w:color w:val="auto"/>
                      <w:sz w:val="21"/>
                      <w:szCs w:val="21"/>
                      <w:lang w:val="en-US" w:eastAsia="zh-CN"/>
                    </w:rPr>
                    <w:t>云南大地丰源环保有限公司</w:t>
                  </w:r>
                  <w:r>
                    <w:rPr>
                      <w:bCs/>
                      <w:color w:val="auto"/>
                      <w:sz w:val="21"/>
                      <w:szCs w:val="21"/>
                    </w:rPr>
                    <w:t>清掏处置</w:t>
                  </w:r>
                </w:p>
              </w:tc>
            </w:tr>
          </w:tbl>
          <w:p w14:paraId="00FC0C89">
            <w:pPr>
              <w:pStyle w:val="34"/>
              <w:ind w:firstLine="482"/>
              <w:rPr>
                <w:b/>
                <w:bCs/>
                <w:color w:val="auto"/>
              </w:rPr>
            </w:pPr>
            <w:r>
              <w:rPr>
                <w:rFonts w:hint="eastAsia"/>
                <w:b/>
                <w:bCs/>
                <w:color w:val="auto"/>
              </w:rPr>
              <w:t>3、现有特殊废水的收集及预处理系统、医废暂存间、污水处理设施建设及运行现状</w:t>
            </w:r>
          </w:p>
          <w:p w14:paraId="0E631EF2">
            <w:pPr>
              <w:pStyle w:val="34"/>
              <w:ind w:firstLine="480"/>
              <w:rPr>
                <w:color w:val="auto"/>
              </w:rPr>
            </w:pPr>
            <w:r>
              <w:rPr>
                <w:rFonts w:hint="eastAsia"/>
                <w:color w:val="auto"/>
              </w:rPr>
              <w:t>（1）现有特殊废水收集处置及运行状态</w:t>
            </w:r>
          </w:p>
          <w:p w14:paraId="57CBB1EE">
            <w:pPr>
              <w:pStyle w:val="34"/>
              <w:ind w:firstLine="480"/>
              <w:rPr>
                <w:color w:val="auto"/>
              </w:rPr>
            </w:pPr>
            <w:r>
              <w:rPr>
                <w:rFonts w:hint="eastAsia"/>
                <w:color w:val="auto"/>
              </w:rPr>
              <w:t>现检验科废水与牙科废水经</w:t>
            </w:r>
            <w:r>
              <w:rPr>
                <w:color w:val="auto"/>
                <w:kern w:val="0"/>
                <w:szCs w:val="24"/>
              </w:rPr>
              <w:t>5m</w:t>
            </w:r>
            <w:r>
              <w:rPr>
                <w:color w:val="auto"/>
                <w:kern w:val="0"/>
                <w:szCs w:val="24"/>
                <w:vertAlign w:val="superscript"/>
              </w:rPr>
              <w:t>3</w:t>
            </w:r>
            <w:r>
              <w:rPr>
                <w:color w:val="auto"/>
                <w:kern w:val="0"/>
                <w:szCs w:val="24"/>
              </w:rPr>
              <w:t>/d的一体化污水处理设备处理后排入污水处理站处理</w:t>
            </w:r>
            <w:r>
              <w:rPr>
                <w:rFonts w:hint="eastAsia"/>
                <w:color w:val="auto"/>
                <w:kern w:val="0"/>
                <w:szCs w:val="24"/>
              </w:rPr>
              <w:t>；感染科废水经化粪池-格栅</w:t>
            </w:r>
            <w:r>
              <w:rPr>
                <w:color w:val="auto"/>
                <w:kern w:val="0"/>
                <w:szCs w:val="24"/>
              </w:rPr>
              <w:t>-</w:t>
            </w:r>
            <w:r>
              <w:rPr>
                <w:rFonts w:hint="eastAsia"/>
                <w:color w:val="auto"/>
                <w:kern w:val="0"/>
                <w:szCs w:val="24"/>
              </w:rPr>
              <w:t>预处理池</w:t>
            </w:r>
            <w:r>
              <w:rPr>
                <w:rFonts w:hint="eastAsia"/>
                <w:color w:val="auto"/>
              </w:rPr>
              <w:t>处理后进入医院污水处理站。</w:t>
            </w:r>
          </w:p>
          <w:p w14:paraId="2C56DAD6">
            <w:pPr>
              <w:pStyle w:val="34"/>
              <w:ind w:firstLine="480"/>
              <w:rPr>
                <w:color w:val="auto"/>
              </w:rPr>
            </w:pPr>
            <w:r>
              <w:rPr>
                <w:rFonts w:hint="eastAsia"/>
                <w:color w:val="auto"/>
              </w:rPr>
              <w:t>（2）医废暂存间</w:t>
            </w:r>
          </w:p>
          <w:p w14:paraId="601C735F">
            <w:pPr>
              <w:pStyle w:val="34"/>
              <w:ind w:firstLine="480"/>
              <w:rPr>
                <w:color w:val="auto"/>
              </w:rPr>
            </w:pPr>
            <w:r>
              <w:rPr>
                <w:rFonts w:hint="eastAsia"/>
                <w:color w:val="auto"/>
              </w:rPr>
              <w:t>现医疗废暂存间为4</w:t>
            </w:r>
            <w:r>
              <w:rPr>
                <w:color w:val="auto"/>
              </w:rPr>
              <w:t>5</w:t>
            </w:r>
            <w:r>
              <w:rPr>
                <w:rFonts w:hint="eastAsia"/>
                <w:color w:val="auto"/>
              </w:rPr>
              <w:t>m</w:t>
            </w:r>
            <w:r>
              <w:rPr>
                <w:color w:val="auto"/>
                <w:vertAlign w:val="superscript"/>
              </w:rPr>
              <w:t>2</w:t>
            </w:r>
            <w:r>
              <w:rPr>
                <w:rFonts w:hint="eastAsia"/>
                <w:color w:val="auto"/>
              </w:rPr>
              <w:t>，</w:t>
            </w:r>
            <w:r>
              <w:rPr>
                <w:rFonts w:hint="eastAsia"/>
                <w:color w:val="auto"/>
                <w:lang w:eastAsia="zh-CN"/>
              </w:rPr>
              <w:t>根据项目医疗废物转移联单（见附件），本项目</w:t>
            </w:r>
            <w:r>
              <w:rPr>
                <w:rFonts w:hint="eastAsia"/>
                <w:color w:val="auto"/>
                <w:lang w:val="en-US" w:eastAsia="zh-CN"/>
              </w:rPr>
              <w:t>医疗废物</w:t>
            </w:r>
            <w:r>
              <w:rPr>
                <w:rFonts w:hint="eastAsia"/>
                <w:color w:val="auto"/>
              </w:rPr>
              <w:t>日产生量约为</w:t>
            </w:r>
            <w:r>
              <w:rPr>
                <w:rFonts w:hint="eastAsia"/>
                <w:color w:val="auto"/>
                <w:lang w:val="en-US" w:eastAsia="zh-CN"/>
              </w:rPr>
              <w:t>294.02</w:t>
            </w:r>
            <w:r>
              <w:rPr>
                <w:rFonts w:hint="eastAsia"/>
                <w:color w:val="auto"/>
              </w:rPr>
              <w:t>kg，医废暂存间相关标识标牌，防渗等均已按相关要求建设</w:t>
            </w:r>
            <w:r>
              <w:rPr>
                <w:rFonts w:hint="eastAsia"/>
                <w:color w:val="auto"/>
                <w:lang w:eastAsia="zh-CN"/>
              </w:rPr>
              <w:t>（防渗分区图见附件），项目医疗废弃物已委托玉溪兴洁垃圾处理有限公司处理</w:t>
            </w:r>
            <w:r>
              <w:rPr>
                <w:rFonts w:hint="eastAsia"/>
                <w:color w:val="auto"/>
              </w:rPr>
              <w:t>。</w:t>
            </w:r>
          </w:p>
          <w:p w14:paraId="4D43FAF5">
            <w:pPr>
              <w:pStyle w:val="34"/>
              <w:ind w:firstLine="480"/>
              <w:rPr>
                <w:color w:val="auto"/>
              </w:rPr>
            </w:pPr>
            <w:r>
              <w:rPr>
                <w:rFonts w:hint="eastAsia"/>
                <w:color w:val="auto"/>
              </w:rPr>
              <w:t>（3）污水处理设施建设及运行现状</w:t>
            </w:r>
          </w:p>
          <w:p w14:paraId="64F53347">
            <w:pPr>
              <w:pStyle w:val="34"/>
              <w:ind w:firstLine="480"/>
              <w:rPr>
                <w:rFonts w:hint="eastAsia"/>
                <w:color w:val="auto"/>
              </w:rPr>
            </w:pPr>
            <w:r>
              <w:rPr>
                <w:rFonts w:hint="eastAsia"/>
                <w:color w:val="auto"/>
              </w:rPr>
              <w:t>现污水处理站规模为2</w:t>
            </w:r>
            <w:r>
              <w:rPr>
                <w:color w:val="auto"/>
              </w:rPr>
              <w:t>50</w:t>
            </w:r>
            <w:r>
              <w:rPr>
                <w:rFonts w:hint="eastAsia"/>
                <w:color w:val="auto"/>
              </w:rPr>
              <w:t>m</w:t>
            </w:r>
            <w:r>
              <w:rPr>
                <w:color w:val="auto"/>
                <w:vertAlign w:val="superscript"/>
              </w:rPr>
              <w:t>3</w:t>
            </w:r>
            <w:r>
              <w:rPr>
                <w:rFonts w:hint="eastAsia"/>
                <w:color w:val="auto"/>
              </w:rPr>
              <w:t>/d，根据医院自行监测报告，现医院日排废水量在</w:t>
            </w:r>
            <w:r>
              <w:rPr>
                <w:rFonts w:hint="eastAsia"/>
                <w:color w:val="auto"/>
                <w:lang w:val="en-US" w:eastAsia="zh-CN"/>
              </w:rPr>
              <w:t>110</w:t>
            </w:r>
            <w:r>
              <w:rPr>
                <w:rFonts w:hint="eastAsia"/>
                <w:color w:val="auto"/>
              </w:rPr>
              <w:t>m</w:t>
            </w:r>
            <w:r>
              <w:rPr>
                <w:color w:val="auto"/>
                <w:vertAlign w:val="superscript"/>
              </w:rPr>
              <w:t>3</w:t>
            </w:r>
            <w:r>
              <w:rPr>
                <w:rFonts w:hint="eastAsia"/>
                <w:color w:val="auto"/>
              </w:rPr>
              <w:t>左右，医院废水能稳定达标排放，且扩建后废水排放不会超过污水处理站运行规模。</w:t>
            </w:r>
            <w:r>
              <w:rPr>
                <w:rFonts w:hint="eastAsia"/>
                <w:color w:val="auto"/>
                <w:lang w:eastAsia="zh-CN"/>
              </w:rPr>
              <w:t>项目原有污水处理站运行良好，本次扩建依托原有污水处理站可行。</w:t>
            </w:r>
          </w:p>
          <w:p w14:paraId="0FDA5F3D">
            <w:pPr>
              <w:pStyle w:val="34"/>
              <w:ind w:firstLine="480"/>
              <w:rPr>
                <w:rFonts w:hint="eastAsia"/>
                <w:b/>
                <w:bCs/>
                <w:color w:val="auto"/>
                <w:lang w:val="en-US" w:eastAsia="zh-CN"/>
              </w:rPr>
            </w:pPr>
            <w:r>
              <w:rPr>
                <w:rFonts w:hint="eastAsia"/>
                <w:b/>
                <w:bCs/>
                <w:color w:val="auto"/>
                <w:lang w:val="en-US" w:eastAsia="zh-CN"/>
              </w:rPr>
              <w:t>江城卫生院：</w:t>
            </w:r>
          </w:p>
          <w:p w14:paraId="08C01376">
            <w:pPr>
              <w:pStyle w:val="34"/>
              <w:ind w:firstLine="480"/>
              <w:rPr>
                <w:rFonts w:hint="default"/>
                <w:b/>
                <w:bCs/>
                <w:color w:val="auto"/>
                <w:lang w:val="en-US" w:eastAsia="zh-CN"/>
              </w:rPr>
            </w:pPr>
            <w:r>
              <w:rPr>
                <w:rFonts w:hint="eastAsia"/>
                <w:b/>
                <w:bCs/>
                <w:color w:val="auto"/>
                <w:lang w:val="en-US" w:eastAsia="zh-CN"/>
              </w:rPr>
              <w:t>1、废水</w:t>
            </w:r>
          </w:p>
          <w:p w14:paraId="62A02CD8">
            <w:pPr>
              <w:pStyle w:val="34"/>
              <w:ind w:firstLine="480"/>
              <w:rPr>
                <w:rFonts w:hint="eastAsia"/>
                <w:color w:val="auto"/>
                <w:szCs w:val="21"/>
                <w:highlight w:val="none"/>
              </w:rPr>
            </w:pPr>
            <w:r>
              <w:rPr>
                <w:rFonts w:hint="eastAsia"/>
                <w:b w:val="0"/>
                <w:bCs w:val="0"/>
                <w:color w:val="auto"/>
                <w:highlight w:val="none"/>
                <w:lang w:val="en-US" w:eastAsia="zh-CN"/>
              </w:rPr>
              <w:t>根据《</w:t>
            </w:r>
            <w:r>
              <w:rPr>
                <w:rFonts w:hint="eastAsia" w:ascii="宋体" w:hAnsi="宋体"/>
                <w:color w:val="auto"/>
                <w:szCs w:val="21"/>
                <w:highlight w:val="none"/>
              </w:rPr>
              <w:t>江川县江城镇中心卫生院</w:t>
            </w:r>
            <w:r>
              <w:rPr>
                <w:rFonts w:hint="eastAsia" w:ascii="宋体" w:hAnsi="宋体"/>
                <w:color w:val="auto"/>
                <w:szCs w:val="21"/>
                <w:highlight w:val="none"/>
                <w:lang w:val="en-US" w:eastAsia="zh-CN"/>
              </w:rPr>
              <w:t>污水处理PH、余氯监测记录</w:t>
            </w:r>
            <w:r>
              <w:rPr>
                <w:rFonts w:hint="eastAsia"/>
                <w:b w:val="0"/>
                <w:bCs w:val="0"/>
                <w:color w:val="auto"/>
                <w:highlight w:val="none"/>
                <w:lang w:val="en-US" w:eastAsia="zh-CN"/>
              </w:rPr>
              <w:t>》描述及核实实际现场踏勘情况，污水处理站日常PH值每日检测2次，数值为6-9区间，余氯每日检测2次，数值稳定在3-10区间，原</w:t>
            </w:r>
            <w:r>
              <w:rPr>
                <w:color w:val="auto"/>
                <w:szCs w:val="21"/>
                <w:highlight w:val="none"/>
              </w:rPr>
              <w:t>项目</w:t>
            </w:r>
            <w:r>
              <w:rPr>
                <w:rFonts w:hint="eastAsia"/>
                <w:color w:val="auto"/>
                <w:szCs w:val="21"/>
                <w:highlight w:val="none"/>
              </w:rPr>
              <w:t>生活污水经化粪池处理</w:t>
            </w:r>
            <w:r>
              <w:rPr>
                <w:rFonts w:hint="eastAsia"/>
                <w:color w:val="auto"/>
                <w:szCs w:val="21"/>
                <w:highlight w:val="none"/>
                <w:lang w:val="en-US" w:eastAsia="zh-CN"/>
              </w:rPr>
              <w:t>后与</w:t>
            </w:r>
            <w:r>
              <w:rPr>
                <w:rFonts w:hint="eastAsia"/>
                <w:color w:val="auto"/>
                <w:szCs w:val="21"/>
                <w:highlight w:val="none"/>
              </w:rPr>
              <w:t>医疗废水经自建污水处理站处理后</w:t>
            </w:r>
            <w:r>
              <w:rPr>
                <w:rFonts w:hint="eastAsia"/>
                <w:color w:val="auto"/>
                <w:szCs w:val="21"/>
                <w:highlight w:val="none"/>
                <w:lang w:val="en-US" w:eastAsia="zh-CN"/>
              </w:rPr>
              <w:t>回用于绿化，不外排</w:t>
            </w:r>
            <w:r>
              <w:rPr>
                <w:rFonts w:hint="eastAsia"/>
                <w:color w:val="auto"/>
                <w:szCs w:val="21"/>
                <w:highlight w:val="none"/>
              </w:rPr>
              <w:t>。</w:t>
            </w:r>
          </w:p>
          <w:p w14:paraId="342E6B09">
            <w:pPr>
              <w:pStyle w:val="34"/>
              <w:ind w:firstLine="480"/>
              <w:rPr>
                <w:rFonts w:hint="eastAsia"/>
                <w:color w:val="auto"/>
                <w:szCs w:val="21"/>
                <w:highlight w:val="none"/>
                <w:lang w:eastAsia="zh-CN"/>
              </w:rPr>
            </w:pPr>
            <w:r>
              <w:rPr>
                <w:rFonts w:hint="eastAsia"/>
                <w:color w:val="auto"/>
                <w:szCs w:val="21"/>
                <w:highlight w:val="none"/>
              </w:rPr>
              <w:t>根据查阅相关标准及规范</w:t>
            </w:r>
            <w:r>
              <w:rPr>
                <w:rFonts w:hint="eastAsia"/>
                <w:color w:val="auto"/>
                <w:szCs w:val="21"/>
                <w:highlight w:val="none"/>
                <w:lang w:eastAsia="zh-CN"/>
              </w:rPr>
              <w:t>，根据《建筑中水设计标准》(GB50336一2018),“中水”是指各种排水经处理后，达到规定的水质标准，可在生活、市政、环境等范围内利用的非饮用水;“建筑物中水”是指在建筑物内建立的中水系统或设施;“中水设施”是指中水原水的收集、处理，中水的供给、使用及其配套的检测、计量等全套构筑物、设备和器材的统称。“中水原水”是指被选作为中水水源的水。因此项目医疗废水经过院内污水处理站处理后回用于院内绿化属于建筑中水回用设计的范畴，应执行《建筑中水设计标准》(GB50336</w:t>
            </w:r>
            <w:r>
              <w:rPr>
                <w:rFonts w:hint="eastAsia"/>
                <w:color w:val="auto"/>
                <w:szCs w:val="21"/>
                <w:highlight w:val="none"/>
                <w:lang w:val="en-US" w:eastAsia="zh-CN"/>
              </w:rPr>
              <w:t>-</w:t>
            </w:r>
            <w:r>
              <w:rPr>
                <w:rFonts w:hint="eastAsia"/>
                <w:color w:val="auto"/>
                <w:szCs w:val="21"/>
                <w:highlight w:val="none"/>
                <w:lang w:eastAsia="zh-CN"/>
              </w:rPr>
              <w:t>2018)。</w:t>
            </w:r>
          </w:p>
          <w:p w14:paraId="34A2F0B2">
            <w:pPr>
              <w:pStyle w:val="34"/>
              <w:ind w:firstLine="480"/>
              <w:rPr>
                <w:rFonts w:hint="eastAsia"/>
                <w:color w:val="auto"/>
                <w:szCs w:val="21"/>
                <w:highlight w:val="none"/>
                <w:lang w:eastAsia="zh-CN"/>
              </w:rPr>
            </w:pPr>
            <w:r>
              <w:rPr>
                <w:rFonts w:hint="eastAsia"/>
                <w:color w:val="auto"/>
                <w:szCs w:val="21"/>
                <w:highlight w:val="none"/>
                <w:lang w:eastAsia="zh-CN"/>
              </w:rPr>
              <w:t>《建筑中水设计标准》(GB50336</w:t>
            </w:r>
            <w:r>
              <w:rPr>
                <w:rFonts w:hint="eastAsia"/>
                <w:color w:val="auto"/>
                <w:szCs w:val="21"/>
                <w:highlight w:val="none"/>
                <w:lang w:val="en-US" w:eastAsia="zh-CN"/>
              </w:rPr>
              <w:t>-</w:t>
            </w:r>
            <w:r>
              <w:rPr>
                <w:rFonts w:hint="eastAsia"/>
                <w:color w:val="auto"/>
                <w:szCs w:val="21"/>
                <w:highlight w:val="none"/>
                <w:lang w:eastAsia="zh-CN"/>
              </w:rPr>
              <w:t>2018)3.1.6明确规定严禁将医疗污水作为中水原水，且3.1.6为该标准中的强制性条文，必须严格执行，因此项目医疗废水经处理后不能回用于院内绿化。</w:t>
            </w:r>
          </w:p>
          <w:p w14:paraId="3787E57A">
            <w:pPr>
              <w:pStyle w:val="34"/>
              <w:ind w:firstLine="480"/>
              <w:rPr>
                <w:rFonts w:hint="default"/>
                <w:color w:val="auto"/>
                <w:szCs w:val="21"/>
                <w:highlight w:val="none"/>
                <w:lang w:val="en-US" w:eastAsia="zh-CN"/>
              </w:rPr>
            </w:pPr>
            <w:r>
              <w:rPr>
                <w:rFonts w:hint="eastAsia"/>
                <w:color w:val="auto"/>
                <w:szCs w:val="21"/>
                <w:highlight w:val="none"/>
                <w:lang w:val="en-US" w:eastAsia="zh-CN"/>
              </w:rPr>
              <w:t>因此，原有项目应整改污水排放方式，进行雨污分流，并将医疗废水和生活污水排入市政污水管网后进入星云湖北片区污水处理厂。</w:t>
            </w:r>
          </w:p>
          <w:p w14:paraId="6AF3F5E0">
            <w:pPr>
              <w:pStyle w:val="34"/>
              <w:numPr>
                <w:ilvl w:val="0"/>
                <w:numId w:val="4"/>
              </w:numPr>
              <w:ind w:firstLine="480"/>
              <w:rPr>
                <w:rFonts w:hint="eastAsia"/>
                <w:b/>
                <w:bCs/>
                <w:color w:val="auto"/>
                <w:lang w:val="en-US" w:eastAsia="zh-CN"/>
              </w:rPr>
            </w:pPr>
            <w:r>
              <w:rPr>
                <w:rFonts w:hint="eastAsia"/>
                <w:b/>
                <w:bCs/>
                <w:color w:val="auto"/>
                <w:lang w:val="en-US" w:eastAsia="zh-CN"/>
              </w:rPr>
              <w:t>固废</w:t>
            </w:r>
          </w:p>
          <w:p w14:paraId="40CF1226">
            <w:pPr>
              <w:pStyle w:val="34"/>
              <w:numPr>
                <w:ilvl w:val="0"/>
                <w:numId w:val="0"/>
              </w:numPr>
              <w:ind w:firstLine="480" w:firstLineChars="200"/>
              <w:rPr>
                <w:rFonts w:hint="eastAsia"/>
                <w:color w:val="auto"/>
                <w:szCs w:val="21"/>
                <w:highlight w:val="none"/>
              </w:rPr>
            </w:pPr>
            <w:r>
              <w:rPr>
                <w:rFonts w:hint="eastAsia"/>
                <w:color w:val="auto"/>
                <w:szCs w:val="21"/>
                <w:highlight w:val="none"/>
              </w:rPr>
              <w:t>运营期生活垃圾经集中收集后委托江城镇环卫部门清运；医疗废物由各科室进行消毒、毁形后，存放于医疗固废暂存间，定期委托</w:t>
            </w:r>
            <w:r>
              <w:rPr>
                <w:rFonts w:hint="eastAsia"/>
                <w:color w:val="auto"/>
                <w:szCs w:val="21"/>
                <w:highlight w:val="none"/>
                <w:lang w:eastAsia="zh-CN"/>
              </w:rPr>
              <w:t>云南正晓环保投资有限公司</w:t>
            </w:r>
            <w:r>
              <w:rPr>
                <w:rFonts w:hint="eastAsia"/>
                <w:color w:val="auto"/>
                <w:szCs w:val="21"/>
                <w:highlight w:val="none"/>
              </w:rPr>
              <w:t>处理；污水处理站及化粪池污泥定期委托环卫部门清掏清运</w:t>
            </w:r>
            <w:r>
              <w:rPr>
                <w:rFonts w:hint="eastAsia"/>
                <w:color w:val="auto"/>
                <w:szCs w:val="21"/>
                <w:highlight w:val="none"/>
                <w:lang w:eastAsia="zh-CN"/>
              </w:rPr>
              <w:t>（</w:t>
            </w:r>
            <w:r>
              <w:rPr>
                <w:rFonts w:hint="eastAsia"/>
                <w:color w:val="auto"/>
                <w:szCs w:val="21"/>
                <w:highlight w:val="none"/>
                <w:lang w:val="en-US" w:eastAsia="zh-CN"/>
              </w:rPr>
              <w:t>处置协议见附件</w:t>
            </w:r>
            <w:r>
              <w:rPr>
                <w:rFonts w:hint="eastAsia"/>
                <w:color w:val="auto"/>
                <w:szCs w:val="21"/>
                <w:highlight w:val="none"/>
                <w:lang w:eastAsia="zh-CN"/>
              </w:rPr>
              <w:t>）</w:t>
            </w:r>
            <w:r>
              <w:rPr>
                <w:rFonts w:hint="eastAsia"/>
                <w:color w:val="auto"/>
                <w:szCs w:val="21"/>
                <w:highlight w:val="none"/>
              </w:rPr>
              <w:t>，固废处置率100%。</w:t>
            </w:r>
          </w:p>
          <w:p w14:paraId="7967A78A">
            <w:pPr>
              <w:pStyle w:val="34"/>
              <w:ind w:firstLine="480"/>
              <w:rPr>
                <w:rFonts w:hint="default" w:eastAsia="宋体"/>
                <w:color w:val="auto"/>
                <w:highlight w:val="none"/>
                <w:lang w:val="en-US" w:eastAsia="zh-CN"/>
              </w:rPr>
            </w:pPr>
            <w:r>
              <w:rPr>
                <w:rFonts w:hint="eastAsia"/>
                <w:color w:val="auto"/>
                <w:highlight w:val="none"/>
                <w:lang w:val="en-US" w:eastAsia="zh-CN"/>
              </w:rPr>
              <w:t>根据项目生活垃圾、医疗废物、污泥的转移联单统计，现有工程固废产生情况如下：</w:t>
            </w:r>
          </w:p>
          <w:p w14:paraId="7350606B">
            <w:pPr>
              <w:pStyle w:val="2"/>
              <w:jc w:val="center"/>
              <w:rPr>
                <w:b/>
                <w:bCs/>
                <w:color w:val="auto"/>
                <w:highlight w:val="none"/>
              </w:rPr>
            </w:pPr>
            <w:r>
              <w:rPr>
                <w:b/>
                <w:bCs/>
                <w:color w:val="auto"/>
                <w:highlight w:val="none"/>
              </w:rPr>
              <w:t>表2-</w:t>
            </w:r>
            <w:r>
              <w:rPr>
                <w:rFonts w:hint="eastAsia"/>
                <w:b/>
                <w:bCs/>
                <w:color w:val="auto"/>
                <w:highlight w:val="none"/>
                <w:lang w:val="en-US" w:eastAsia="zh-CN"/>
              </w:rPr>
              <w:t>21</w:t>
            </w:r>
            <w:r>
              <w:rPr>
                <w:b/>
                <w:bCs/>
                <w:color w:val="auto"/>
                <w:highlight w:val="none"/>
              </w:rPr>
              <w:t>现有工程固废产生量及处置方式</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417"/>
              <w:gridCol w:w="1701"/>
              <w:gridCol w:w="3195"/>
            </w:tblGrid>
            <w:tr w14:paraId="7F4DF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3" w:type="dxa"/>
                  <w:vAlign w:val="center"/>
                </w:tcPr>
                <w:p w14:paraId="3D8B4833">
                  <w:pPr>
                    <w:spacing w:line="240" w:lineRule="auto"/>
                    <w:ind w:firstLine="0" w:firstLineChars="0"/>
                    <w:jc w:val="center"/>
                    <w:rPr>
                      <w:bCs/>
                      <w:color w:val="auto"/>
                      <w:sz w:val="21"/>
                      <w:szCs w:val="21"/>
                      <w:highlight w:val="none"/>
                    </w:rPr>
                  </w:pPr>
                  <w:r>
                    <w:rPr>
                      <w:bCs/>
                      <w:color w:val="auto"/>
                      <w:sz w:val="21"/>
                      <w:szCs w:val="21"/>
                      <w:highlight w:val="none"/>
                    </w:rPr>
                    <w:t>序号</w:t>
                  </w:r>
                </w:p>
              </w:tc>
              <w:tc>
                <w:tcPr>
                  <w:tcW w:w="1417" w:type="dxa"/>
                  <w:vAlign w:val="center"/>
                </w:tcPr>
                <w:p w14:paraId="3041CA45">
                  <w:pPr>
                    <w:spacing w:line="240" w:lineRule="auto"/>
                    <w:ind w:firstLine="0" w:firstLineChars="0"/>
                    <w:jc w:val="center"/>
                    <w:rPr>
                      <w:bCs/>
                      <w:color w:val="auto"/>
                      <w:sz w:val="21"/>
                      <w:szCs w:val="21"/>
                      <w:highlight w:val="none"/>
                    </w:rPr>
                  </w:pPr>
                  <w:r>
                    <w:rPr>
                      <w:bCs/>
                      <w:color w:val="auto"/>
                      <w:sz w:val="21"/>
                      <w:szCs w:val="21"/>
                      <w:highlight w:val="none"/>
                    </w:rPr>
                    <w:t>固体废物</w:t>
                  </w:r>
                </w:p>
              </w:tc>
              <w:tc>
                <w:tcPr>
                  <w:tcW w:w="1701" w:type="dxa"/>
                  <w:vAlign w:val="center"/>
                </w:tcPr>
                <w:p w14:paraId="59F5A98D">
                  <w:pPr>
                    <w:spacing w:line="240" w:lineRule="auto"/>
                    <w:ind w:firstLine="0" w:firstLineChars="0"/>
                    <w:jc w:val="center"/>
                    <w:rPr>
                      <w:bCs/>
                      <w:color w:val="auto"/>
                      <w:sz w:val="21"/>
                      <w:szCs w:val="21"/>
                      <w:highlight w:val="none"/>
                    </w:rPr>
                  </w:pPr>
                  <w:r>
                    <w:rPr>
                      <w:bCs/>
                      <w:color w:val="auto"/>
                      <w:sz w:val="21"/>
                      <w:szCs w:val="21"/>
                      <w:highlight w:val="none"/>
                    </w:rPr>
                    <w:t>产生量</w:t>
                  </w:r>
                </w:p>
              </w:tc>
              <w:tc>
                <w:tcPr>
                  <w:tcW w:w="3195" w:type="dxa"/>
                  <w:vAlign w:val="center"/>
                </w:tcPr>
                <w:p w14:paraId="5D7064D3">
                  <w:pPr>
                    <w:spacing w:line="240" w:lineRule="auto"/>
                    <w:ind w:firstLine="0" w:firstLineChars="0"/>
                    <w:jc w:val="center"/>
                    <w:rPr>
                      <w:bCs/>
                      <w:color w:val="auto"/>
                      <w:sz w:val="21"/>
                      <w:szCs w:val="21"/>
                      <w:highlight w:val="none"/>
                    </w:rPr>
                  </w:pPr>
                  <w:r>
                    <w:rPr>
                      <w:bCs/>
                      <w:color w:val="auto"/>
                      <w:sz w:val="21"/>
                      <w:szCs w:val="21"/>
                      <w:highlight w:val="none"/>
                    </w:rPr>
                    <w:t>去向</w:t>
                  </w:r>
                </w:p>
              </w:tc>
            </w:tr>
            <w:tr w14:paraId="64A41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4D753493">
                  <w:pPr>
                    <w:spacing w:line="240" w:lineRule="auto"/>
                    <w:ind w:firstLine="0" w:firstLineChars="0"/>
                    <w:jc w:val="center"/>
                    <w:rPr>
                      <w:bCs/>
                      <w:color w:val="auto"/>
                      <w:sz w:val="21"/>
                      <w:szCs w:val="21"/>
                      <w:highlight w:val="none"/>
                    </w:rPr>
                  </w:pPr>
                  <w:r>
                    <w:rPr>
                      <w:bCs/>
                      <w:color w:val="auto"/>
                      <w:sz w:val="21"/>
                      <w:szCs w:val="21"/>
                      <w:highlight w:val="none"/>
                    </w:rPr>
                    <w:t>1</w:t>
                  </w:r>
                </w:p>
              </w:tc>
              <w:tc>
                <w:tcPr>
                  <w:tcW w:w="1417" w:type="dxa"/>
                  <w:vAlign w:val="center"/>
                </w:tcPr>
                <w:p w14:paraId="1A569CA3">
                  <w:pPr>
                    <w:spacing w:line="240" w:lineRule="auto"/>
                    <w:ind w:firstLine="0" w:firstLineChars="0"/>
                    <w:jc w:val="center"/>
                    <w:rPr>
                      <w:bCs/>
                      <w:color w:val="auto"/>
                      <w:sz w:val="21"/>
                      <w:szCs w:val="21"/>
                      <w:highlight w:val="none"/>
                    </w:rPr>
                  </w:pPr>
                  <w:r>
                    <w:rPr>
                      <w:bCs/>
                      <w:color w:val="auto"/>
                      <w:sz w:val="21"/>
                      <w:szCs w:val="21"/>
                      <w:highlight w:val="none"/>
                    </w:rPr>
                    <w:t>生活垃圾</w:t>
                  </w:r>
                </w:p>
              </w:tc>
              <w:tc>
                <w:tcPr>
                  <w:tcW w:w="1701" w:type="dxa"/>
                  <w:vAlign w:val="center"/>
                </w:tcPr>
                <w:p w14:paraId="70E3E263">
                  <w:pPr>
                    <w:spacing w:line="240" w:lineRule="auto"/>
                    <w:ind w:firstLine="0" w:firstLineChars="0"/>
                    <w:jc w:val="center"/>
                    <w:rPr>
                      <w:bCs/>
                      <w:color w:val="auto"/>
                      <w:sz w:val="21"/>
                      <w:szCs w:val="21"/>
                      <w:highlight w:val="none"/>
                    </w:rPr>
                  </w:pPr>
                  <w:r>
                    <w:rPr>
                      <w:rFonts w:hint="eastAsia"/>
                      <w:bCs/>
                      <w:color w:val="auto"/>
                      <w:sz w:val="21"/>
                      <w:szCs w:val="21"/>
                      <w:highlight w:val="none"/>
                      <w:lang w:val="en-US" w:eastAsia="zh-CN"/>
                    </w:rPr>
                    <w:t>77.4</w:t>
                  </w:r>
                  <w:r>
                    <w:rPr>
                      <w:bCs/>
                      <w:color w:val="auto"/>
                      <w:sz w:val="21"/>
                      <w:szCs w:val="21"/>
                      <w:highlight w:val="none"/>
                    </w:rPr>
                    <w:t>kg/d</w:t>
                  </w:r>
                </w:p>
              </w:tc>
              <w:tc>
                <w:tcPr>
                  <w:tcW w:w="3195" w:type="dxa"/>
                  <w:vAlign w:val="center"/>
                </w:tcPr>
                <w:p w14:paraId="3D24C174">
                  <w:pPr>
                    <w:spacing w:line="240" w:lineRule="auto"/>
                    <w:ind w:firstLine="0" w:firstLineChars="0"/>
                    <w:jc w:val="center"/>
                    <w:rPr>
                      <w:bCs/>
                      <w:color w:val="auto"/>
                      <w:sz w:val="21"/>
                      <w:szCs w:val="21"/>
                      <w:highlight w:val="none"/>
                    </w:rPr>
                  </w:pPr>
                  <w:r>
                    <w:rPr>
                      <w:bCs/>
                      <w:color w:val="auto"/>
                      <w:sz w:val="21"/>
                      <w:szCs w:val="21"/>
                      <w:highlight w:val="none"/>
                    </w:rPr>
                    <w:t>由环卫部门清运处置</w:t>
                  </w:r>
                </w:p>
              </w:tc>
            </w:tr>
            <w:tr w14:paraId="73B57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76A116D8">
                  <w:pPr>
                    <w:spacing w:line="240" w:lineRule="auto"/>
                    <w:ind w:firstLine="0" w:firstLineChars="0"/>
                    <w:jc w:val="center"/>
                    <w:rPr>
                      <w:bCs/>
                      <w:color w:val="auto"/>
                      <w:sz w:val="21"/>
                      <w:szCs w:val="21"/>
                      <w:highlight w:val="none"/>
                    </w:rPr>
                  </w:pPr>
                  <w:r>
                    <w:rPr>
                      <w:bCs/>
                      <w:color w:val="auto"/>
                      <w:sz w:val="21"/>
                      <w:szCs w:val="21"/>
                      <w:highlight w:val="none"/>
                    </w:rPr>
                    <w:t>2</w:t>
                  </w:r>
                </w:p>
              </w:tc>
              <w:tc>
                <w:tcPr>
                  <w:tcW w:w="1417" w:type="dxa"/>
                  <w:vAlign w:val="center"/>
                </w:tcPr>
                <w:p w14:paraId="6E2E01EA">
                  <w:pPr>
                    <w:spacing w:line="240" w:lineRule="auto"/>
                    <w:ind w:firstLine="0" w:firstLineChars="0"/>
                    <w:jc w:val="center"/>
                    <w:rPr>
                      <w:bCs/>
                      <w:color w:val="auto"/>
                      <w:sz w:val="21"/>
                      <w:szCs w:val="21"/>
                      <w:highlight w:val="none"/>
                    </w:rPr>
                  </w:pPr>
                  <w:r>
                    <w:rPr>
                      <w:bCs/>
                      <w:color w:val="auto"/>
                      <w:sz w:val="21"/>
                      <w:szCs w:val="21"/>
                      <w:highlight w:val="none"/>
                    </w:rPr>
                    <w:t>医疗废物</w:t>
                  </w:r>
                </w:p>
              </w:tc>
              <w:tc>
                <w:tcPr>
                  <w:tcW w:w="1701" w:type="dxa"/>
                  <w:vAlign w:val="center"/>
                </w:tcPr>
                <w:p w14:paraId="10835C16">
                  <w:pPr>
                    <w:spacing w:line="240" w:lineRule="auto"/>
                    <w:ind w:firstLine="0" w:firstLineChars="0"/>
                    <w:jc w:val="center"/>
                    <w:rPr>
                      <w:bCs/>
                      <w:color w:val="auto"/>
                      <w:sz w:val="21"/>
                      <w:szCs w:val="21"/>
                      <w:highlight w:val="none"/>
                    </w:rPr>
                  </w:pPr>
                  <w:r>
                    <w:rPr>
                      <w:rFonts w:hint="eastAsia"/>
                      <w:bCs/>
                      <w:color w:val="auto"/>
                      <w:sz w:val="21"/>
                      <w:szCs w:val="21"/>
                      <w:highlight w:val="none"/>
                      <w:lang w:val="en-US" w:eastAsia="zh-CN"/>
                    </w:rPr>
                    <w:t>15.75</w:t>
                  </w:r>
                  <w:r>
                    <w:rPr>
                      <w:bCs/>
                      <w:color w:val="auto"/>
                      <w:sz w:val="21"/>
                      <w:szCs w:val="21"/>
                      <w:highlight w:val="none"/>
                    </w:rPr>
                    <w:t>kg/d</w:t>
                  </w:r>
                </w:p>
              </w:tc>
              <w:tc>
                <w:tcPr>
                  <w:tcW w:w="3195" w:type="dxa"/>
                  <w:vAlign w:val="center"/>
                </w:tcPr>
                <w:p w14:paraId="6A46C1F8">
                  <w:pPr>
                    <w:spacing w:line="240" w:lineRule="auto"/>
                    <w:ind w:firstLine="0" w:firstLineChars="0"/>
                    <w:jc w:val="center"/>
                    <w:rPr>
                      <w:bCs/>
                      <w:color w:val="auto"/>
                      <w:sz w:val="21"/>
                      <w:szCs w:val="21"/>
                      <w:highlight w:val="none"/>
                    </w:rPr>
                  </w:pPr>
                  <w:r>
                    <w:rPr>
                      <w:bCs/>
                      <w:color w:val="auto"/>
                      <w:sz w:val="21"/>
                      <w:szCs w:val="21"/>
                      <w:highlight w:val="none"/>
                    </w:rPr>
                    <w:t>每隔一天收集一次，委托玉溪</w:t>
                  </w:r>
                  <w:r>
                    <w:rPr>
                      <w:rFonts w:hint="eastAsia"/>
                      <w:bCs/>
                      <w:color w:val="auto"/>
                      <w:sz w:val="21"/>
                      <w:szCs w:val="21"/>
                      <w:highlight w:val="none"/>
                      <w:lang w:val="en-US" w:eastAsia="zh-CN"/>
                    </w:rPr>
                    <w:t>兴洁垃圾处理</w:t>
                  </w:r>
                  <w:r>
                    <w:rPr>
                      <w:bCs/>
                      <w:color w:val="auto"/>
                      <w:sz w:val="21"/>
                      <w:szCs w:val="21"/>
                      <w:highlight w:val="none"/>
                    </w:rPr>
                    <w:t>有限公司清运处置</w:t>
                  </w:r>
                </w:p>
              </w:tc>
            </w:tr>
            <w:tr w14:paraId="0C20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vAlign w:val="center"/>
                </w:tcPr>
                <w:p w14:paraId="4181C4F0">
                  <w:pPr>
                    <w:spacing w:line="240" w:lineRule="auto"/>
                    <w:ind w:firstLine="0" w:firstLineChars="0"/>
                    <w:jc w:val="center"/>
                    <w:rPr>
                      <w:bCs/>
                      <w:color w:val="auto"/>
                      <w:sz w:val="21"/>
                      <w:szCs w:val="21"/>
                      <w:highlight w:val="none"/>
                    </w:rPr>
                  </w:pPr>
                  <w:r>
                    <w:rPr>
                      <w:bCs/>
                      <w:color w:val="auto"/>
                      <w:sz w:val="21"/>
                      <w:szCs w:val="21"/>
                      <w:highlight w:val="none"/>
                    </w:rPr>
                    <w:t>3</w:t>
                  </w:r>
                </w:p>
              </w:tc>
              <w:tc>
                <w:tcPr>
                  <w:tcW w:w="1417" w:type="dxa"/>
                  <w:vAlign w:val="center"/>
                </w:tcPr>
                <w:p w14:paraId="291009FF">
                  <w:pPr>
                    <w:spacing w:line="240" w:lineRule="auto"/>
                    <w:ind w:firstLine="0" w:firstLineChars="0"/>
                    <w:jc w:val="center"/>
                    <w:rPr>
                      <w:bCs/>
                      <w:color w:val="auto"/>
                      <w:sz w:val="21"/>
                      <w:szCs w:val="21"/>
                      <w:highlight w:val="none"/>
                    </w:rPr>
                  </w:pPr>
                  <w:r>
                    <w:rPr>
                      <w:bCs/>
                      <w:color w:val="auto"/>
                      <w:sz w:val="21"/>
                      <w:szCs w:val="21"/>
                      <w:highlight w:val="none"/>
                    </w:rPr>
                    <w:t>污泥</w:t>
                  </w:r>
                </w:p>
              </w:tc>
              <w:tc>
                <w:tcPr>
                  <w:tcW w:w="1701" w:type="dxa"/>
                  <w:vAlign w:val="center"/>
                </w:tcPr>
                <w:p w14:paraId="5149F5FA">
                  <w:pPr>
                    <w:spacing w:line="240" w:lineRule="auto"/>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1.15</w:t>
                  </w:r>
                  <w:r>
                    <w:rPr>
                      <w:bCs/>
                      <w:color w:val="auto"/>
                      <w:sz w:val="21"/>
                      <w:szCs w:val="21"/>
                      <w:highlight w:val="none"/>
                    </w:rPr>
                    <w:t>kg/d</w:t>
                  </w:r>
                </w:p>
              </w:tc>
              <w:tc>
                <w:tcPr>
                  <w:tcW w:w="3195" w:type="dxa"/>
                  <w:vAlign w:val="center"/>
                </w:tcPr>
                <w:p w14:paraId="3CE128EC">
                  <w:pPr>
                    <w:spacing w:line="240" w:lineRule="auto"/>
                    <w:ind w:firstLine="0" w:firstLineChars="0"/>
                    <w:jc w:val="center"/>
                    <w:rPr>
                      <w:bCs/>
                      <w:color w:val="auto"/>
                      <w:sz w:val="21"/>
                      <w:szCs w:val="21"/>
                      <w:highlight w:val="none"/>
                    </w:rPr>
                  </w:pPr>
                  <w:r>
                    <w:rPr>
                      <w:bCs/>
                      <w:color w:val="auto"/>
                      <w:sz w:val="21"/>
                      <w:szCs w:val="21"/>
                      <w:highlight w:val="none"/>
                    </w:rPr>
                    <w:t>污水处理站和化粪池污泥每半年清掏一次，委托</w:t>
                  </w:r>
                  <w:r>
                    <w:rPr>
                      <w:rFonts w:hint="eastAsia"/>
                      <w:bCs/>
                      <w:color w:val="auto"/>
                      <w:sz w:val="21"/>
                      <w:szCs w:val="21"/>
                      <w:highlight w:val="none"/>
                      <w:lang w:val="en-US" w:eastAsia="zh-CN"/>
                    </w:rPr>
                    <w:t>云南大地丰源环保有限公司</w:t>
                  </w:r>
                  <w:r>
                    <w:rPr>
                      <w:bCs/>
                      <w:color w:val="auto"/>
                      <w:sz w:val="21"/>
                      <w:szCs w:val="21"/>
                      <w:highlight w:val="none"/>
                    </w:rPr>
                    <w:t>清掏处置</w:t>
                  </w:r>
                </w:p>
              </w:tc>
            </w:tr>
          </w:tbl>
          <w:p w14:paraId="3B4FF98A">
            <w:pPr>
              <w:pStyle w:val="34"/>
              <w:numPr>
                <w:ilvl w:val="0"/>
                <w:numId w:val="0"/>
              </w:numPr>
              <w:ind w:firstLine="482" w:firstLineChars="200"/>
              <w:rPr>
                <w:rFonts w:hint="eastAsia"/>
                <w:b/>
                <w:bCs/>
                <w:color w:val="auto"/>
                <w:szCs w:val="21"/>
                <w:lang w:val="en-US" w:eastAsia="zh-CN"/>
              </w:rPr>
            </w:pPr>
            <w:r>
              <w:rPr>
                <w:rFonts w:hint="eastAsia"/>
                <w:b/>
                <w:bCs/>
                <w:color w:val="auto"/>
                <w:szCs w:val="21"/>
                <w:lang w:val="en-US" w:eastAsia="zh-CN"/>
              </w:rPr>
              <w:t>3、噪声</w:t>
            </w:r>
          </w:p>
          <w:p w14:paraId="4FE30524">
            <w:pPr>
              <w:pStyle w:val="34"/>
              <w:numPr>
                <w:ilvl w:val="0"/>
                <w:numId w:val="0"/>
              </w:numPr>
              <w:ind w:firstLine="480" w:firstLineChars="200"/>
              <w:rPr>
                <w:rFonts w:hint="eastAsia"/>
                <w:color w:val="auto"/>
                <w:szCs w:val="21"/>
                <w:lang w:val="en-US" w:eastAsia="zh-CN"/>
              </w:rPr>
            </w:pPr>
            <w:r>
              <w:rPr>
                <w:rFonts w:hint="eastAsia"/>
                <w:color w:val="auto"/>
                <w:szCs w:val="21"/>
                <w:lang w:val="en-US" w:eastAsia="zh-CN"/>
              </w:rPr>
              <w:t>根据项目验收监测运营期厂界噪声满足《工业企业厂界环境噪声排放标准》（GB12348-2008）中1类标准。</w:t>
            </w:r>
          </w:p>
          <w:p w14:paraId="22E950C9">
            <w:pPr>
              <w:pStyle w:val="34"/>
              <w:numPr>
                <w:ilvl w:val="0"/>
                <w:numId w:val="0"/>
              </w:numPr>
              <w:ind w:leftChars="200"/>
              <w:rPr>
                <w:rFonts w:hint="eastAsia"/>
                <w:b/>
                <w:bCs/>
                <w:color w:val="auto"/>
                <w:szCs w:val="21"/>
                <w:lang w:val="en-US" w:eastAsia="zh-CN"/>
              </w:rPr>
            </w:pPr>
            <w:r>
              <w:rPr>
                <w:rFonts w:hint="eastAsia"/>
                <w:b/>
                <w:bCs/>
                <w:color w:val="auto"/>
                <w:szCs w:val="21"/>
                <w:lang w:val="en-US" w:eastAsia="zh-CN"/>
              </w:rPr>
              <w:t>4、废气</w:t>
            </w:r>
          </w:p>
          <w:p w14:paraId="7BCB753C">
            <w:pPr>
              <w:pStyle w:val="35"/>
              <w:tabs>
                <w:tab w:val="left" w:pos="2040"/>
              </w:tabs>
              <w:spacing w:beforeLines="0" w:afterLines="0"/>
              <w:ind w:firstLine="482"/>
              <w:rPr>
                <w:color w:val="auto"/>
                <w:szCs w:val="24"/>
              </w:rPr>
            </w:pPr>
            <w:r>
              <w:rPr>
                <w:rFonts w:hint="eastAsia"/>
                <w:color w:val="auto"/>
                <w:szCs w:val="24"/>
                <w:lang w:val="en-US" w:eastAsia="zh-CN"/>
              </w:rPr>
              <w:t>项目</w:t>
            </w:r>
            <w:r>
              <w:rPr>
                <w:color w:val="auto"/>
                <w:szCs w:val="24"/>
              </w:rPr>
              <w:t>化粪池为地埋式，密闭性较好，故挥发到空气中的恶臭较少；项目区设置一个医疗废物暂存间，收集整个医院的医疗废物，医疗废物中有一些具有刺激性气味的气体，在存储过程中会有少量的H</w:t>
            </w:r>
            <w:r>
              <w:rPr>
                <w:color w:val="auto"/>
                <w:szCs w:val="24"/>
                <w:vertAlign w:val="subscript"/>
              </w:rPr>
              <w:t>2</w:t>
            </w:r>
            <w:r>
              <w:rPr>
                <w:color w:val="auto"/>
                <w:szCs w:val="24"/>
              </w:rPr>
              <w:t>S和NH</w:t>
            </w:r>
            <w:r>
              <w:rPr>
                <w:color w:val="auto"/>
                <w:szCs w:val="24"/>
                <w:vertAlign w:val="subscript"/>
              </w:rPr>
              <w:t>3</w:t>
            </w:r>
            <w:r>
              <w:rPr>
                <w:color w:val="auto"/>
                <w:szCs w:val="24"/>
              </w:rPr>
              <w:t>等恶臭气体产生，由于本项目医疗废物存储间为单独的密闭房间，医疗废物通过专用容器及防漏胶袋密封，臭气溢出极少，呈无组织排放；项目区垃圾桶内的垃圾能做到日产日清，通过及时清运可减轻对环境的不利影响；卫生间在使用过程中会产生一定的臭味，经加强卫生间的清扫频次，保持卫生间的清洁卫生，臭味对周围环境的影响很小。</w:t>
            </w:r>
          </w:p>
          <w:p w14:paraId="3ED91985">
            <w:pPr>
              <w:pStyle w:val="34"/>
              <w:ind w:firstLine="482"/>
              <w:rPr>
                <w:b/>
                <w:bCs/>
                <w:color w:val="auto"/>
              </w:rPr>
            </w:pPr>
            <w:r>
              <w:rPr>
                <w:rFonts w:hint="eastAsia"/>
                <w:b/>
                <w:bCs/>
                <w:color w:val="auto"/>
                <w:lang w:val="en-US" w:eastAsia="zh-CN"/>
              </w:rPr>
              <w:t>5</w:t>
            </w:r>
            <w:r>
              <w:rPr>
                <w:b/>
                <w:bCs/>
                <w:color w:val="auto"/>
              </w:rPr>
              <w:t>、现有项目存在的主要环境问题及以新带老措施</w:t>
            </w:r>
          </w:p>
          <w:p w14:paraId="09D1030A">
            <w:pPr>
              <w:pStyle w:val="34"/>
              <w:ind w:firstLine="480"/>
              <w:rPr>
                <w:rFonts w:hint="default" w:eastAsia="宋体"/>
                <w:color w:val="auto"/>
                <w:lang w:val="en-US" w:eastAsia="zh-CN"/>
              </w:rPr>
            </w:pPr>
            <w:r>
              <w:rPr>
                <w:color w:val="auto"/>
              </w:rPr>
              <w:t>（1）</w:t>
            </w:r>
            <w:r>
              <w:rPr>
                <w:rFonts w:hint="eastAsia"/>
                <w:color w:val="auto"/>
                <w:lang w:val="en-US" w:eastAsia="zh-CN"/>
              </w:rPr>
              <w:t>江城镇卫生院医疗废水现状是经污水处理站处理后达到《城市污水再生利用 绿地灌溉水质》（GB/T 25499-2010）回用于绿化不外排</w:t>
            </w:r>
            <w:r>
              <w:rPr>
                <w:rFonts w:hint="eastAsia"/>
                <w:color w:val="auto"/>
                <w:lang w:eastAsia="zh-CN"/>
              </w:rPr>
              <w:t>，</w:t>
            </w:r>
            <w:r>
              <w:rPr>
                <w:rFonts w:hint="eastAsia"/>
                <w:color w:val="auto"/>
                <w:lang w:val="en-US" w:eastAsia="zh-CN"/>
              </w:rPr>
              <w:t>因医疗废水不能回用于绿化，本次环评提出整改为医疗废水经污水处理站处理后排入市政污水管网最终进入星云湖北片区污水处理厂进行处理。</w:t>
            </w:r>
          </w:p>
          <w:p w14:paraId="69ED1A9A">
            <w:pPr>
              <w:pStyle w:val="34"/>
              <w:ind w:firstLine="480"/>
              <w:rPr>
                <w:rFonts w:hint="default"/>
                <w:color w:val="auto"/>
                <w:szCs w:val="21"/>
                <w:highlight w:val="none"/>
                <w:lang w:val="en-US" w:eastAsia="zh-CN"/>
              </w:rPr>
            </w:pPr>
            <w:r>
              <w:rPr>
                <w:color w:val="auto"/>
              </w:rPr>
              <w:t>以新带老措施：</w:t>
            </w:r>
            <w:r>
              <w:rPr>
                <w:rFonts w:hint="eastAsia"/>
                <w:color w:val="auto"/>
                <w:szCs w:val="21"/>
                <w:highlight w:val="none"/>
                <w:lang w:val="en-US" w:eastAsia="zh-CN"/>
              </w:rPr>
              <w:t>整改污水排放方式，进行雨污分流，并将医疗废水和生活污水排入市政污水管网后进入星云湖北片区污水处理厂。</w:t>
            </w:r>
          </w:p>
          <w:p w14:paraId="18B2275D">
            <w:pPr>
              <w:pStyle w:val="34"/>
              <w:ind w:firstLine="480"/>
              <w:rPr>
                <w:color w:val="auto"/>
              </w:rPr>
            </w:pPr>
          </w:p>
          <w:p w14:paraId="1C467D38">
            <w:pPr>
              <w:pStyle w:val="2"/>
              <w:jc w:val="both"/>
              <w:rPr>
                <w:rFonts w:hint="eastAsia" w:eastAsia="宋体"/>
                <w:color w:val="auto"/>
                <w:lang w:val="en-US" w:eastAsia="zh-CN"/>
              </w:rPr>
            </w:pPr>
          </w:p>
        </w:tc>
      </w:tr>
    </w:tbl>
    <w:p w14:paraId="22F19A58">
      <w:pPr>
        <w:rPr>
          <w:color w:val="auto"/>
        </w:rPr>
      </w:pPr>
      <w:bookmarkStart w:id="3" w:name="_Toc31593"/>
      <w:r>
        <w:rPr>
          <w:color w:val="auto"/>
        </w:rPr>
        <w:br w:type="page"/>
      </w:r>
    </w:p>
    <w:p w14:paraId="416D55B7">
      <w:pPr>
        <w:pStyle w:val="3"/>
        <w:jc w:val="center"/>
        <w:rPr>
          <w:color w:val="auto"/>
        </w:rPr>
      </w:pPr>
      <w:r>
        <w:rPr>
          <w:color w:val="auto"/>
        </w:rPr>
        <w:t>三、区域环境质量现状、保护目标及评价标准</w:t>
      </w:r>
      <w:bookmarkEnd w:id="3"/>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0"/>
        <w:gridCol w:w="8072"/>
      </w:tblGrid>
      <w:tr w14:paraId="3B8480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3" w:type="dxa"/>
            <w:vAlign w:val="center"/>
          </w:tcPr>
          <w:p w14:paraId="4E872C72">
            <w:pPr>
              <w:ind w:firstLine="0" w:firstLineChars="0"/>
              <w:rPr>
                <w:color w:val="auto"/>
              </w:rPr>
            </w:pPr>
            <w:r>
              <w:rPr>
                <w:color w:val="auto"/>
              </w:rPr>
              <w:t>区域环境质量现状</w:t>
            </w:r>
          </w:p>
        </w:tc>
        <w:tc>
          <w:tcPr>
            <w:tcW w:w="7959" w:type="dxa"/>
            <w:vAlign w:val="center"/>
          </w:tcPr>
          <w:p w14:paraId="48B268C7">
            <w:pPr>
              <w:ind w:firstLine="482"/>
              <w:rPr>
                <w:b/>
                <w:bCs/>
                <w:color w:val="auto"/>
              </w:rPr>
            </w:pPr>
            <w:r>
              <w:rPr>
                <w:b/>
                <w:bCs/>
                <w:color w:val="auto"/>
              </w:rPr>
              <w:t>1、环境空气质量现状</w:t>
            </w:r>
          </w:p>
          <w:p w14:paraId="27F33FC9">
            <w:pPr>
              <w:widowControl/>
              <w:ind w:firstLine="480"/>
              <w:jc w:val="left"/>
              <w:rPr>
                <w:rFonts w:hint="eastAsia" w:eastAsia="宋体"/>
                <w:color w:val="auto"/>
                <w:lang w:eastAsia="zh-CN"/>
              </w:rPr>
            </w:pPr>
            <w:r>
              <w:rPr>
                <w:color w:val="auto"/>
              </w:rPr>
              <w:t>建设项目位于玉溪市江川区星云街道湖滨路北段14号</w:t>
            </w:r>
            <w:r>
              <w:rPr>
                <w:rFonts w:hint="eastAsia"/>
                <w:color w:val="auto"/>
                <w:lang w:val="en-US" w:eastAsia="zh-CN"/>
              </w:rPr>
              <w:t>及</w:t>
            </w:r>
            <w:r>
              <w:rPr>
                <w:rFonts w:hint="eastAsia" w:eastAsia="宋体"/>
                <w:color w:val="auto"/>
                <w:lang w:val="en-US" w:eastAsia="zh-CN"/>
              </w:rPr>
              <w:t>江川区江城镇振兴街53号</w:t>
            </w:r>
            <w:r>
              <w:rPr>
                <w:color w:val="auto"/>
              </w:rPr>
              <w:t>，</w:t>
            </w:r>
            <w:r>
              <w:rPr>
                <w:color w:val="auto"/>
                <w:kern w:val="0"/>
                <w:szCs w:val="24"/>
                <w:lang w:bidi="ar"/>
              </w:rPr>
              <w:t>环境空气功能区划为二类区，执行《环境空气质量标准》（GB3095-20</w:t>
            </w:r>
            <w:r>
              <w:rPr>
                <w:rFonts w:hint="eastAsia"/>
                <w:color w:val="auto"/>
                <w:kern w:val="0"/>
                <w:szCs w:val="24"/>
                <w:lang w:val="en-US" w:eastAsia="zh-CN" w:bidi="ar"/>
              </w:rPr>
              <w:t>26过渡阶段）</w:t>
            </w:r>
            <w:r>
              <w:rPr>
                <w:color w:val="auto"/>
                <w:kern w:val="0"/>
                <w:szCs w:val="24"/>
                <w:lang w:bidi="ar"/>
              </w:rPr>
              <w:t>二级标准，根据现场踏勘，项目周边无重大空气污染源，地域开阔，扩散条件较好，空气环境质量较好。</w:t>
            </w:r>
          </w:p>
          <w:p w14:paraId="0A424A68">
            <w:pPr>
              <w:widowControl/>
              <w:ind w:firstLine="480"/>
              <w:jc w:val="left"/>
              <w:rPr>
                <w:color w:val="auto"/>
                <w:kern w:val="0"/>
                <w:szCs w:val="24"/>
                <w:lang w:bidi="ar"/>
              </w:rPr>
            </w:pPr>
            <w:r>
              <w:rPr>
                <w:color w:val="auto"/>
                <w:kern w:val="0"/>
                <w:szCs w:val="24"/>
                <w:lang w:bidi="ar"/>
              </w:rPr>
              <w:t>江川区环境空气质量自动监测点位于江川区人民医院，位于项目区，江川区202</w:t>
            </w:r>
            <w:r>
              <w:rPr>
                <w:rFonts w:hint="eastAsia"/>
                <w:color w:val="auto"/>
                <w:kern w:val="0"/>
                <w:szCs w:val="24"/>
                <w:lang w:val="en-US" w:eastAsia="zh-CN" w:bidi="ar"/>
              </w:rPr>
              <w:t>5</w:t>
            </w:r>
            <w:r>
              <w:rPr>
                <w:color w:val="auto"/>
                <w:kern w:val="0"/>
                <w:szCs w:val="24"/>
                <w:lang w:bidi="ar"/>
              </w:rPr>
              <w:t>年</w:t>
            </w:r>
            <w:r>
              <w:rPr>
                <w:rFonts w:hint="eastAsia"/>
                <w:color w:val="auto"/>
                <w:kern w:val="0"/>
                <w:szCs w:val="24"/>
                <w:lang w:val="en-US" w:eastAsia="zh-CN" w:bidi="ar"/>
              </w:rPr>
              <w:t>3</w:t>
            </w:r>
            <w:r>
              <w:rPr>
                <w:color w:val="auto"/>
                <w:kern w:val="0"/>
                <w:szCs w:val="24"/>
                <w:lang w:bidi="ar"/>
              </w:rPr>
              <w:t>月</w:t>
            </w:r>
            <w:r>
              <w:rPr>
                <w:rFonts w:hint="eastAsia"/>
                <w:color w:val="auto"/>
                <w:lang w:val="en-US" w:eastAsia="zh-CN"/>
              </w:rPr>
              <w:t>至2026年3月</w:t>
            </w:r>
            <w:r>
              <w:rPr>
                <w:color w:val="auto"/>
                <w:kern w:val="0"/>
                <w:szCs w:val="24"/>
                <w:lang w:bidi="ar"/>
              </w:rPr>
              <w:t>环境空气质量月报数据统计结果见表3-1。</w:t>
            </w:r>
          </w:p>
          <w:p w14:paraId="50D654C5">
            <w:pPr>
              <w:ind w:firstLine="0" w:firstLineChars="0"/>
              <w:jc w:val="center"/>
              <w:rPr>
                <w:b/>
                <w:color w:val="auto"/>
              </w:rPr>
            </w:pPr>
            <w:r>
              <w:rPr>
                <w:b/>
                <w:color w:val="auto"/>
              </w:rPr>
              <w:t>表3-1区域环境质量现状评价表</w:t>
            </w:r>
            <w:r>
              <w:rPr>
                <w:b/>
                <w:bCs/>
                <w:color w:val="auto"/>
                <w:kern w:val="0"/>
                <w:szCs w:val="24"/>
                <w:lang w:bidi="ar"/>
              </w:rPr>
              <w:t>μg/m</w:t>
            </w:r>
            <w:r>
              <w:rPr>
                <w:b/>
                <w:bCs/>
                <w:color w:val="auto"/>
                <w:kern w:val="0"/>
                <w:szCs w:val="24"/>
                <w:vertAlign w:val="superscript"/>
                <w:lang w:bidi="ar"/>
              </w:rPr>
              <w:t>3</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088"/>
              <w:gridCol w:w="1012"/>
              <w:gridCol w:w="988"/>
              <w:gridCol w:w="1000"/>
              <w:gridCol w:w="1197"/>
              <w:gridCol w:w="700"/>
            </w:tblGrid>
            <w:tr w14:paraId="3F18E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488" w:type="dxa"/>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725ABB6">
                  <w:pPr>
                    <w:widowControl/>
                    <w:snapToGrid w:val="0"/>
                    <w:spacing w:line="240" w:lineRule="auto"/>
                    <w:ind w:firstLine="0" w:firstLineChars="0"/>
                    <w:jc w:val="left"/>
                    <w:rPr>
                      <w:color w:val="auto"/>
                      <w:kern w:val="0"/>
                      <w:sz w:val="21"/>
                      <w:szCs w:val="21"/>
                      <w:lang w:bidi="ar"/>
                    </w:rPr>
                  </w:pPr>
                </w:p>
                <w:p w14:paraId="07915AA5">
                  <w:pPr>
                    <w:widowControl/>
                    <w:snapToGrid w:val="0"/>
                    <w:spacing w:line="240" w:lineRule="auto"/>
                    <w:ind w:firstLine="0" w:firstLineChars="0"/>
                    <w:jc w:val="left"/>
                    <w:rPr>
                      <w:color w:val="auto"/>
                      <w:kern w:val="0"/>
                      <w:sz w:val="21"/>
                      <w:szCs w:val="21"/>
                      <w:lang w:bidi="ar"/>
                    </w:rPr>
                  </w:pPr>
                </w:p>
                <w:p w14:paraId="0BD8EB52">
                  <w:pPr>
                    <w:widowControl/>
                    <w:snapToGrid w:val="0"/>
                    <w:spacing w:line="240" w:lineRule="auto"/>
                    <w:ind w:firstLine="0" w:firstLineChars="0"/>
                    <w:jc w:val="left"/>
                    <w:rPr>
                      <w:color w:val="auto"/>
                      <w:kern w:val="0"/>
                      <w:sz w:val="21"/>
                      <w:szCs w:val="21"/>
                      <w:lang w:bidi="ar"/>
                    </w:rPr>
                  </w:pPr>
                </w:p>
                <w:p w14:paraId="4BEFD019">
                  <w:pPr>
                    <w:widowControl/>
                    <w:snapToGrid w:val="0"/>
                    <w:spacing w:line="240" w:lineRule="auto"/>
                    <w:ind w:firstLine="0" w:firstLineChars="0"/>
                    <w:jc w:val="left"/>
                    <w:rPr>
                      <w:color w:val="auto"/>
                      <w:kern w:val="0"/>
                      <w:sz w:val="21"/>
                      <w:szCs w:val="21"/>
                      <w:lang w:bidi="ar"/>
                    </w:rPr>
                  </w:pPr>
                </w:p>
                <w:p w14:paraId="77824F70">
                  <w:pPr>
                    <w:widowControl/>
                    <w:snapToGrid w:val="0"/>
                    <w:spacing w:line="240" w:lineRule="auto"/>
                    <w:ind w:firstLine="0" w:firstLineChars="0"/>
                    <w:jc w:val="left"/>
                    <mc:AlternateContent>
                      <mc:Choice Requires="wpsCustomData">
                        <wpsCustomData:diagonalParaType/>
                      </mc:Choice>
                    </mc:AlternateContent>
                    <w:rPr>
                      <w:color w:val="auto"/>
                      <w:kern w:val="0"/>
                      <w:sz w:val="21"/>
                      <w:szCs w:val="21"/>
                      <w:lang w:bidi="ar"/>
                    </w:rPr>
                  </w:pPr>
                  <w:r>
                    <w:rPr>
                      <w:color w:val="auto"/>
                      <w:kern w:val="0"/>
                      <w:sz w:val="21"/>
                      <w:szCs w:val="21"/>
                      <w:lang w:bidi="ar"/>
                    </w:rPr>
                    <w:t>日期</w:t>
                  </w:r>
                </w:p>
                <w:p w14:paraId="025C8034">
                  <w:pPr>
                    <w:widowControl/>
                    <w:spacing w:line="240" w:lineRule="auto"/>
                    <w:ind w:firstLine="0" w:firstLineChars="0"/>
                    <w:jc w:val="right"/>
                    <w:rPr>
                      <w:color w:val="auto"/>
                      <w:kern w:val="0"/>
                      <w:sz w:val="21"/>
                      <w:szCs w:val="21"/>
                      <w:lang w:bidi="ar"/>
                    </w:rPr>
                  </w:pPr>
                  <w:r>
                    <w:rPr>
                      <w:color w:val="auto"/>
                      <w:kern w:val="0"/>
                      <w:sz w:val="21"/>
                      <w:szCs w:val="21"/>
                      <w:lang w:bidi="ar"/>
                    </w:rPr>
                    <w:t>污染物</w:t>
                  </w:r>
                </w:p>
                <w:p w14:paraId="2A35B6B5">
                  <w:pPr>
                    <w:widowControl/>
                    <w:spacing w:line="240" w:lineRule="auto"/>
                    <w:ind w:firstLine="0" w:firstLineChars="0"/>
                    <w:jc w:val="left"/>
                    <w:rPr>
                      <w:color w:val="auto"/>
                      <w:kern w:val="0"/>
                      <w:sz w:val="21"/>
                      <w:szCs w:val="21"/>
                      <w:lang w:bidi="ar"/>
                    </w:rPr>
                  </w:pPr>
                </w:p>
              </w:tc>
              <w:tc>
                <w:tcPr>
                  <w:tcW w:w="1088" w:type="dxa"/>
                  <w:vAlign w:val="center"/>
                </w:tcPr>
                <w:p w14:paraId="2DF51765">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ascii="微软雅黑" w:hAnsi="微软雅黑" w:eastAsia="微软雅黑" w:cs="微软雅黑"/>
                      <w:color w:val="auto"/>
                    </w:rPr>
                  </w:pPr>
                  <w:r>
                    <w:rPr>
                      <w:rFonts w:hint="eastAsia" w:ascii="宋体" w:hAnsi="宋体" w:eastAsia="宋体" w:cs="宋体"/>
                      <w:i w:val="0"/>
                      <w:iCs w:val="0"/>
                      <w:caps w:val="0"/>
                      <w:color w:val="auto"/>
                      <w:spacing w:val="0"/>
                      <w:sz w:val="21"/>
                      <w:szCs w:val="21"/>
                    </w:rPr>
                    <w:t>二氧化硫（SO</w:t>
                  </w:r>
                  <w:r>
                    <w:rPr>
                      <w:rFonts w:hint="eastAsia" w:ascii="宋体" w:hAnsi="宋体" w:eastAsia="宋体" w:cs="宋体"/>
                      <w:i w:val="0"/>
                      <w:iCs w:val="0"/>
                      <w:caps w:val="0"/>
                      <w:color w:val="auto"/>
                      <w:spacing w:val="0"/>
                      <w:sz w:val="21"/>
                      <w:szCs w:val="21"/>
                      <w:vertAlign w:val="subscript"/>
                    </w:rPr>
                    <w:t>2</w:t>
                  </w:r>
                  <w:r>
                    <w:rPr>
                      <w:rFonts w:hint="eastAsia" w:ascii="宋体" w:hAnsi="宋体" w:eastAsia="宋体" w:cs="宋体"/>
                      <w:i w:val="0"/>
                      <w:iCs w:val="0"/>
                      <w:caps w:val="0"/>
                      <w:color w:val="auto"/>
                      <w:spacing w:val="0"/>
                      <w:sz w:val="21"/>
                      <w:szCs w:val="21"/>
                    </w:rPr>
                    <w:t>）</w:t>
                  </w:r>
                </w:p>
                <w:p w14:paraId="58C0D053">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μg/m</w:t>
                  </w:r>
                  <w:r>
                    <w:rPr>
                      <w:rFonts w:hint="eastAsia" w:ascii="宋体" w:hAnsi="宋体" w:eastAsia="宋体" w:cs="宋体"/>
                      <w:i w:val="0"/>
                      <w:iCs w:val="0"/>
                      <w:caps w:val="0"/>
                      <w:color w:val="auto"/>
                      <w:spacing w:val="0"/>
                      <w:sz w:val="21"/>
                      <w:szCs w:val="21"/>
                      <w:vertAlign w:val="superscript"/>
                    </w:rPr>
                    <w:t>3</w:t>
                  </w:r>
                </w:p>
              </w:tc>
              <w:tc>
                <w:tcPr>
                  <w:tcW w:w="1012" w:type="dxa"/>
                  <w:vAlign w:val="center"/>
                </w:tcPr>
                <w:p w14:paraId="7610CC40">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hint="eastAsia" w:ascii="微软雅黑" w:hAnsi="微软雅黑" w:eastAsia="微软雅黑" w:cs="微软雅黑"/>
                      <w:color w:val="auto"/>
                    </w:rPr>
                  </w:pPr>
                  <w:r>
                    <w:rPr>
                      <w:rFonts w:hint="eastAsia" w:ascii="宋体" w:hAnsi="宋体" w:eastAsia="宋体" w:cs="宋体"/>
                      <w:i w:val="0"/>
                      <w:iCs w:val="0"/>
                      <w:caps w:val="0"/>
                      <w:color w:val="auto"/>
                      <w:spacing w:val="0"/>
                      <w:sz w:val="21"/>
                      <w:szCs w:val="21"/>
                    </w:rPr>
                    <w:t>二氧化氮（NO</w:t>
                  </w:r>
                  <w:r>
                    <w:rPr>
                      <w:rFonts w:hint="eastAsia" w:ascii="宋体" w:hAnsi="宋体" w:eastAsia="宋体" w:cs="宋体"/>
                      <w:i w:val="0"/>
                      <w:iCs w:val="0"/>
                      <w:caps w:val="0"/>
                      <w:color w:val="auto"/>
                      <w:spacing w:val="0"/>
                      <w:sz w:val="21"/>
                      <w:szCs w:val="21"/>
                      <w:vertAlign w:val="subscript"/>
                    </w:rPr>
                    <w:t>2</w:t>
                  </w:r>
                  <w:r>
                    <w:rPr>
                      <w:rFonts w:hint="eastAsia" w:ascii="宋体" w:hAnsi="宋体" w:eastAsia="宋体" w:cs="宋体"/>
                      <w:i w:val="0"/>
                      <w:iCs w:val="0"/>
                      <w:caps w:val="0"/>
                      <w:color w:val="auto"/>
                      <w:spacing w:val="0"/>
                      <w:sz w:val="21"/>
                      <w:szCs w:val="21"/>
                    </w:rPr>
                    <w:t>）</w:t>
                  </w:r>
                </w:p>
                <w:p w14:paraId="279C6982">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μg/m</w:t>
                  </w:r>
                  <w:r>
                    <w:rPr>
                      <w:rFonts w:hint="eastAsia" w:ascii="宋体" w:hAnsi="宋体" w:eastAsia="宋体" w:cs="宋体"/>
                      <w:i w:val="0"/>
                      <w:iCs w:val="0"/>
                      <w:caps w:val="0"/>
                      <w:color w:val="auto"/>
                      <w:spacing w:val="0"/>
                      <w:sz w:val="21"/>
                      <w:szCs w:val="21"/>
                      <w:vertAlign w:val="superscript"/>
                    </w:rPr>
                    <w:t>3</w:t>
                  </w:r>
                </w:p>
              </w:tc>
              <w:tc>
                <w:tcPr>
                  <w:tcW w:w="988" w:type="dxa"/>
                  <w:vAlign w:val="center"/>
                </w:tcPr>
                <w:p w14:paraId="2F708649">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hint="eastAsia" w:ascii="微软雅黑" w:hAnsi="微软雅黑" w:eastAsia="微软雅黑" w:cs="微软雅黑"/>
                      <w:color w:val="auto"/>
                    </w:rPr>
                  </w:pPr>
                  <w:r>
                    <w:rPr>
                      <w:rFonts w:hint="eastAsia" w:ascii="宋体" w:hAnsi="宋体" w:eastAsia="宋体" w:cs="宋体"/>
                      <w:i w:val="0"/>
                      <w:iCs w:val="0"/>
                      <w:caps w:val="0"/>
                      <w:color w:val="auto"/>
                      <w:spacing w:val="0"/>
                      <w:sz w:val="21"/>
                      <w:szCs w:val="21"/>
                    </w:rPr>
                    <w:t>可吸入颗粒物（PM</w:t>
                  </w:r>
                  <w:r>
                    <w:rPr>
                      <w:rFonts w:hint="eastAsia" w:ascii="宋体" w:hAnsi="宋体" w:eastAsia="宋体" w:cs="宋体"/>
                      <w:i w:val="0"/>
                      <w:iCs w:val="0"/>
                      <w:caps w:val="0"/>
                      <w:color w:val="auto"/>
                      <w:spacing w:val="0"/>
                      <w:sz w:val="21"/>
                      <w:szCs w:val="21"/>
                      <w:vertAlign w:val="subscript"/>
                    </w:rPr>
                    <w:t>10</w:t>
                  </w:r>
                  <w:r>
                    <w:rPr>
                      <w:rFonts w:hint="eastAsia" w:ascii="宋体" w:hAnsi="宋体" w:eastAsia="宋体" w:cs="宋体"/>
                      <w:i w:val="0"/>
                      <w:iCs w:val="0"/>
                      <w:caps w:val="0"/>
                      <w:color w:val="auto"/>
                      <w:spacing w:val="0"/>
                      <w:sz w:val="21"/>
                      <w:szCs w:val="21"/>
                    </w:rPr>
                    <w:t>）</w:t>
                  </w:r>
                </w:p>
                <w:p w14:paraId="08ABCE6D">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μg/m</w:t>
                  </w:r>
                  <w:r>
                    <w:rPr>
                      <w:rFonts w:hint="eastAsia" w:ascii="宋体" w:hAnsi="宋体" w:eastAsia="宋体" w:cs="宋体"/>
                      <w:i w:val="0"/>
                      <w:iCs w:val="0"/>
                      <w:caps w:val="0"/>
                      <w:color w:val="auto"/>
                      <w:spacing w:val="0"/>
                      <w:sz w:val="21"/>
                      <w:szCs w:val="21"/>
                      <w:vertAlign w:val="superscript"/>
                    </w:rPr>
                    <w:t>3</w:t>
                  </w:r>
                </w:p>
              </w:tc>
              <w:tc>
                <w:tcPr>
                  <w:tcW w:w="1000" w:type="dxa"/>
                  <w:vAlign w:val="center"/>
                </w:tcPr>
                <w:p w14:paraId="6FFD78FD">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hint="eastAsia" w:ascii="微软雅黑" w:hAnsi="微软雅黑" w:eastAsia="微软雅黑" w:cs="微软雅黑"/>
                      <w:color w:val="auto"/>
                    </w:rPr>
                  </w:pPr>
                  <w:r>
                    <w:rPr>
                      <w:rFonts w:hint="eastAsia" w:ascii="宋体" w:hAnsi="宋体" w:eastAsia="宋体" w:cs="宋体"/>
                      <w:i w:val="0"/>
                      <w:iCs w:val="0"/>
                      <w:caps w:val="0"/>
                      <w:color w:val="auto"/>
                      <w:spacing w:val="0"/>
                      <w:sz w:val="21"/>
                      <w:szCs w:val="21"/>
                    </w:rPr>
                    <w:t>一氧化碳（CO）</w:t>
                  </w:r>
                </w:p>
                <w:p w14:paraId="7298C940">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mg/m</w:t>
                  </w:r>
                  <w:r>
                    <w:rPr>
                      <w:rFonts w:hint="eastAsia" w:ascii="宋体" w:hAnsi="宋体" w:eastAsia="宋体" w:cs="宋体"/>
                      <w:i w:val="0"/>
                      <w:iCs w:val="0"/>
                      <w:caps w:val="0"/>
                      <w:color w:val="auto"/>
                      <w:spacing w:val="0"/>
                      <w:sz w:val="21"/>
                      <w:szCs w:val="21"/>
                      <w:vertAlign w:val="superscript"/>
                    </w:rPr>
                    <w:t>3</w:t>
                  </w:r>
                </w:p>
              </w:tc>
              <w:tc>
                <w:tcPr>
                  <w:tcW w:w="1197" w:type="dxa"/>
                  <w:vAlign w:val="center"/>
                </w:tcPr>
                <w:p w14:paraId="79439F23">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hint="eastAsia" w:ascii="微软雅黑" w:hAnsi="微软雅黑" w:eastAsia="微软雅黑" w:cs="微软雅黑"/>
                      <w:color w:val="auto"/>
                    </w:rPr>
                  </w:pPr>
                  <w:r>
                    <w:rPr>
                      <w:rFonts w:hint="eastAsia" w:ascii="宋体" w:hAnsi="宋体" w:eastAsia="宋体" w:cs="宋体"/>
                      <w:i w:val="0"/>
                      <w:iCs w:val="0"/>
                      <w:caps w:val="0"/>
                      <w:color w:val="auto"/>
                      <w:spacing w:val="0"/>
                      <w:sz w:val="21"/>
                      <w:szCs w:val="21"/>
                    </w:rPr>
                    <w:t>臭氧（O</w:t>
                  </w:r>
                  <w:r>
                    <w:rPr>
                      <w:rFonts w:hint="eastAsia" w:ascii="宋体" w:hAnsi="宋体" w:eastAsia="宋体" w:cs="宋体"/>
                      <w:i w:val="0"/>
                      <w:iCs w:val="0"/>
                      <w:caps w:val="0"/>
                      <w:color w:val="auto"/>
                      <w:spacing w:val="0"/>
                      <w:sz w:val="21"/>
                      <w:szCs w:val="21"/>
                      <w:vertAlign w:val="subscript"/>
                    </w:rPr>
                    <w:t>3</w:t>
                  </w:r>
                  <w:r>
                    <w:rPr>
                      <w:rFonts w:hint="eastAsia" w:ascii="宋体" w:hAnsi="宋体" w:eastAsia="宋体" w:cs="宋体"/>
                      <w:i w:val="0"/>
                      <w:iCs w:val="0"/>
                      <w:caps w:val="0"/>
                      <w:color w:val="auto"/>
                      <w:spacing w:val="0"/>
                      <w:sz w:val="21"/>
                      <w:szCs w:val="21"/>
                    </w:rPr>
                    <w:t>）日最大8小时平均</w:t>
                  </w:r>
                </w:p>
                <w:p w14:paraId="368021DD">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μg/m</w:t>
                  </w:r>
                  <w:r>
                    <w:rPr>
                      <w:rFonts w:hint="eastAsia" w:ascii="宋体" w:hAnsi="宋体" w:eastAsia="宋体" w:cs="宋体"/>
                      <w:i w:val="0"/>
                      <w:iCs w:val="0"/>
                      <w:caps w:val="0"/>
                      <w:color w:val="auto"/>
                      <w:spacing w:val="0"/>
                      <w:sz w:val="21"/>
                      <w:szCs w:val="21"/>
                      <w:vertAlign w:val="superscript"/>
                    </w:rPr>
                    <w:t>3</w:t>
                  </w:r>
                </w:p>
              </w:tc>
              <w:tc>
                <w:tcPr>
                  <w:tcW w:w="700" w:type="dxa"/>
                  <w:vAlign w:val="center"/>
                </w:tcPr>
                <w:p w14:paraId="21FA0BE2">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right="0"/>
                    <w:jc w:val="center"/>
                    <w:rPr>
                      <w:rFonts w:hint="eastAsia" w:ascii="微软雅黑" w:hAnsi="微软雅黑" w:eastAsia="微软雅黑" w:cs="微软雅黑"/>
                      <w:color w:val="auto"/>
                    </w:rPr>
                  </w:pPr>
                  <w:r>
                    <w:rPr>
                      <w:rFonts w:hint="eastAsia" w:ascii="宋体" w:hAnsi="宋体" w:eastAsia="宋体" w:cs="宋体"/>
                      <w:i w:val="0"/>
                      <w:iCs w:val="0"/>
                      <w:caps w:val="0"/>
                      <w:color w:val="auto"/>
                      <w:spacing w:val="0"/>
                      <w:sz w:val="21"/>
                      <w:szCs w:val="21"/>
                    </w:rPr>
                    <w:t>细颗粒物（PM</w:t>
                  </w:r>
                  <w:r>
                    <w:rPr>
                      <w:rFonts w:hint="eastAsia" w:ascii="宋体" w:hAnsi="宋体" w:eastAsia="宋体" w:cs="宋体"/>
                      <w:i w:val="0"/>
                      <w:iCs w:val="0"/>
                      <w:caps w:val="0"/>
                      <w:color w:val="auto"/>
                      <w:spacing w:val="0"/>
                      <w:sz w:val="21"/>
                      <w:szCs w:val="21"/>
                      <w:vertAlign w:val="subscript"/>
                    </w:rPr>
                    <w:t>2.5</w:t>
                  </w:r>
                  <w:r>
                    <w:rPr>
                      <w:rFonts w:hint="eastAsia" w:ascii="宋体" w:hAnsi="宋体" w:eastAsia="宋体" w:cs="宋体"/>
                      <w:i w:val="0"/>
                      <w:iCs w:val="0"/>
                      <w:caps w:val="0"/>
                      <w:color w:val="auto"/>
                      <w:spacing w:val="0"/>
                      <w:sz w:val="21"/>
                      <w:szCs w:val="21"/>
                    </w:rPr>
                    <w:t>）</w:t>
                  </w:r>
                </w:p>
                <w:p w14:paraId="540F79A9">
                  <w:pPr>
                    <w:pStyle w:val="17"/>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00" w:lineRule="atLeast"/>
                    <w:ind w:left="0" w:leftChars="0" w:right="0" w:rightChars="0" w:firstLine="0" w:firstLineChars="0"/>
                    <w:jc w:val="center"/>
                    <w:rPr>
                      <w:color w:val="auto"/>
                      <w:kern w:val="0"/>
                      <w:sz w:val="21"/>
                      <w:szCs w:val="21"/>
                      <w:lang w:bidi="ar"/>
                    </w:rPr>
                  </w:pPr>
                  <w:r>
                    <w:rPr>
                      <w:rFonts w:hint="eastAsia" w:ascii="宋体" w:hAnsi="宋体" w:eastAsia="宋体" w:cs="宋体"/>
                      <w:i w:val="0"/>
                      <w:iCs w:val="0"/>
                      <w:caps w:val="0"/>
                      <w:color w:val="auto"/>
                      <w:spacing w:val="0"/>
                      <w:sz w:val="21"/>
                      <w:szCs w:val="21"/>
                    </w:rPr>
                    <w:t>μg/m</w:t>
                  </w:r>
                  <w:r>
                    <w:rPr>
                      <w:rFonts w:hint="eastAsia" w:ascii="宋体" w:hAnsi="宋体" w:eastAsia="宋体" w:cs="宋体"/>
                      <w:i w:val="0"/>
                      <w:iCs w:val="0"/>
                      <w:caps w:val="0"/>
                      <w:color w:val="auto"/>
                      <w:spacing w:val="0"/>
                      <w:sz w:val="21"/>
                      <w:szCs w:val="21"/>
                      <w:vertAlign w:val="superscript"/>
                    </w:rPr>
                    <w:t>3</w:t>
                  </w:r>
                </w:p>
              </w:tc>
            </w:tr>
            <w:tr w14:paraId="0E7B4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7ED131A3">
                  <w:pPr>
                    <w:widowControl/>
                    <w:spacing w:line="240" w:lineRule="auto"/>
                    <w:ind w:firstLine="0" w:firstLineChars="0"/>
                    <w:jc w:val="center"/>
                    <w:rPr>
                      <w:rFonts w:hint="default" w:eastAsia="宋体"/>
                      <w:color w:val="auto"/>
                      <w:kern w:val="0"/>
                      <w:sz w:val="21"/>
                      <w:szCs w:val="21"/>
                      <w:lang w:val="en-US" w:eastAsia="zh-CN" w:bidi="ar"/>
                    </w:rPr>
                  </w:pPr>
                  <w:r>
                    <w:rPr>
                      <w:rFonts w:hint="eastAsia"/>
                      <w:color w:val="auto"/>
                      <w:kern w:val="0"/>
                      <w:sz w:val="21"/>
                      <w:szCs w:val="21"/>
                      <w:lang w:val="en-US" w:eastAsia="zh-CN" w:bidi="ar"/>
                    </w:rPr>
                    <w:t>2025年3月</w:t>
                  </w:r>
                </w:p>
              </w:tc>
              <w:tc>
                <w:tcPr>
                  <w:tcW w:w="1088" w:type="dxa"/>
                  <w:vAlign w:val="center"/>
                </w:tcPr>
                <w:p w14:paraId="718A5F7C">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7</w:t>
                  </w:r>
                </w:p>
              </w:tc>
              <w:tc>
                <w:tcPr>
                  <w:tcW w:w="1012" w:type="dxa"/>
                  <w:vAlign w:val="center"/>
                </w:tcPr>
                <w:p w14:paraId="621322F7">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11</w:t>
                  </w:r>
                </w:p>
              </w:tc>
              <w:tc>
                <w:tcPr>
                  <w:tcW w:w="988" w:type="dxa"/>
                  <w:vAlign w:val="center"/>
                </w:tcPr>
                <w:p w14:paraId="36EBD5B1">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49</w:t>
                  </w:r>
                </w:p>
              </w:tc>
              <w:tc>
                <w:tcPr>
                  <w:tcW w:w="1000" w:type="dxa"/>
                  <w:vAlign w:val="center"/>
                </w:tcPr>
                <w:p w14:paraId="5C92E8D1">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0.8</w:t>
                  </w:r>
                </w:p>
              </w:tc>
              <w:tc>
                <w:tcPr>
                  <w:tcW w:w="1197" w:type="dxa"/>
                  <w:vAlign w:val="center"/>
                </w:tcPr>
                <w:p w14:paraId="180C780D">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111</w:t>
                  </w:r>
                </w:p>
              </w:tc>
              <w:tc>
                <w:tcPr>
                  <w:tcW w:w="700" w:type="dxa"/>
                  <w:vAlign w:val="center"/>
                </w:tcPr>
                <w:p w14:paraId="24B1400C">
                  <w:pPr>
                    <w:widowControl/>
                    <w:spacing w:line="240" w:lineRule="auto"/>
                    <w:ind w:firstLine="0" w:firstLineChars="0"/>
                    <w:jc w:val="center"/>
                    <w:rPr>
                      <w:color w:val="auto"/>
                      <w:kern w:val="0"/>
                      <w:sz w:val="21"/>
                      <w:szCs w:val="21"/>
                      <w:lang w:bidi="ar"/>
                    </w:rPr>
                  </w:pPr>
                  <w:r>
                    <w:rPr>
                      <w:rFonts w:hint="eastAsia"/>
                      <w:color w:val="auto"/>
                      <w:kern w:val="0"/>
                      <w:sz w:val="21"/>
                      <w:szCs w:val="21"/>
                      <w:lang w:bidi="ar"/>
                    </w:rPr>
                    <w:t>35</w:t>
                  </w:r>
                </w:p>
              </w:tc>
            </w:tr>
            <w:tr w14:paraId="1C473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4BC345EA">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2025年4月</w:t>
                  </w:r>
                </w:p>
              </w:tc>
              <w:tc>
                <w:tcPr>
                  <w:tcW w:w="1088" w:type="dxa"/>
                  <w:vAlign w:val="center"/>
                </w:tcPr>
                <w:p w14:paraId="11416D08">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w:t>
                  </w:r>
                </w:p>
              </w:tc>
              <w:tc>
                <w:tcPr>
                  <w:tcW w:w="1012" w:type="dxa"/>
                  <w:vAlign w:val="center"/>
                </w:tcPr>
                <w:p w14:paraId="4DB7C2A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c>
                <w:tcPr>
                  <w:tcW w:w="988" w:type="dxa"/>
                  <w:vAlign w:val="center"/>
                </w:tcPr>
                <w:p w14:paraId="7CF34ED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50</w:t>
                  </w:r>
                </w:p>
              </w:tc>
              <w:tc>
                <w:tcPr>
                  <w:tcW w:w="1000" w:type="dxa"/>
                  <w:vAlign w:val="center"/>
                </w:tcPr>
                <w:p w14:paraId="0B23A5AC">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0.8</w:t>
                  </w:r>
                </w:p>
              </w:tc>
              <w:tc>
                <w:tcPr>
                  <w:tcW w:w="1197" w:type="dxa"/>
                  <w:vAlign w:val="center"/>
                </w:tcPr>
                <w:p w14:paraId="64AA26F0">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120</w:t>
                  </w:r>
                </w:p>
              </w:tc>
              <w:tc>
                <w:tcPr>
                  <w:tcW w:w="700" w:type="dxa"/>
                  <w:vAlign w:val="center"/>
                </w:tcPr>
                <w:p w14:paraId="05DAF6AE">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34</w:t>
                  </w:r>
                </w:p>
              </w:tc>
            </w:tr>
            <w:tr w14:paraId="253AB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024EC0A2">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2025年5月</w:t>
                  </w:r>
                </w:p>
              </w:tc>
              <w:tc>
                <w:tcPr>
                  <w:tcW w:w="1088" w:type="dxa"/>
                  <w:vAlign w:val="center"/>
                </w:tcPr>
                <w:p w14:paraId="1FE61B00">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w:t>
                  </w:r>
                </w:p>
              </w:tc>
              <w:tc>
                <w:tcPr>
                  <w:tcW w:w="1012" w:type="dxa"/>
                  <w:vAlign w:val="center"/>
                </w:tcPr>
                <w:p w14:paraId="550FA05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w:t>
                  </w:r>
                </w:p>
              </w:tc>
              <w:tc>
                <w:tcPr>
                  <w:tcW w:w="988" w:type="dxa"/>
                  <w:vAlign w:val="center"/>
                </w:tcPr>
                <w:p w14:paraId="726A4EF0">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20</w:t>
                  </w:r>
                </w:p>
              </w:tc>
              <w:tc>
                <w:tcPr>
                  <w:tcW w:w="1000" w:type="dxa"/>
                  <w:vAlign w:val="center"/>
                </w:tcPr>
                <w:p w14:paraId="39B592A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0.6</w:t>
                  </w:r>
                </w:p>
              </w:tc>
              <w:tc>
                <w:tcPr>
                  <w:tcW w:w="1197" w:type="dxa"/>
                  <w:vAlign w:val="center"/>
                </w:tcPr>
                <w:p w14:paraId="09F468D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100</w:t>
                  </w:r>
                </w:p>
              </w:tc>
              <w:tc>
                <w:tcPr>
                  <w:tcW w:w="700" w:type="dxa"/>
                  <w:vAlign w:val="center"/>
                </w:tcPr>
                <w:p w14:paraId="012E580A">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14</w:t>
                  </w:r>
                </w:p>
              </w:tc>
            </w:tr>
            <w:tr w14:paraId="799EE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5C606B57">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2025年6月</w:t>
                  </w:r>
                </w:p>
              </w:tc>
              <w:tc>
                <w:tcPr>
                  <w:tcW w:w="1088" w:type="dxa"/>
                  <w:vAlign w:val="center"/>
                </w:tcPr>
                <w:p w14:paraId="09B7724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w:t>
                  </w:r>
                </w:p>
              </w:tc>
              <w:tc>
                <w:tcPr>
                  <w:tcW w:w="1012" w:type="dxa"/>
                  <w:vAlign w:val="center"/>
                </w:tcPr>
                <w:p w14:paraId="4FA60DF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w:t>
                  </w:r>
                </w:p>
              </w:tc>
              <w:tc>
                <w:tcPr>
                  <w:tcW w:w="988" w:type="dxa"/>
                  <w:vAlign w:val="center"/>
                </w:tcPr>
                <w:p w14:paraId="2F9E3C9E">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15</w:t>
                  </w:r>
                </w:p>
              </w:tc>
              <w:tc>
                <w:tcPr>
                  <w:tcW w:w="1000" w:type="dxa"/>
                  <w:vAlign w:val="center"/>
                </w:tcPr>
                <w:p w14:paraId="188B1626">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0.6</w:t>
                  </w:r>
                </w:p>
              </w:tc>
              <w:tc>
                <w:tcPr>
                  <w:tcW w:w="1197" w:type="dxa"/>
                  <w:vAlign w:val="center"/>
                </w:tcPr>
                <w:p w14:paraId="68CD466F">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86</w:t>
                  </w:r>
                </w:p>
              </w:tc>
              <w:tc>
                <w:tcPr>
                  <w:tcW w:w="700" w:type="dxa"/>
                  <w:vAlign w:val="center"/>
                </w:tcPr>
                <w:p w14:paraId="3398FF8C">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r>
            <w:tr w14:paraId="6A85B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79F4046E">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2025年7月</w:t>
                  </w:r>
                </w:p>
              </w:tc>
              <w:tc>
                <w:tcPr>
                  <w:tcW w:w="1088" w:type="dxa"/>
                  <w:vAlign w:val="center"/>
                </w:tcPr>
                <w:p w14:paraId="289B863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w:t>
                  </w:r>
                </w:p>
              </w:tc>
              <w:tc>
                <w:tcPr>
                  <w:tcW w:w="1012" w:type="dxa"/>
                  <w:vAlign w:val="center"/>
                </w:tcPr>
                <w:p w14:paraId="1786C1C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6</w:t>
                  </w:r>
                </w:p>
              </w:tc>
              <w:tc>
                <w:tcPr>
                  <w:tcW w:w="988" w:type="dxa"/>
                  <w:vAlign w:val="center"/>
                </w:tcPr>
                <w:p w14:paraId="21E338A6">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18</w:t>
                  </w:r>
                </w:p>
              </w:tc>
              <w:tc>
                <w:tcPr>
                  <w:tcW w:w="1000" w:type="dxa"/>
                  <w:vAlign w:val="center"/>
                </w:tcPr>
                <w:p w14:paraId="15145F22">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7BA78575">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84</w:t>
                  </w:r>
                </w:p>
              </w:tc>
              <w:tc>
                <w:tcPr>
                  <w:tcW w:w="700" w:type="dxa"/>
                  <w:vAlign w:val="center"/>
                </w:tcPr>
                <w:p w14:paraId="5833CD8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r>
            <w:tr w14:paraId="3BF51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593726C6">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2025年8月</w:t>
                  </w:r>
                </w:p>
              </w:tc>
              <w:tc>
                <w:tcPr>
                  <w:tcW w:w="1088" w:type="dxa"/>
                  <w:vAlign w:val="center"/>
                </w:tcPr>
                <w:p w14:paraId="6EF54F2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9</w:t>
                  </w:r>
                </w:p>
              </w:tc>
              <w:tc>
                <w:tcPr>
                  <w:tcW w:w="1012" w:type="dxa"/>
                  <w:vAlign w:val="center"/>
                </w:tcPr>
                <w:p w14:paraId="5F08256C">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6</w:t>
                  </w:r>
                </w:p>
              </w:tc>
              <w:tc>
                <w:tcPr>
                  <w:tcW w:w="988" w:type="dxa"/>
                  <w:vAlign w:val="center"/>
                </w:tcPr>
                <w:p w14:paraId="2B8C9FE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14</w:t>
                  </w:r>
                </w:p>
              </w:tc>
              <w:tc>
                <w:tcPr>
                  <w:tcW w:w="1000" w:type="dxa"/>
                  <w:vAlign w:val="center"/>
                </w:tcPr>
                <w:p w14:paraId="65DFD2CC">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06</w:t>
                  </w:r>
                </w:p>
              </w:tc>
              <w:tc>
                <w:tcPr>
                  <w:tcW w:w="1197" w:type="dxa"/>
                  <w:vAlign w:val="center"/>
                </w:tcPr>
                <w:p w14:paraId="6341616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75</w:t>
                  </w:r>
                </w:p>
              </w:tc>
              <w:tc>
                <w:tcPr>
                  <w:tcW w:w="700" w:type="dxa"/>
                  <w:vAlign w:val="center"/>
                </w:tcPr>
                <w:p w14:paraId="76C388E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9</w:t>
                  </w:r>
                </w:p>
              </w:tc>
            </w:tr>
            <w:tr w14:paraId="3DA47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28B5852D">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2025年9月</w:t>
                  </w:r>
                </w:p>
              </w:tc>
              <w:tc>
                <w:tcPr>
                  <w:tcW w:w="1088" w:type="dxa"/>
                  <w:vAlign w:val="center"/>
                </w:tcPr>
                <w:p w14:paraId="138E8943">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9</w:t>
                  </w:r>
                </w:p>
              </w:tc>
              <w:tc>
                <w:tcPr>
                  <w:tcW w:w="1012" w:type="dxa"/>
                  <w:vAlign w:val="center"/>
                </w:tcPr>
                <w:p w14:paraId="75D71B0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6</w:t>
                  </w:r>
                </w:p>
              </w:tc>
              <w:tc>
                <w:tcPr>
                  <w:tcW w:w="988" w:type="dxa"/>
                  <w:vAlign w:val="center"/>
                </w:tcPr>
                <w:p w14:paraId="73683E25">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13</w:t>
                  </w:r>
                </w:p>
              </w:tc>
              <w:tc>
                <w:tcPr>
                  <w:tcW w:w="1000" w:type="dxa"/>
                  <w:vAlign w:val="center"/>
                </w:tcPr>
                <w:p w14:paraId="75D93D9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36529BB0">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60</w:t>
                  </w:r>
                </w:p>
              </w:tc>
              <w:tc>
                <w:tcPr>
                  <w:tcW w:w="700" w:type="dxa"/>
                  <w:vAlign w:val="center"/>
                </w:tcPr>
                <w:p w14:paraId="4E2FF985">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w:t>
                  </w:r>
                </w:p>
              </w:tc>
            </w:tr>
            <w:tr w14:paraId="3B6E6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46F28452">
                  <w:pPr>
                    <w:widowControl/>
                    <w:spacing w:line="240" w:lineRule="auto"/>
                    <w:ind w:firstLine="0" w:firstLineChars="0"/>
                    <w:jc w:val="both"/>
                    <w:rPr>
                      <w:rFonts w:hint="eastAsia"/>
                      <w:color w:val="auto"/>
                      <w:kern w:val="0"/>
                      <w:sz w:val="21"/>
                      <w:szCs w:val="21"/>
                      <w:lang w:val="en-US" w:eastAsia="zh-CN" w:bidi="ar"/>
                    </w:rPr>
                  </w:pPr>
                  <w:r>
                    <w:rPr>
                      <w:rFonts w:hint="eastAsia"/>
                      <w:color w:val="auto"/>
                      <w:kern w:val="0"/>
                      <w:sz w:val="21"/>
                      <w:szCs w:val="21"/>
                      <w:lang w:val="en-US" w:eastAsia="zh-CN" w:bidi="ar"/>
                    </w:rPr>
                    <w:t>2025年10月</w:t>
                  </w:r>
                </w:p>
              </w:tc>
              <w:tc>
                <w:tcPr>
                  <w:tcW w:w="1088" w:type="dxa"/>
                  <w:vAlign w:val="center"/>
                </w:tcPr>
                <w:p w14:paraId="2B60CD82">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9</w:t>
                  </w:r>
                </w:p>
              </w:tc>
              <w:tc>
                <w:tcPr>
                  <w:tcW w:w="1012" w:type="dxa"/>
                  <w:vAlign w:val="center"/>
                </w:tcPr>
                <w:p w14:paraId="482BD152">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w:t>
                  </w:r>
                </w:p>
              </w:tc>
              <w:tc>
                <w:tcPr>
                  <w:tcW w:w="988" w:type="dxa"/>
                  <w:vAlign w:val="center"/>
                </w:tcPr>
                <w:p w14:paraId="5E08EC2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15</w:t>
                  </w:r>
                </w:p>
              </w:tc>
              <w:tc>
                <w:tcPr>
                  <w:tcW w:w="1000" w:type="dxa"/>
                  <w:vAlign w:val="center"/>
                </w:tcPr>
                <w:p w14:paraId="4F24BC22">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15DA6CD2">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54</w:t>
                  </w:r>
                </w:p>
              </w:tc>
              <w:tc>
                <w:tcPr>
                  <w:tcW w:w="700" w:type="dxa"/>
                  <w:vAlign w:val="center"/>
                </w:tcPr>
                <w:p w14:paraId="3077468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r>
            <w:tr w14:paraId="67716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269EECBD">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2025年11月</w:t>
                  </w:r>
                </w:p>
              </w:tc>
              <w:tc>
                <w:tcPr>
                  <w:tcW w:w="1088" w:type="dxa"/>
                  <w:vAlign w:val="center"/>
                </w:tcPr>
                <w:p w14:paraId="3564DD6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c>
                <w:tcPr>
                  <w:tcW w:w="1012" w:type="dxa"/>
                  <w:vAlign w:val="center"/>
                </w:tcPr>
                <w:p w14:paraId="66BCBC2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9</w:t>
                  </w:r>
                </w:p>
              </w:tc>
              <w:tc>
                <w:tcPr>
                  <w:tcW w:w="988" w:type="dxa"/>
                  <w:vAlign w:val="center"/>
                </w:tcPr>
                <w:p w14:paraId="0B5AB873">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18</w:t>
                  </w:r>
                </w:p>
              </w:tc>
              <w:tc>
                <w:tcPr>
                  <w:tcW w:w="1000" w:type="dxa"/>
                  <w:vAlign w:val="center"/>
                </w:tcPr>
                <w:p w14:paraId="6C2A00B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0.6</w:t>
                  </w:r>
                </w:p>
              </w:tc>
              <w:tc>
                <w:tcPr>
                  <w:tcW w:w="1197" w:type="dxa"/>
                  <w:vAlign w:val="center"/>
                </w:tcPr>
                <w:p w14:paraId="11077576">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60</w:t>
                  </w:r>
                </w:p>
              </w:tc>
              <w:tc>
                <w:tcPr>
                  <w:tcW w:w="700" w:type="dxa"/>
                  <w:vAlign w:val="center"/>
                </w:tcPr>
                <w:p w14:paraId="424035DA">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12</w:t>
                  </w:r>
                </w:p>
              </w:tc>
            </w:tr>
            <w:tr w14:paraId="70F72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67D8032D">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2025年12月</w:t>
                  </w:r>
                </w:p>
              </w:tc>
              <w:tc>
                <w:tcPr>
                  <w:tcW w:w="1088" w:type="dxa"/>
                  <w:vAlign w:val="center"/>
                </w:tcPr>
                <w:p w14:paraId="0312D8B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11</w:t>
                  </w:r>
                </w:p>
              </w:tc>
              <w:tc>
                <w:tcPr>
                  <w:tcW w:w="1012" w:type="dxa"/>
                  <w:vAlign w:val="center"/>
                </w:tcPr>
                <w:p w14:paraId="539D530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13</w:t>
                  </w:r>
                </w:p>
              </w:tc>
              <w:tc>
                <w:tcPr>
                  <w:tcW w:w="988" w:type="dxa"/>
                  <w:vAlign w:val="center"/>
                </w:tcPr>
                <w:p w14:paraId="422FDB2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26</w:t>
                  </w:r>
                </w:p>
              </w:tc>
              <w:tc>
                <w:tcPr>
                  <w:tcW w:w="1000" w:type="dxa"/>
                  <w:vAlign w:val="center"/>
                </w:tcPr>
                <w:p w14:paraId="2213D60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26C1310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74</w:t>
                  </w:r>
                </w:p>
              </w:tc>
              <w:tc>
                <w:tcPr>
                  <w:tcW w:w="700" w:type="dxa"/>
                  <w:vAlign w:val="center"/>
                </w:tcPr>
                <w:p w14:paraId="22632CA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18</w:t>
                  </w:r>
                </w:p>
              </w:tc>
            </w:tr>
            <w:tr w14:paraId="35758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15B3FCC2">
                  <w:pPr>
                    <w:widowControl/>
                    <w:spacing w:line="240" w:lineRule="auto"/>
                    <w:ind w:firstLine="0" w:firstLineChars="0"/>
                    <w:jc w:val="center"/>
                    <w:rPr>
                      <w:rFonts w:hint="default"/>
                      <w:color w:val="auto"/>
                      <w:kern w:val="0"/>
                      <w:sz w:val="21"/>
                      <w:szCs w:val="21"/>
                      <w:lang w:val="en-US" w:eastAsia="zh-CN" w:bidi="ar"/>
                    </w:rPr>
                  </w:pPr>
                  <w:r>
                    <w:rPr>
                      <w:rFonts w:hint="eastAsia"/>
                      <w:color w:val="auto"/>
                      <w:kern w:val="0"/>
                      <w:sz w:val="21"/>
                      <w:szCs w:val="21"/>
                      <w:lang w:val="en-US" w:eastAsia="zh-CN" w:bidi="ar"/>
                    </w:rPr>
                    <w:t>2026年1月</w:t>
                  </w:r>
                </w:p>
              </w:tc>
              <w:tc>
                <w:tcPr>
                  <w:tcW w:w="1088" w:type="dxa"/>
                  <w:vAlign w:val="center"/>
                </w:tcPr>
                <w:p w14:paraId="2FD8D5B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12</w:t>
                  </w:r>
                </w:p>
              </w:tc>
              <w:tc>
                <w:tcPr>
                  <w:tcW w:w="1012" w:type="dxa"/>
                  <w:vAlign w:val="center"/>
                </w:tcPr>
                <w:p w14:paraId="0292C51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12</w:t>
                  </w:r>
                </w:p>
              </w:tc>
              <w:tc>
                <w:tcPr>
                  <w:tcW w:w="988" w:type="dxa"/>
                  <w:vAlign w:val="center"/>
                </w:tcPr>
                <w:p w14:paraId="73A443F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27</w:t>
                  </w:r>
                </w:p>
              </w:tc>
              <w:tc>
                <w:tcPr>
                  <w:tcW w:w="1000" w:type="dxa"/>
                  <w:vAlign w:val="center"/>
                </w:tcPr>
                <w:p w14:paraId="103C5593">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3B9CF01B">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80</w:t>
                  </w:r>
                </w:p>
              </w:tc>
              <w:tc>
                <w:tcPr>
                  <w:tcW w:w="700" w:type="dxa"/>
                  <w:vAlign w:val="center"/>
                </w:tcPr>
                <w:p w14:paraId="42209B3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19</w:t>
                  </w:r>
                </w:p>
              </w:tc>
            </w:tr>
            <w:tr w14:paraId="5AE67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1AAE662A">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2026年2月</w:t>
                  </w:r>
                </w:p>
              </w:tc>
              <w:tc>
                <w:tcPr>
                  <w:tcW w:w="1088" w:type="dxa"/>
                  <w:vAlign w:val="center"/>
                </w:tcPr>
                <w:p w14:paraId="6E3AEB6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4</w:t>
                  </w:r>
                </w:p>
              </w:tc>
              <w:tc>
                <w:tcPr>
                  <w:tcW w:w="1012" w:type="dxa"/>
                  <w:vAlign w:val="center"/>
                </w:tcPr>
                <w:p w14:paraId="416DAD35">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c>
                <w:tcPr>
                  <w:tcW w:w="988" w:type="dxa"/>
                  <w:vAlign w:val="center"/>
                </w:tcPr>
                <w:p w14:paraId="29CFE5FE">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38</w:t>
                  </w:r>
                </w:p>
              </w:tc>
              <w:tc>
                <w:tcPr>
                  <w:tcW w:w="1000" w:type="dxa"/>
                  <w:vAlign w:val="center"/>
                </w:tcPr>
                <w:p w14:paraId="0BD596A9">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0.7</w:t>
                  </w:r>
                </w:p>
              </w:tc>
              <w:tc>
                <w:tcPr>
                  <w:tcW w:w="1197" w:type="dxa"/>
                  <w:vAlign w:val="center"/>
                </w:tcPr>
                <w:p w14:paraId="764E9DFA">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103</w:t>
                  </w:r>
                </w:p>
              </w:tc>
              <w:tc>
                <w:tcPr>
                  <w:tcW w:w="700" w:type="dxa"/>
                  <w:vAlign w:val="center"/>
                </w:tcPr>
                <w:p w14:paraId="083868C7">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29</w:t>
                  </w:r>
                </w:p>
              </w:tc>
            </w:tr>
            <w:tr w14:paraId="05AA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dxa"/>
                  <w:vAlign w:val="center"/>
                </w:tcPr>
                <w:p w14:paraId="06A5410E">
                  <w:pPr>
                    <w:widowControl/>
                    <w:spacing w:line="240" w:lineRule="auto"/>
                    <w:ind w:firstLine="0" w:firstLineChars="0"/>
                    <w:jc w:val="center"/>
                    <w:rPr>
                      <w:rFonts w:hint="eastAsia"/>
                      <w:color w:val="auto"/>
                      <w:kern w:val="0"/>
                      <w:sz w:val="21"/>
                      <w:szCs w:val="21"/>
                      <w:lang w:val="en-US" w:eastAsia="zh-CN" w:bidi="ar"/>
                    </w:rPr>
                  </w:pPr>
                  <w:r>
                    <w:rPr>
                      <w:rFonts w:hint="eastAsia"/>
                      <w:color w:val="auto"/>
                      <w:kern w:val="0"/>
                      <w:sz w:val="21"/>
                      <w:szCs w:val="21"/>
                      <w:lang w:val="en-US" w:eastAsia="zh-CN" w:bidi="ar"/>
                    </w:rPr>
                    <w:t>2026年3月</w:t>
                  </w:r>
                </w:p>
              </w:tc>
              <w:tc>
                <w:tcPr>
                  <w:tcW w:w="1088" w:type="dxa"/>
                  <w:vAlign w:val="center"/>
                </w:tcPr>
                <w:p w14:paraId="7943DAE6">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13</w:t>
                  </w:r>
                </w:p>
              </w:tc>
              <w:tc>
                <w:tcPr>
                  <w:tcW w:w="1012" w:type="dxa"/>
                  <w:vAlign w:val="center"/>
                </w:tcPr>
                <w:p w14:paraId="5B1F78C1">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10</w:t>
                  </w:r>
                </w:p>
              </w:tc>
              <w:tc>
                <w:tcPr>
                  <w:tcW w:w="988" w:type="dxa"/>
                  <w:vAlign w:val="center"/>
                </w:tcPr>
                <w:p w14:paraId="015F83E6">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39</w:t>
                  </w:r>
                </w:p>
              </w:tc>
              <w:tc>
                <w:tcPr>
                  <w:tcW w:w="1000" w:type="dxa"/>
                  <w:vAlign w:val="center"/>
                </w:tcPr>
                <w:p w14:paraId="0A14230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0.8</w:t>
                  </w:r>
                </w:p>
              </w:tc>
              <w:tc>
                <w:tcPr>
                  <w:tcW w:w="1197" w:type="dxa"/>
                  <w:vAlign w:val="center"/>
                </w:tcPr>
                <w:p w14:paraId="7C2A59B3">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120</w:t>
                  </w:r>
                </w:p>
              </w:tc>
              <w:tc>
                <w:tcPr>
                  <w:tcW w:w="700" w:type="dxa"/>
                  <w:vAlign w:val="center"/>
                </w:tcPr>
                <w:p w14:paraId="631FA47D">
                  <w:pPr>
                    <w:widowControl/>
                    <w:spacing w:line="240" w:lineRule="auto"/>
                    <w:ind w:firstLine="0" w:firstLineChars="0"/>
                    <w:jc w:val="center"/>
                    <w:rPr>
                      <w:rFonts w:hint="eastAsia"/>
                      <w:color w:val="auto"/>
                      <w:kern w:val="0"/>
                      <w:sz w:val="21"/>
                      <w:szCs w:val="21"/>
                      <w:lang w:bidi="ar"/>
                    </w:rPr>
                  </w:pPr>
                  <w:r>
                    <w:rPr>
                      <w:rFonts w:hint="eastAsia"/>
                      <w:color w:val="auto"/>
                      <w:kern w:val="0"/>
                      <w:sz w:val="21"/>
                      <w:szCs w:val="21"/>
                      <w:lang w:bidi="ar"/>
                    </w:rPr>
                    <w:t>29</w:t>
                  </w:r>
                </w:p>
              </w:tc>
            </w:tr>
            <w:tr w14:paraId="6BC23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488" w:type="dxa"/>
                  <w:vAlign w:val="center"/>
                </w:tcPr>
                <w:p w14:paraId="45904490">
                  <w:pPr>
                    <w:widowControl/>
                    <w:spacing w:line="240" w:lineRule="auto"/>
                    <w:ind w:firstLine="0" w:firstLineChars="0"/>
                    <w:jc w:val="center"/>
                    <w:rPr>
                      <w:color w:val="auto"/>
                      <w:kern w:val="0"/>
                      <w:sz w:val="21"/>
                      <w:szCs w:val="21"/>
                      <w:lang w:bidi="ar"/>
                    </w:rPr>
                  </w:pPr>
                  <w:r>
                    <w:rPr>
                      <w:color w:val="auto"/>
                      <w:kern w:val="0"/>
                      <w:sz w:val="21"/>
                      <w:szCs w:val="21"/>
                      <w:lang w:bidi="ar"/>
                    </w:rPr>
                    <w:t>标准值</w:t>
                  </w:r>
                </w:p>
              </w:tc>
              <w:tc>
                <w:tcPr>
                  <w:tcW w:w="1088" w:type="dxa"/>
                  <w:vAlign w:val="center"/>
                </w:tcPr>
                <w:p w14:paraId="496EAC60">
                  <w:pPr>
                    <w:widowControl/>
                    <w:spacing w:line="240" w:lineRule="auto"/>
                    <w:ind w:firstLine="0" w:firstLineChars="0"/>
                    <w:jc w:val="center"/>
                    <w:rPr>
                      <w:rFonts w:hint="default" w:eastAsia="宋体"/>
                      <w:color w:val="auto"/>
                      <w:kern w:val="0"/>
                      <w:sz w:val="21"/>
                      <w:szCs w:val="21"/>
                      <w:lang w:val="en-US" w:eastAsia="zh-CN" w:bidi="ar"/>
                    </w:rPr>
                  </w:pPr>
                  <w:r>
                    <w:rPr>
                      <w:rFonts w:hint="eastAsia"/>
                      <w:color w:val="auto"/>
                      <w:kern w:val="0"/>
                      <w:sz w:val="21"/>
                      <w:szCs w:val="21"/>
                      <w:lang w:val="en-US" w:eastAsia="zh-CN" w:bidi="ar"/>
                    </w:rPr>
                    <w:t>50</w:t>
                  </w:r>
                </w:p>
              </w:tc>
              <w:tc>
                <w:tcPr>
                  <w:tcW w:w="1012" w:type="dxa"/>
                  <w:vAlign w:val="center"/>
                </w:tcPr>
                <w:p w14:paraId="0298397C">
                  <w:pPr>
                    <w:widowControl/>
                    <w:spacing w:line="240" w:lineRule="auto"/>
                    <w:ind w:firstLine="0" w:firstLineChars="0"/>
                    <w:jc w:val="center"/>
                    <w:rPr>
                      <w:rFonts w:hint="default" w:eastAsia="宋体"/>
                      <w:color w:val="auto"/>
                      <w:kern w:val="0"/>
                      <w:sz w:val="21"/>
                      <w:szCs w:val="21"/>
                      <w:lang w:val="en-US" w:eastAsia="zh-CN" w:bidi="ar"/>
                    </w:rPr>
                  </w:pPr>
                  <w:r>
                    <w:rPr>
                      <w:rFonts w:hint="eastAsia"/>
                      <w:color w:val="auto"/>
                      <w:kern w:val="0"/>
                      <w:sz w:val="21"/>
                      <w:szCs w:val="21"/>
                      <w:lang w:val="en-US" w:eastAsia="zh-CN" w:bidi="ar"/>
                    </w:rPr>
                    <w:t>30</w:t>
                  </w:r>
                </w:p>
              </w:tc>
              <w:tc>
                <w:tcPr>
                  <w:tcW w:w="988" w:type="dxa"/>
                  <w:vAlign w:val="center"/>
                </w:tcPr>
                <w:p w14:paraId="3122CA68">
                  <w:pPr>
                    <w:widowControl/>
                    <w:spacing w:line="240" w:lineRule="auto"/>
                    <w:ind w:firstLine="0" w:firstLineChars="0"/>
                    <w:jc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100</w:t>
                  </w:r>
                </w:p>
              </w:tc>
              <w:tc>
                <w:tcPr>
                  <w:tcW w:w="1000" w:type="dxa"/>
                  <w:vAlign w:val="center"/>
                </w:tcPr>
                <w:p w14:paraId="294977DF">
                  <w:pPr>
                    <w:widowControl/>
                    <w:spacing w:line="240" w:lineRule="auto"/>
                    <w:ind w:firstLine="0" w:firstLineChars="0"/>
                    <w:jc w:val="center"/>
                    <w:rPr>
                      <w:color w:val="auto"/>
                      <w:kern w:val="0"/>
                      <w:sz w:val="21"/>
                      <w:szCs w:val="21"/>
                      <w:lang w:bidi="ar"/>
                    </w:rPr>
                  </w:pPr>
                  <w:r>
                    <w:rPr>
                      <w:color w:val="auto"/>
                      <w:kern w:val="0"/>
                      <w:sz w:val="21"/>
                      <w:szCs w:val="21"/>
                      <w:lang w:bidi="ar"/>
                    </w:rPr>
                    <w:t>4</w:t>
                  </w:r>
                </w:p>
              </w:tc>
              <w:tc>
                <w:tcPr>
                  <w:tcW w:w="1197" w:type="dxa"/>
                  <w:vAlign w:val="center"/>
                </w:tcPr>
                <w:p w14:paraId="77186E04">
                  <w:pPr>
                    <w:widowControl/>
                    <w:spacing w:line="240" w:lineRule="auto"/>
                    <w:ind w:firstLine="0" w:firstLineChars="0"/>
                    <w:jc w:val="center"/>
                    <w:rPr>
                      <w:color w:val="auto"/>
                      <w:kern w:val="0"/>
                      <w:sz w:val="21"/>
                      <w:szCs w:val="21"/>
                      <w:lang w:bidi="ar"/>
                    </w:rPr>
                  </w:pPr>
                  <w:r>
                    <w:rPr>
                      <w:color w:val="auto"/>
                      <w:kern w:val="0"/>
                      <w:sz w:val="21"/>
                      <w:szCs w:val="21"/>
                      <w:lang w:bidi="ar"/>
                    </w:rPr>
                    <w:t>160</w:t>
                  </w:r>
                </w:p>
              </w:tc>
              <w:tc>
                <w:tcPr>
                  <w:tcW w:w="700" w:type="dxa"/>
                  <w:vAlign w:val="center"/>
                </w:tcPr>
                <w:p w14:paraId="5795EF67">
                  <w:pPr>
                    <w:widowControl/>
                    <w:spacing w:line="240" w:lineRule="auto"/>
                    <w:ind w:firstLine="0" w:firstLineChars="0"/>
                    <w:jc w:val="center"/>
                    <w:rPr>
                      <w:rFonts w:hint="default" w:eastAsia="宋体"/>
                      <w:color w:val="auto"/>
                      <w:kern w:val="0"/>
                      <w:sz w:val="21"/>
                      <w:szCs w:val="21"/>
                      <w:lang w:val="en-US" w:eastAsia="zh-CN" w:bidi="ar"/>
                    </w:rPr>
                  </w:pPr>
                  <w:r>
                    <w:rPr>
                      <w:rFonts w:hint="eastAsia"/>
                      <w:color w:val="auto"/>
                      <w:kern w:val="0"/>
                      <w:sz w:val="21"/>
                      <w:szCs w:val="21"/>
                      <w:lang w:val="en-US" w:eastAsia="zh-CN" w:bidi="ar"/>
                    </w:rPr>
                    <w:t>50</w:t>
                  </w:r>
                </w:p>
              </w:tc>
            </w:tr>
            <w:tr w14:paraId="5BE3F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488" w:type="dxa"/>
                  <w:vAlign w:val="center"/>
                </w:tcPr>
                <w:p w14:paraId="2CF3C415">
                  <w:pPr>
                    <w:widowControl/>
                    <w:spacing w:line="240" w:lineRule="auto"/>
                    <w:ind w:firstLine="0" w:firstLineChars="0"/>
                    <w:jc w:val="center"/>
                    <w:rPr>
                      <w:color w:val="auto"/>
                      <w:kern w:val="0"/>
                      <w:sz w:val="21"/>
                      <w:szCs w:val="21"/>
                      <w:lang w:bidi="ar"/>
                    </w:rPr>
                  </w:pPr>
                  <w:r>
                    <w:rPr>
                      <w:color w:val="auto"/>
                      <w:kern w:val="0"/>
                      <w:sz w:val="21"/>
                      <w:szCs w:val="21"/>
                      <w:lang w:bidi="ar"/>
                    </w:rPr>
                    <w:t>达标情况</w:t>
                  </w:r>
                </w:p>
              </w:tc>
              <w:tc>
                <w:tcPr>
                  <w:tcW w:w="1088" w:type="dxa"/>
                  <w:vAlign w:val="center"/>
                </w:tcPr>
                <w:p w14:paraId="0DD0DA6E">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c>
                <w:tcPr>
                  <w:tcW w:w="1012" w:type="dxa"/>
                  <w:vAlign w:val="center"/>
                </w:tcPr>
                <w:p w14:paraId="2713F18E">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c>
                <w:tcPr>
                  <w:tcW w:w="988" w:type="dxa"/>
                  <w:vAlign w:val="center"/>
                </w:tcPr>
                <w:p w14:paraId="1E59F898">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c>
                <w:tcPr>
                  <w:tcW w:w="1000" w:type="dxa"/>
                  <w:vAlign w:val="center"/>
                </w:tcPr>
                <w:p w14:paraId="72A17719">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c>
                <w:tcPr>
                  <w:tcW w:w="1197" w:type="dxa"/>
                  <w:vAlign w:val="center"/>
                </w:tcPr>
                <w:p w14:paraId="499C10A9">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c>
                <w:tcPr>
                  <w:tcW w:w="700" w:type="dxa"/>
                  <w:vAlign w:val="center"/>
                </w:tcPr>
                <w:p w14:paraId="4BA1F38F">
                  <w:pPr>
                    <w:widowControl/>
                    <w:spacing w:line="240" w:lineRule="auto"/>
                    <w:ind w:firstLine="0" w:firstLineChars="0"/>
                    <w:jc w:val="center"/>
                    <w:rPr>
                      <w:color w:val="auto"/>
                      <w:kern w:val="0"/>
                      <w:sz w:val="21"/>
                      <w:szCs w:val="21"/>
                      <w:lang w:bidi="ar"/>
                    </w:rPr>
                  </w:pPr>
                  <w:r>
                    <w:rPr>
                      <w:color w:val="auto"/>
                      <w:kern w:val="0"/>
                      <w:sz w:val="21"/>
                      <w:szCs w:val="21"/>
                      <w:lang w:bidi="ar"/>
                    </w:rPr>
                    <w:t>达标</w:t>
                  </w:r>
                </w:p>
              </w:tc>
            </w:tr>
          </w:tbl>
          <w:p w14:paraId="18950A90">
            <w:pPr>
              <w:ind w:firstLine="480"/>
              <w:rPr>
                <w:color w:val="auto"/>
                <w:szCs w:val="24"/>
              </w:rPr>
            </w:pPr>
            <w:r>
              <w:rPr>
                <w:color w:val="auto"/>
                <w:szCs w:val="24"/>
              </w:rPr>
              <w:t>由上表统计可知，项目区环境空气质量可达到《环境空气质量标准》（GB3095-</w:t>
            </w:r>
            <w:r>
              <w:rPr>
                <w:rFonts w:hint="eastAsia"/>
                <w:color w:val="auto"/>
                <w:szCs w:val="24"/>
                <w:lang w:val="en-US" w:eastAsia="zh-CN"/>
              </w:rPr>
              <w:t>2026</w:t>
            </w:r>
            <w:r>
              <w:rPr>
                <w:color w:val="auto"/>
                <w:szCs w:val="24"/>
              </w:rPr>
              <w:t>）二级标准，因此项目区域为环境质量达标区。</w:t>
            </w:r>
          </w:p>
          <w:p w14:paraId="7AF00666">
            <w:pPr>
              <w:ind w:firstLine="482"/>
              <w:rPr>
                <w:b/>
                <w:bCs/>
                <w:color w:val="auto"/>
              </w:rPr>
            </w:pPr>
            <w:r>
              <w:rPr>
                <w:b/>
                <w:bCs/>
                <w:color w:val="auto"/>
              </w:rPr>
              <w:t>特征污染物</w:t>
            </w:r>
          </w:p>
          <w:p w14:paraId="38AD8B05">
            <w:pPr>
              <w:ind w:firstLine="480"/>
              <w:rPr>
                <w:color w:val="auto"/>
                <w:highlight w:val="none"/>
              </w:rPr>
            </w:pPr>
            <w:r>
              <w:rPr>
                <w:color w:val="auto"/>
                <w:szCs w:val="24"/>
                <w:highlight w:val="none"/>
              </w:rPr>
              <w:t>为调查本</w:t>
            </w:r>
            <w:r>
              <w:rPr>
                <w:rFonts w:hint="eastAsia"/>
                <w:color w:val="auto"/>
                <w:szCs w:val="24"/>
                <w:highlight w:val="none"/>
                <w:lang w:val="en-US" w:eastAsia="zh-CN"/>
              </w:rPr>
              <w:t>扩建</w:t>
            </w:r>
            <w:r>
              <w:rPr>
                <w:color w:val="auto"/>
                <w:szCs w:val="24"/>
                <w:highlight w:val="none"/>
              </w:rPr>
              <w:t>项目所在地特征污染NH</w:t>
            </w:r>
            <w:r>
              <w:rPr>
                <w:color w:val="auto"/>
                <w:szCs w:val="24"/>
                <w:highlight w:val="none"/>
                <w:vertAlign w:val="subscript"/>
              </w:rPr>
              <w:t>3</w:t>
            </w:r>
            <w:r>
              <w:rPr>
                <w:color w:val="auto"/>
                <w:szCs w:val="24"/>
                <w:highlight w:val="none"/>
              </w:rPr>
              <w:t>、H</w:t>
            </w:r>
            <w:r>
              <w:rPr>
                <w:color w:val="auto"/>
                <w:szCs w:val="24"/>
                <w:highlight w:val="none"/>
                <w:vertAlign w:val="subscript"/>
              </w:rPr>
              <w:t>2</w:t>
            </w:r>
            <w:r>
              <w:rPr>
                <w:color w:val="auto"/>
                <w:szCs w:val="24"/>
                <w:highlight w:val="none"/>
              </w:rPr>
              <w:t>S和臭气浓度</w:t>
            </w:r>
            <w:r>
              <w:rPr>
                <w:rFonts w:hint="eastAsia"/>
                <w:color w:val="auto"/>
                <w:szCs w:val="24"/>
                <w:highlight w:val="none"/>
                <w:lang w:val="en-US" w:eastAsia="zh-CN"/>
              </w:rPr>
              <w:t>及非甲烷总烃</w:t>
            </w:r>
            <w:r>
              <w:rPr>
                <w:color w:val="auto"/>
                <w:szCs w:val="24"/>
                <w:highlight w:val="none"/>
              </w:rPr>
              <w:t>环境现状，202</w:t>
            </w:r>
            <w:r>
              <w:rPr>
                <w:rFonts w:hint="eastAsia"/>
                <w:color w:val="auto"/>
                <w:szCs w:val="24"/>
                <w:highlight w:val="none"/>
                <w:lang w:val="en-US" w:eastAsia="zh-CN"/>
              </w:rPr>
              <w:t>5</w:t>
            </w:r>
            <w:r>
              <w:rPr>
                <w:color w:val="auto"/>
                <w:szCs w:val="24"/>
                <w:highlight w:val="none"/>
              </w:rPr>
              <w:t>年</w:t>
            </w:r>
            <w:r>
              <w:rPr>
                <w:rFonts w:hint="eastAsia"/>
                <w:color w:val="auto"/>
                <w:szCs w:val="24"/>
                <w:highlight w:val="none"/>
                <w:lang w:val="en-US" w:eastAsia="zh-CN"/>
              </w:rPr>
              <w:t>11</w:t>
            </w:r>
            <w:r>
              <w:rPr>
                <w:color w:val="auto"/>
                <w:szCs w:val="24"/>
                <w:highlight w:val="none"/>
              </w:rPr>
              <w:t>月</w:t>
            </w:r>
            <w:r>
              <w:rPr>
                <w:rFonts w:hint="eastAsia"/>
                <w:color w:val="auto"/>
                <w:szCs w:val="24"/>
                <w:highlight w:val="none"/>
                <w:lang w:val="en-US" w:eastAsia="zh-CN"/>
              </w:rPr>
              <w:t>15</w:t>
            </w:r>
            <w:r>
              <w:rPr>
                <w:color w:val="auto"/>
                <w:szCs w:val="24"/>
                <w:highlight w:val="none"/>
              </w:rPr>
              <w:t>～</w:t>
            </w:r>
            <w:r>
              <w:rPr>
                <w:rFonts w:hint="eastAsia"/>
                <w:color w:val="auto"/>
                <w:szCs w:val="24"/>
                <w:highlight w:val="none"/>
                <w:lang w:val="en-US" w:eastAsia="zh-CN"/>
              </w:rPr>
              <w:t>17</w:t>
            </w:r>
            <w:r>
              <w:rPr>
                <w:color w:val="auto"/>
                <w:szCs w:val="24"/>
                <w:highlight w:val="none"/>
              </w:rPr>
              <w:t>日，建设单位委托</w:t>
            </w:r>
            <w:r>
              <w:rPr>
                <w:rFonts w:hint="eastAsia" w:ascii="宋体" w:hAnsi="宋体"/>
                <w:b w:val="0"/>
                <w:bCs/>
                <w:color w:val="auto"/>
                <w:sz w:val="24"/>
                <w:szCs w:val="24"/>
                <w:highlight w:val="none"/>
                <w:lang w:eastAsia="zh-CN"/>
              </w:rPr>
              <w:t>云南环绿环境检测技术有限公司</w:t>
            </w:r>
            <w:r>
              <w:rPr>
                <w:color w:val="auto"/>
                <w:szCs w:val="24"/>
                <w:highlight w:val="none"/>
              </w:rPr>
              <w:t>对项目所在地环境质量进行监测，监测数据如下表。</w:t>
            </w:r>
          </w:p>
          <w:p w14:paraId="5C5FA6B6">
            <w:pPr>
              <w:pStyle w:val="2"/>
              <w:jc w:val="center"/>
              <w:rPr>
                <w:color w:val="auto"/>
              </w:rPr>
            </w:pPr>
            <w:r>
              <w:rPr>
                <w:b/>
                <w:bCs/>
                <w:color w:val="auto"/>
                <w:sz w:val="21"/>
                <w:szCs w:val="20"/>
                <w:highlight w:val="none"/>
              </w:rPr>
              <w:t>表3-2本项目特征污染因子监测结果与评价</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1412"/>
              <w:gridCol w:w="2757"/>
              <w:gridCol w:w="2757"/>
            </w:tblGrid>
            <w:tr w14:paraId="36674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5" w:type="pct"/>
                  <w:vMerge w:val="restart"/>
                  <w:vAlign w:val="center"/>
                </w:tcPr>
                <w:p w14:paraId="775716DF">
                  <w:pPr>
                    <w:spacing w:line="240" w:lineRule="auto"/>
                    <w:ind w:firstLine="0" w:firstLineChars="0"/>
                    <w:jc w:val="center"/>
                    <w:rPr>
                      <w:color w:val="auto"/>
                      <w:sz w:val="21"/>
                      <w:szCs w:val="21"/>
                      <w:highlight w:val="none"/>
                    </w:rPr>
                  </w:pPr>
                  <w:r>
                    <w:rPr>
                      <w:color w:val="auto"/>
                      <w:sz w:val="21"/>
                      <w:szCs w:val="21"/>
                      <w:highlight w:val="none"/>
                    </w:rPr>
                    <w:t>采样日期</w:t>
                  </w:r>
                </w:p>
              </w:tc>
              <w:tc>
                <w:tcPr>
                  <w:tcW w:w="900" w:type="pct"/>
                  <w:vMerge w:val="restart"/>
                  <w:vAlign w:val="center"/>
                </w:tcPr>
                <w:p w14:paraId="555CC7CD">
                  <w:pPr>
                    <w:spacing w:line="240" w:lineRule="auto"/>
                    <w:ind w:firstLine="0" w:firstLineChars="0"/>
                    <w:jc w:val="center"/>
                    <w:rPr>
                      <w:color w:val="auto"/>
                      <w:sz w:val="21"/>
                      <w:szCs w:val="21"/>
                      <w:highlight w:val="none"/>
                    </w:rPr>
                  </w:pPr>
                  <w:r>
                    <w:rPr>
                      <w:color w:val="auto"/>
                      <w:sz w:val="21"/>
                      <w:szCs w:val="21"/>
                      <w:highlight w:val="none"/>
                    </w:rPr>
                    <w:t>采样地点</w:t>
                  </w:r>
                </w:p>
              </w:tc>
              <w:tc>
                <w:tcPr>
                  <w:tcW w:w="1757" w:type="pct"/>
                  <w:vMerge w:val="restart"/>
                  <w:vAlign w:val="center"/>
                </w:tcPr>
                <w:p w14:paraId="530F451F">
                  <w:pPr>
                    <w:spacing w:line="240" w:lineRule="auto"/>
                    <w:ind w:firstLine="0" w:firstLineChars="0"/>
                    <w:jc w:val="center"/>
                    <w:rPr>
                      <w:color w:val="auto"/>
                      <w:sz w:val="21"/>
                      <w:szCs w:val="21"/>
                      <w:highlight w:val="none"/>
                    </w:rPr>
                  </w:pPr>
                  <w:r>
                    <w:rPr>
                      <w:color w:val="auto"/>
                      <w:sz w:val="21"/>
                      <w:szCs w:val="21"/>
                      <w:highlight w:val="none"/>
                    </w:rPr>
                    <w:t>样品编号</w:t>
                  </w:r>
                </w:p>
              </w:tc>
              <w:tc>
                <w:tcPr>
                  <w:tcW w:w="1757" w:type="pct"/>
                  <w:vMerge w:val="restart"/>
                  <w:vAlign w:val="center"/>
                </w:tcPr>
                <w:p w14:paraId="4C9E0C0D">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非甲烷总烃</w:t>
                  </w:r>
                  <w:r>
                    <w:rPr>
                      <w:rFonts w:hint="eastAsia"/>
                      <w:color w:val="auto"/>
                      <w:sz w:val="21"/>
                      <w:szCs w:val="21"/>
                      <w:highlight w:val="none"/>
                    </w:rPr>
                    <w:t>（</w:t>
                  </w:r>
                  <w:r>
                    <w:rPr>
                      <w:rFonts w:hint="eastAsia"/>
                      <w:color w:val="auto"/>
                      <w:kern w:val="0"/>
                      <w:sz w:val="21"/>
                      <w:szCs w:val="21"/>
                      <w:highlight w:val="none"/>
                      <w:lang w:bidi="ar"/>
                    </w:rPr>
                    <w:t>m</w:t>
                  </w:r>
                  <w:r>
                    <w:rPr>
                      <w:color w:val="auto"/>
                      <w:kern w:val="0"/>
                      <w:sz w:val="21"/>
                      <w:szCs w:val="21"/>
                      <w:highlight w:val="none"/>
                      <w:lang w:bidi="ar"/>
                    </w:rPr>
                    <w:t>g/m</w:t>
                  </w:r>
                  <w:r>
                    <w:rPr>
                      <w:color w:val="auto"/>
                      <w:kern w:val="0"/>
                      <w:sz w:val="21"/>
                      <w:szCs w:val="21"/>
                      <w:highlight w:val="none"/>
                      <w:vertAlign w:val="superscript"/>
                      <w:lang w:bidi="ar"/>
                    </w:rPr>
                    <w:t>3</w:t>
                  </w:r>
                  <w:r>
                    <w:rPr>
                      <w:rFonts w:hint="eastAsia"/>
                      <w:color w:val="auto"/>
                      <w:sz w:val="21"/>
                      <w:szCs w:val="21"/>
                      <w:highlight w:val="none"/>
                    </w:rPr>
                    <w:t>）</w:t>
                  </w:r>
                </w:p>
              </w:tc>
            </w:tr>
            <w:tr w14:paraId="7124C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5" w:type="pct"/>
                  <w:vMerge w:val="continue"/>
                  <w:vAlign w:val="center"/>
                </w:tcPr>
                <w:p w14:paraId="4159F786">
                  <w:pPr>
                    <w:spacing w:line="240" w:lineRule="auto"/>
                    <w:ind w:firstLine="0" w:firstLineChars="0"/>
                    <w:jc w:val="center"/>
                    <w:rPr>
                      <w:color w:val="auto"/>
                      <w:sz w:val="21"/>
                      <w:szCs w:val="21"/>
                      <w:highlight w:val="none"/>
                    </w:rPr>
                  </w:pPr>
                </w:p>
              </w:tc>
              <w:tc>
                <w:tcPr>
                  <w:tcW w:w="900" w:type="pct"/>
                  <w:vMerge w:val="continue"/>
                  <w:vAlign w:val="center"/>
                </w:tcPr>
                <w:p w14:paraId="79547DAC">
                  <w:pPr>
                    <w:spacing w:line="240" w:lineRule="auto"/>
                    <w:ind w:firstLine="0" w:firstLineChars="0"/>
                    <w:jc w:val="center"/>
                    <w:rPr>
                      <w:color w:val="auto"/>
                      <w:sz w:val="21"/>
                      <w:szCs w:val="21"/>
                      <w:highlight w:val="none"/>
                    </w:rPr>
                  </w:pPr>
                </w:p>
              </w:tc>
              <w:tc>
                <w:tcPr>
                  <w:tcW w:w="1757" w:type="pct"/>
                  <w:vMerge w:val="continue"/>
                  <w:vAlign w:val="center"/>
                </w:tcPr>
                <w:p w14:paraId="58A32059">
                  <w:pPr>
                    <w:spacing w:line="240" w:lineRule="auto"/>
                    <w:ind w:firstLine="0" w:firstLineChars="0"/>
                    <w:jc w:val="center"/>
                    <w:rPr>
                      <w:color w:val="auto"/>
                      <w:sz w:val="21"/>
                      <w:szCs w:val="21"/>
                      <w:highlight w:val="none"/>
                    </w:rPr>
                  </w:pPr>
                </w:p>
              </w:tc>
              <w:tc>
                <w:tcPr>
                  <w:tcW w:w="1757" w:type="pct"/>
                  <w:vMerge w:val="continue"/>
                  <w:vAlign w:val="center"/>
                </w:tcPr>
                <w:p w14:paraId="4777B7AF">
                  <w:pPr>
                    <w:spacing w:line="240" w:lineRule="auto"/>
                    <w:ind w:firstLine="0" w:firstLineChars="0"/>
                    <w:jc w:val="center"/>
                    <w:rPr>
                      <w:color w:val="auto"/>
                      <w:sz w:val="21"/>
                      <w:szCs w:val="21"/>
                      <w:highlight w:val="none"/>
                    </w:rPr>
                  </w:pPr>
                </w:p>
              </w:tc>
            </w:tr>
            <w:tr w14:paraId="012A6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585" w:type="pct"/>
                  <w:vMerge w:val="restart"/>
                  <w:vAlign w:val="center"/>
                </w:tcPr>
                <w:p w14:paraId="58C240ED">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15</w:t>
                  </w:r>
                  <w:r>
                    <w:rPr>
                      <w:color w:val="auto"/>
                      <w:sz w:val="21"/>
                      <w:szCs w:val="21"/>
                      <w:highlight w:val="none"/>
                    </w:rPr>
                    <w:t>日</w:t>
                  </w:r>
                </w:p>
              </w:tc>
              <w:tc>
                <w:tcPr>
                  <w:tcW w:w="900" w:type="pct"/>
                  <w:vMerge w:val="restart"/>
                  <w:vAlign w:val="center"/>
                </w:tcPr>
                <w:p w14:paraId="081C301C">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江川区区医院下风向</w:t>
                  </w:r>
                </w:p>
              </w:tc>
              <w:tc>
                <w:tcPr>
                  <w:tcW w:w="1757" w:type="pct"/>
                  <w:vAlign w:val="center"/>
                </w:tcPr>
                <w:p w14:paraId="03BC7382">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WFJW20251106002-1-1-1</w:t>
                  </w:r>
                </w:p>
              </w:tc>
              <w:tc>
                <w:tcPr>
                  <w:tcW w:w="1757" w:type="pct"/>
                  <w:vAlign w:val="center"/>
                </w:tcPr>
                <w:p w14:paraId="05C38AAF">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0.51</w:t>
                  </w:r>
                </w:p>
              </w:tc>
            </w:tr>
            <w:tr w14:paraId="7A764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585" w:type="pct"/>
                  <w:vMerge w:val="continue"/>
                  <w:vAlign w:val="center"/>
                </w:tcPr>
                <w:p w14:paraId="40BB2333">
                  <w:pPr>
                    <w:spacing w:line="240" w:lineRule="auto"/>
                    <w:ind w:firstLine="0" w:firstLineChars="0"/>
                    <w:jc w:val="center"/>
                    <w:rPr>
                      <w:color w:val="auto"/>
                      <w:sz w:val="21"/>
                      <w:szCs w:val="21"/>
                      <w:highlight w:val="none"/>
                    </w:rPr>
                  </w:pPr>
                </w:p>
              </w:tc>
              <w:tc>
                <w:tcPr>
                  <w:tcW w:w="900" w:type="pct"/>
                  <w:vMerge w:val="continue"/>
                  <w:vAlign w:val="center"/>
                </w:tcPr>
                <w:p w14:paraId="586A97D9">
                  <w:pPr>
                    <w:spacing w:line="240" w:lineRule="auto"/>
                    <w:ind w:firstLine="0" w:firstLineChars="0"/>
                    <w:jc w:val="center"/>
                    <w:rPr>
                      <w:color w:val="auto"/>
                      <w:sz w:val="21"/>
                      <w:szCs w:val="21"/>
                      <w:highlight w:val="none"/>
                    </w:rPr>
                  </w:pPr>
                </w:p>
              </w:tc>
              <w:tc>
                <w:tcPr>
                  <w:tcW w:w="1757" w:type="pct"/>
                  <w:vAlign w:val="center"/>
                </w:tcPr>
                <w:p w14:paraId="7974C1B3">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WFJW20251106002-1-1-2</w:t>
                  </w:r>
                </w:p>
              </w:tc>
              <w:tc>
                <w:tcPr>
                  <w:tcW w:w="1757" w:type="pct"/>
                  <w:vAlign w:val="center"/>
                </w:tcPr>
                <w:p w14:paraId="629E6C44">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0.60</w:t>
                  </w:r>
                </w:p>
              </w:tc>
            </w:tr>
            <w:tr w14:paraId="1679B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585" w:type="pct"/>
                  <w:vMerge w:val="continue"/>
                  <w:vAlign w:val="center"/>
                </w:tcPr>
                <w:p w14:paraId="6D34905F">
                  <w:pPr>
                    <w:spacing w:line="240" w:lineRule="auto"/>
                    <w:ind w:firstLine="0" w:firstLineChars="0"/>
                    <w:jc w:val="center"/>
                    <w:rPr>
                      <w:color w:val="auto"/>
                      <w:sz w:val="21"/>
                      <w:szCs w:val="21"/>
                      <w:highlight w:val="none"/>
                    </w:rPr>
                  </w:pPr>
                </w:p>
              </w:tc>
              <w:tc>
                <w:tcPr>
                  <w:tcW w:w="900" w:type="pct"/>
                  <w:vMerge w:val="continue"/>
                  <w:vAlign w:val="center"/>
                </w:tcPr>
                <w:p w14:paraId="62729C18">
                  <w:pPr>
                    <w:spacing w:line="240" w:lineRule="auto"/>
                    <w:ind w:firstLine="0" w:firstLineChars="0"/>
                    <w:jc w:val="center"/>
                    <w:rPr>
                      <w:color w:val="auto"/>
                      <w:sz w:val="21"/>
                      <w:szCs w:val="21"/>
                      <w:highlight w:val="none"/>
                    </w:rPr>
                  </w:pPr>
                </w:p>
              </w:tc>
              <w:tc>
                <w:tcPr>
                  <w:tcW w:w="1757" w:type="pct"/>
                  <w:vAlign w:val="center"/>
                </w:tcPr>
                <w:p w14:paraId="035A3286">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WFJW20251106002-1-1-3</w:t>
                  </w:r>
                </w:p>
              </w:tc>
              <w:tc>
                <w:tcPr>
                  <w:tcW w:w="1757" w:type="pct"/>
                  <w:vAlign w:val="center"/>
                </w:tcPr>
                <w:p w14:paraId="4938B8E2">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0.52</w:t>
                  </w:r>
                </w:p>
              </w:tc>
            </w:tr>
            <w:tr w14:paraId="0D8F6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85" w:type="pct"/>
                  <w:vMerge w:val="continue"/>
                  <w:vAlign w:val="center"/>
                </w:tcPr>
                <w:p w14:paraId="3C9EED69">
                  <w:pPr>
                    <w:spacing w:line="240" w:lineRule="auto"/>
                    <w:ind w:firstLine="0" w:firstLineChars="0"/>
                    <w:jc w:val="center"/>
                    <w:rPr>
                      <w:color w:val="auto"/>
                      <w:sz w:val="21"/>
                      <w:szCs w:val="21"/>
                      <w:highlight w:val="none"/>
                    </w:rPr>
                  </w:pPr>
                </w:p>
              </w:tc>
              <w:tc>
                <w:tcPr>
                  <w:tcW w:w="900" w:type="pct"/>
                  <w:vMerge w:val="continue"/>
                  <w:vAlign w:val="center"/>
                </w:tcPr>
                <w:p w14:paraId="584FE146">
                  <w:pPr>
                    <w:spacing w:line="240" w:lineRule="auto"/>
                    <w:ind w:firstLine="0" w:firstLineChars="0"/>
                    <w:jc w:val="center"/>
                    <w:rPr>
                      <w:color w:val="auto"/>
                      <w:sz w:val="21"/>
                      <w:szCs w:val="21"/>
                      <w:highlight w:val="none"/>
                    </w:rPr>
                  </w:pPr>
                </w:p>
              </w:tc>
              <w:tc>
                <w:tcPr>
                  <w:tcW w:w="1757" w:type="pct"/>
                  <w:vAlign w:val="center"/>
                </w:tcPr>
                <w:p w14:paraId="06AF5A9F">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WFJW20251106002-1-1-4</w:t>
                  </w:r>
                </w:p>
              </w:tc>
              <w:tc>
                <w:tcPr>
                  <w:tcW w:w="1757" w:type="pct"/>
                  <w:vAlign w:val="center"/>
                </w:tcPr>
                <w:p w14:paraId="68A8E316">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0.48</w:t>
                  </w:r>
                </w:p>
              </w:tc>
            </w:tr>
            <w:tr w14:paraId="535E2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585" w:type="pct"/>
                  <w:vMerge w:val="restart"/>
                  <w:vAlign w:val="center"/>
                </w:tcPr>
                <w:p w14:paraId="21048BFD">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16</w:t>
                  </w:r>
                  <w:r>
                    <w:rPr>
                      <w:color w:val="auto"/>
                      <w:sz w:val="21"/>
                      <w:szCs w:val="21"/>
                      <w:highlight w:val="none"/>
                    </w:rPr>
                    <w:t>日</w:t>
                  </w:r>
                </w:p>
              </w:tc>
              <w:tc>
                <w:tcPr>
                  <w:tcW w:w="900" w:type="pct"/>
                  <w:vMerge w:val="restart"/>
                  <w:vAlign w:val="center"/>
                </w:tcPr>
                <w:p w14:paraId="3ED6D793">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江川区区医院下风向</w:t>
                  </w:r>
                </w:p>
              </w:tc>
              <w:tc>
                <w:tcPr>
                  <w:tcW w:w="1757" w:type="pct"/>
                  <w:vAlign w:val="center"/>
                </w:tcPr>
                <w:p w14:paraId="786A9EE4">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WFJW20251106002-1-2-1</w:t>
                  </w:r>
                </w:p>
              </w:tc>
              <w:tc>
                <w:tcPr>
                  <w:tcW w:w="1757" w:type="pct"/>
                  <w:vAlign w:val="center"/>
                </w:tcPr>
                <w:p w14:paraId="0EA387DE">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0.46</w:t>
                  </w:r>
                </w:p>
              </w:tc>
            </w:tr>
            <w:tr w14:paraId="33405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585" w:type="pct"/>
                  <w:vMerge w:val="continue"/>
                  <w:vAlign w:val="center"/>
                </w:tcPr>
                <w:p w14:paraId="67251C21">
                  <w:pPr>
                    <w:spacing w:line="240" w:lineRule="auto"/>
                    <w:ind w:firstLine="0" w:firstLineChars="0"/>
                    <w:jc w:val="center"/>
                    <w:rPr>
                      <w:color w:val="auto"/>
                      <w:sz w:val="21"/>
                      <w:szCs w:val="21"/>
                      <w:highlight w:val="none"/>
                    </w:rPr>
                  </w:pPr>
                </w:p>
              </w:tc>
              <w:tc>
                <w:tcPr>
                  <w:tcW w:w="900" w:type="pct"/>
                  <w:vMerge w:val="continue"/>
                  <w:vAlign w:val="center"/>
                </w:tcPr>
                <w:p w14:paraId="4DEAE082">
                  <w:pPr>
                    <w:spacing w:line="240" w:lineRule="auto"/>
                    <w:ind w:firstLine="0" w:firstLineChars="0"/>
                    <w:jc w:val="center"/>
                    <w:rPr>
                      <w:color w:val="auto"/>
                      <w:sz w:val="21"/>
                      <w:szCs w:val="21"/>
                      <w:highlight w:val="none"/>
                    </w:rPr>
                  </w:pPr>
                </w:p>
              </w:tc>
              <w:tc>
                <w:tcPr>
                  <w:tcW w:w="1757" w:type="pct"/>
                  <w:vAlign w:val="center"/>
                </w:tcPr>
                <w:p w14:paraId="6DAC9E0F">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WFJW20251106002-1-2-2</w:t>
                  </w:r>
                </w:p>
              </w:tc>
              <w:tc>
                <w:tcPr>
                  <w:tcW w:w="1757" w:type="pct"/>
                  <w:vAlign w:val="center"/>
                </w:tcPr>
                <w:p w14:paraId="104E2238">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0.63</w:t>
                  </w:r>
                </w:p>
              </w:tc>
            </w:tr>
            <w:tr w14:paraId="4B12D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585" w:type="pct"/>
                  <w:vMerge w:val="continue"/>
                  <w:vAlign w:val="center"/>
                </w:tcPr>
                <w:p w14:paraId="01EEDED5">
                  <w:pPr>
                    <w:spacing w:line="240" w:lineRule="auto"/>
                    <w:ind w:firstLine="0" w:firstLineChars="0"/>
                    <w:jc w:val="center"/>
                    <w:rPr>
                      <w:color w:val="auto"/>
                      <w:sz w:val="21"/>
                      <w:szCs w:val="21"/>
                      <w:highlight w:val="none"/>
                    </w:rPr>
                  </w:pPr>
                </w:p>
              </w:tc>
              <w:tc>
                <w:tcPr>
                  <w:tcW w:w="900" w:type="pct"/>
                  <w:vMerge w:val="continue"/>
                  <w:vAlign w:val="center"/>
                </w:tcPr>
                <w:p w14:paraId="2A0A2761">
                  <w:pPr>
                    <w:spacing w:line="240" w:lineRule="auto"/>
                    <w:ind w:firstLine="0" w:firstLineChars="0"/>
                    <w:jc w:val="center"/>
                    <w:rPr>
                      <w:color w:val="auto"/>
                      <w:sz w:val="21"/>
                      <w:szCs w:val="21"/>
                      <w:highlight w:val="none"/>
                    </w:rPr>
                  </w:pPr>
                </w:p>
              </w:tc>
              <w:tc>
                <w:tcPr>
                  <w:tcW w:w="1757" w:type="pct"/>
                  <w:vAlign w:val="center"/>
                </w:tcPr>
                <w:p w14:paraId="22B54957">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WFJW20251106002-1-2-3</w:t>
                  </w:r>
                </w:p>
              </w:tc>
              <w:tc>
                <w:tcPr>
                  <w:tcW w:w="1757" w:type="pct"/>
                  <w:vAlign w:val="center"/>
                </w:tcPr>
                <w:p w14:paraId="0917B466">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0.60</w:t>
                  </w:r>
                </w:p>
              </w:tc>
            </w:tr>
            <w:tr w14:paraId="30650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85" w:type="pct"/>
                  <w:vMerge w:val="continue"/>
                  <w:vAlign w:val="center"/>
                </w:tcPr>
                <w:p w14:paraId="3D216BD1">
                  <w:pPr>
                    <w:spacing w:line="240" w:lineRule="auto"/>
                    <w:ind w:firstLine="0" w:firstLineChars="0"/>
                    <w:jc w:val="center"/>
                    <w:rPr>
                      <w:color w:val="auto"/>
                      <w:sz w:val="21"/>
                      <w:szCs w:val="21"/>
                      <w:highlight w:val="none"/>
                    </w:rPr>
                  </w:pPr>
                </w:p>
              </w:tc>
              <w:tc>
                <w:tcPr>
                  <w:tcW w:w="900" w:type="pct"/>
                  <w:vMerge w:val="continue"/>
                  <w:vAlign w:val="center"/>
                </w:tcPr>
                <w:p w14:paraId="3CEFA7DC">
                  <w:pPr>
                    <w:spacing w:line="240" w:lineRule="auto"/>
                    <w:ind w:firstLine="0" w:firstLineChars="0"/>
                    <w:jc w:val="center"/>
                    <w:rPr>
                      <w:color w:val="auto"/>
                      <w:sz w:val="21"/>
                      <w:szCs w:val="21"/>
                      <w:highlight w:val="none"/>
                    </w:rPr>
                  </w:pPr>
                </w:p>
              </w:tc>
              <w:tc>
                <w:tcPr>
                  <w:tcW w:w="1757" w:type="pct"/>
                  <w:vAlign w:val="center"/>
                </w:tcPr>
                <w:p w14:paraId="631BF3BE">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WFJW20251106002-1-2-4</w:t>
                  </w:r>
                </w:p>
              </w:tc>
              <w:tc>
                <w:tcPr>
                  <w:tcW w:w="1757" w:type="pct"/>
                  <w:vAlign w:val="center"/>
                </w:tcPr>
                <w:p w14:paraId="5A7C7D70">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0.52</w:t>
                  </w:r>
                </w:p>
              </w:tc>
            </w:tr>
            <w:tr w14:paraId="4656B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585" w:type="pct"/>
                  <w:vMerge w:val="restart"/>
                  <w:vAlign w:val="center"/>
                </w:tcPr>
                <w:p w14:paraId="46089106">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17</w:t>
                  </w:r>
                  <w:r>
                    <w:rPr>
                      <w:color w:val="auto"/>
                      <w:sz w:val="21"/>
                      <w:szCs w:val="21"/>
                      <w:highlight w:val="none"/>
                    </w:rPr>
                    <w:t>日</w:t>
                  </w:r>
                </w:p>
              </w:tc>
              <w:tc>
                <w:tcPr>
                  <w:tcW w:w="900" w:type="pct"/>
                  <w:vMerge w:val="restart"/>
                  <w:vAlign w:val="center"/>
                </w:tcPr>
                <w:p w14:paraId="20DD701F">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江川区区医院下风向</w:t>
                  </w:r>
                </w:p>
              </w:tc>
              <w:tc>
                <w:tcPr>
                  <w:tcW w:w="1757" w:type="pct"/>
                  <w:vAlign w:val="center"/>
                </w:tcPr>
                <w:p w14:paraId="6E5CA936">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WFJW20251106002-1-3-1</w:t>
                  </w:r>
                </w:p>
              </w:tc>
              <w:tc>
                <w:tcPr>
                  <w:tcW w:w="1757" w:type="pct"/>
                  <w:vAlign w:val="center"/>
                </w:tcPr>
                <w:p w14:paraId="4A9B304A">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0.60</w:t>
                  </w:r>
                </w:p>
              </w:tc>
            </w:tr>
            <w:tr w14:paraId="31523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585" w:type="pct"/>
                  <w:vMerge w:val="continue"/>
                  <w:vAlign w:val="center"/>
                </w:tcPr>
                <w:p w14:paraId="0AD09643">
                  <w:pPr>
                    <w:spacing w:line="240" w:lineRule="auto"/>
                    <w:ind w:firstLine="0" w:firstLineChars="0"/>
                    <w:jc w:val="center"/>
                    <w:rPr>
                      <w:color w:val="auto"/>
                      <w:sz w:val="21"/>
                      <w:szCs w:val="21"/>
                      <w:highlight w:val="none"/>
                    </w:rPr>
                  </w:pPr>
                </w:p>
              </w:tc>
              <w:tc>
                <w:tcPr>
                  <w:tcW w:w="900" w:type="pct"/>
                  <w:vMerge w:val="continue"/>
                  <w:vAlign w:val="center"/>
                </w:tcPr>
                <w:p w14:paraId="4FD3D2DC">
                  <w:pPr>
                    <w:spacing w:line="240" w:lineRule="auto"/>
                    <w:ind w:firstLine="0" w:firstLineChars="0"/>
                    <w:jc w:val="center"/>
                    <w:rPr>
                      <w:color w:val="auto"/>
                      <w:sz w:val="21"/>
                      <w:szCs w:val="21"/>
                      <w:highlight w:val="none"/>
                    </w:rPr>
                  </w:pPr>
                </w:p>
              </w:tc>
              <w:tc>
                <w:tcPr>
                  <w:tcW w:w="1757" w:type="pct"/>
                  <w:vAlign w:val="center"/>
                </w:tcPr>
                <w:p w14:paraId="15BB3766">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WFJW20251106002-1-3-2</w:t>
                  </w:r>
                </w:p>
              </w:tc>
              <w:tc>
                <w:tcPr>
                  <w:tcW w:w="1757" w:type="pct"/>
                  <w:vAlign w:val="center"/>
                </w:tcPr>
                <w:p w14:paraId="38FED4FA">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0.44</w:t>
                  </w:r>
                </w:p>
              </w:tc>
            </w:tr>
            <w:tr w14:paraId="6B937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585" w:type="pct"/>
                  <w:vMerge w:val="continue"/>
                  <w:vAlign w:val="center"/>
                </w:tcPr>
                <w:p w14:paraId="5239F986">
                  <w:pPr>
                    <w:spacing w:line="240" w:lineRule="auto"/>
                    <w:ind w:firstLine="0" w:firstLineChars="0"/>
                    <w:jc w:val="center"/>
                    <w:rPr>
                      <w:color w:val="auto"/>
                      <w:sz w:val="21"/>
                      <w:szCs w:val="21"/>
                      <w:highlight w:val="none"/>
                    </w:rPr>
                  </w:pPr>
                </w:p>
              </w:tc>
              <w:tc>
                <w:tcPr>
                  <w:tcW w:w="900" w:type="pct"/>
                  <w:vMerge w:val="continue"/>
                  <w:vAlign w:val="center"/>
                </w:tcPr>
                <w:p w14:paraId="69E9F20E">
                  <w:pPr>
                    <w:spacing w:line="240" w:lineRule="auto"/>
                    <w:ind w:firstLine="0" w:firstLineChars="0"/>
                    <w:jc w:val="center"/>
                    <w:rPr>
                      <w:color w:val="auto"/>
                      <w:sz w:val="21"/>
                      <w:szCs w:val="21"/>
                      <w:highlight w:val="none"/>
                    </w:rPr>
                  </w:pPr>
                </w:p>
              </w:tc>
              <w:tc>
                <w:tcPr>
                  <w:tcW w:w="1757" w:type="pct"/>
                  <w:vAlign w:val="center"/>
                </w:tcPr>
                <w:p w14:paraId="144E0250">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WFJW20251106002-1-3-3</w:t>
                  </w:r>
                </w:p>
              </w:tc>
              <w:tc>
                <w:tcPr>
                  <w:tcW w:w="1757" w:type="pct"/>
                  <w:vAlign w:val="center"/>
                </w:tcPr>
                <w:p w14:paraId="22CCBA10">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0.48</w:t>
                  </w:r>
                </w:p>
              </w:tc>
            </w:tr>
            <w:tr w14:paraId="28CFE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5" w:type="pct"/>
                  <w:vMerge w:val="continue"/>
                  <w:vAlign w:val="center"/>
                </w:tcPr>
                <w:p w14:paraId="3AE9D741">
                  <w:pPr>
                    <w:spacing w:line="240" w:lineRule="auto"/>
                    <w:ind w:firstLine="0" w:firstLineChars="0"/>
                    <w:jc w:val="center"/>
                    <w:rPr>
                      <w:color w:val="auto"/>
                      <w:sz w:val="21"/>
                      <w:szCs w:val="21"/>
                      <w:highlight w:val="none"/>
                    </w:rPr>
                  </w:pPr>
                </w:p>
              </w:tc>
              <w:tc>
                <w:tcPr>
                  <w:tcW w:w="900" w:type="pct"/>
                  <w:vMerge w:val="continue"/>
                  <w:vAlign w:val="center"/>
                </w:tcPr>
                <w:p w14:paraId="172C8CB7">
                  <w:pPr>
                    <w:spacing w:line="240" w:lineRule="auto"/>
                    <w:ind w:firstLine="0" w:firstLineChars="0"/>
                    <w:jc w:val="center"/>
                    <w:rPr>
                      <w:color w:val="auto"/>
                      <w:sz w:val="21"/>
                      <w:szCs w:val="21"/>
                      <w:highlight w:val="none"/>
                    </w:rPr>
                  </w:pPr>
                </w:p>
              </w:tc>
              <w:tc>
                <w:tcPr>
                  <w:tcW w:w="1757" w:type="pct"/>
                  <w:vAlign w:val="center"/>
                </w:tcPr>
                <w:p w14:paraId="539FE038">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WFJW20251106002-1-3-4</w:t>
                  </w:r>
                </w:p>
              </w:tc>
              <w:tc>
                <w:tcPr>
                  <w:tcW w:w="1757" w:type="pct"/>
                  <w:vAlign w:val="center"/>
                </w:tcPr>
                <w:p w14:paraId="4FFB51BB">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0.51</w:t>
                  </w:r>
                </w:p>
              </w:tc>
            </w:tr>
            <w:tr w14:paraId="646EE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3242" w:type="pct"/>
                  <w:gridSpan w:val="3"/>
                  <w:vAlign w:val="center"/>
                </w:tcPr>
                <w:p w14:paraId="44058D87">
                  <w:pPr>
                    <w:spacing w:line="240" w:lineRule="auto"/>
                    <w:ind w:firstLine="0" w:firstLineChars="0"/>
                    <w:jc w:val="center"/>
                    <w:rPr>
                      <w:color w:val="auto"/>
                      <w:sz w:val="21"/>
                      <w:szCs w:val="21"/>
                      <w:highlight w:val="none"/>
                    </w:rPr>
                  </w:pPr>
                  <w:r>
                    <w:rPr>
                      <w:color w:val="auto"/>
                      <w:sz w:val="21"/>
                      <w:szCs w:val="21"/>
                      <w:highlight w:val="none"/>
                    </w:rPr>
                    <w:t>标准值</w:t>
                  </w:r>
                </w:p>
              </w:tc>
              <w:tc>
                <w:tcPr>
                  <w:tcW w:w="1757" w:type="pct"/>
                  <w:vAlign w:val="center"/>
                </w:tcPr>
                <w:p w14:paraId="69169AE7">
                  <w:pPr>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r>
            <w:tr w14:paraId="6BDA4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242" w:type="pct"/>
                  <w:gridSpan w:val="3"/>
                  <w:vAlign w:val="center"/>
                </w:tcPr>
                <w:p w14:paraId="137270F0">
                  <w:pPr>
                    <w:spacing w:line="240" w:lineRule="auto"/>
                    <w:ind w:firstLine="0" w:firstLineChars="0"/>
                    <w:jc w:val="center"/>
                    <w:rPr>
                      <w:color w:val="auto"/>
                      <w:sz w:val="21"/>
                      <w:szCs w:val="21"/>
                      <w:highlight w:val="none"/>
                    </w:rPr>
                  </w:pPr>
                  <w:r>
                    <w:rPr>
                      <w:color w:val="auto"/>
                      <w:sz w:val="21"/>
                      <w:szCs w:val="21"/>
                      <w:highlight w:val="none"/>
                    </w:rPr>
                    <w:t>达标情况</w:t>
                  </w:r>
                </w:p>
              </w:tc>
              <w:tc>
                <w:tcPr>
                  <w:tcW w:w="1757" w:type="pct"/>
                  <w:vAlign w:val="center"/>
                </w:tcPr>
                <w:p w14:paraId="2DC2FBAC">
                  <w:pPr>
                    <w:spacing w:line="240" w:lineRule="auto"/>
                    <w:ind w:firstLine="0" w:firstLineChars="0"/>
                    <w:jc w:val="center"/>
                    <w:rPr>
                      <w:color w:val="auto"/>
                      <w:sz w:val="21"/>
                      <w:szCs w:val="21"/>
                      <w:highlight w:val="none"/>
                    </w:rPr>
                  </w:pPr>
                  <w:r>
                    <w:rPr>
                      <w:color w:val="auto"/>
                      <w:sz w:val="21"/>
                      <w:szCs w:val="21"/>
                      <w:highlight w:val="none"/>
                    </w:rPr>
                    <w:t>达标</w:t>
                  </w:r>
                </w:p>
              </w:tc>
            </w:tr>
          </w:tbl>
          <w:p w14:paraId="61E7CFF9">
            <w:pPr>
              <w:pStyle w:val="2"/>
              <w:jc w:val="both"/>
              <w:rPr>
                <w:color w:val="auto"/>
              </w:rPr>
            </w:pPr>
          </w:p>
          <w:p w14:paraId="0B839C88">
            <w:pPr>
              <w:pStyle w:val="2"/>
              <w:jc w:val="center"/>
              <w:rPr>
                <w:color w:val="auto"/>
              </w:rPr>
            </w:pPr>
            <w:r>
              <w:rPr>
                <w:b/>
                <w:bCs/>
                <w:color w:val="auto"/>
                <w:sz w:val="21"/>
                <w:szCs w:val="20"/>
                <w:highlight w:val="none"/>
              </w:rPr>
              <w:t>表3-</w:t>
            </w:r>
            <w:r>
              <w:rPr>
                <w:rFonts w:hint="eastAsia"/>
                <w:b/>
                <w:bCs/>
                <w:color w:val="auto"/>
                <w:sz w:val="21"/>
                <w:szCs w:val="20"/>
                <w:highlight w:val="none"/>
                <w:lang w:val="en-US" w:eastAsia="zh-CN"/>
              </w:rPr>
              <w:t>3</w:t>
            </w:r>
            <w:r>
              <w:rPr>
                <w:b/>
                <w:bCs/>
                <w:color w:val="auto"/>
                <w:sz w:val="21"/>
                <w:szCs w:val="20"/>
                <w:highlight w:val="none"/>
              </w:rPr>
              <w:t>本项目特征污染因子监测结果与评价</w:t>
            </w:r>
          </w:p>
          <w:tbl>
            <w:tblPr>
              <w:tblStyle w:val="20"/>
              <w:tblW w:w="75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034"/>
              <w:gridCol w:w="2176"/>
              <w:gridCol w:w="1195"/>
              <w:gridCol w:w="1344"/>
              <w:gridCol w:w="1109"/>
            </w:tblGrid>
            <w:tr w14:paraId="3F120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732" w:type="dxa"/>
                  <w:vMerge w:val="restart"/>
                  <w:vAlign w:val="center"/>
                </w:tcPr>
                <w:p w14:paraId="16526D92">
                  <w:pPr>
                    <w:spacing w:line="240" w:lineRule="auto"/>
                    <w:ind w:firstLine="0" w:firstLineChars="0"/>
                    <w:jc w:val="center"/>
                    <w:rPr>
                      <w:color w:val="auto"/>
                      <w:sz w:val="21"/>
                      <w:szCs w:val="21"/>
                      <w:highlight w:val="none"/>
                    </w:rPr>
                  </w:pPr>
                  <w:r>
                    <w:rPr>
                      <w:color w:val="auto"/>
                      <w:sz w:val="21"/>
                      <w:szCs w:val="21"/>
                      <w:highlight w:val="none"/>
                    </w:rPr>
                    <w:t>采样日期</w:t>
                  </w:r>
                </w:p>
              </w:tc>
              <w:tc>
                <w:tcPr>
                  <w:tcW w:w="1126" w:type="dxa"/>
                  <w:vMerge w:val="restart"/>
                  <w:vAlign w:val="center"/>
                </w:tcPr>
                <w:p w14:paraId="5CF3E69F">
                  <w:pPr>
                    <w:spacing w:line="240" w:lineRule="auto"/>
                    <w:ind w:firstLine="0" w:firstLineChars="0"/>
                    <w:jc w:val="center"/>
                    <w:rPr>
                      <w:color w:val="auto"/>
                      <w:sz w:val="21"/>
                      <w:szCs w:val="21"/>
                      <w:highlight w:val="none"/>
                    </w:rPr>
                  </w:pPr>
                  <w:r>
                    <w:rPr>
                      <w:color w:val="auto"/>
                      <w:sz w:val="21"/>
                      <w:szCs w:val="21"/>
                      <w:highlight w:val="none"/>
                    </w:rPr>
                    <w:t>采样地点</w:t>
                  </w:r>
                </w:p>
              </w:tc>
              <w:tc>
                <w:tcPr>
                  <w:tcW w:w="2196" w:type="dxa"/>
                  <w:vMerge w:val="restart"/>
                  <w:vAlign w:val="center"/>
                </w:tcPr>
                <w:p w14:paraId="21859BD2">
                  <w:pPr>
                    <w:spacing w:line="240" w:lineRule="auto"/>
                    <w:ind w:firstLine="0" w:firstLineChars="0"/>
                    <w:jc w:val="center"/>
                    <w:rPr>
                      <w:color w:val="auto"/>
                      <w:sz w:val="21"/>
                      <w:szCs w:val="21"/>
                      <w:highlight w:val="none"/>
                    </w:rPr>
                  </w:pPr>
                  <w:r>
                    <w:rPr>
                      <w:color w:val="auto"/>
                      <w:sz w:val="21"/>
                      <w:szCs w:val="21"/>
                      <w:highlight w:val="none"/>
                    </w:rPr>
                    <w:t>样品编号</w:t>
                  </w:r>
                </w:p>
              </w:tc>
              <w:tc>
                <w:tcPr>
                  <w:tcW w:w="3495" w:type="dxa"/>
                  <w:gridSpan w:val="3"/>
                  <w:vAlign w:val="center"/>
                </w:tcPr>
                <w:p w14:paraId="3DC9794E">
                  <w:pPr>
                    <w:spacing w:line="240" w:lineRule="auto"/>
                    <w:ind w:firstLine="0" w:firstLineChars="0"/>
                    <w:jc w:val="center"/>
                    <w:rPr>
                      <w:color w:val="auto"/>
                      <w:sz w:val="21"/>
                      <w:szCs w:val="21"/>
                      <w:highlight w:val="none"/>
                    </w:rPr>
                  </w:pPr>
                  <w:r>
                    <w:rPr>
                      <w:color w:val="auto"/>
                      <w:sz w:val="21"/>
                      <w:szCs w:val="21"/>
                      <w:highlight w:val="none"/>
                    </w:rPr>
                    <w:t>检测项目</w:t>
                  </w:r>
                </w:p>
              </w:tc>
            </w:tr>
            <w:tr w14:paraId="3D487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32" w:type="dxa"/>
                  <w:vMerge w:val="continue"/>
                  <w:vAlign w:val="center"/>
                </w:tcPr>
                <w:p w14:paraId="1FD6C7E2">
                  <w:pPr>
                    <w:spacing w:line="240" w:lineRule="auto"/>
                    <w:ind w:firstLine="0" w:firstLineChars="0"/>
                    <w:jc w:val="center"/>
                    <w:rPr>
                      <w:color w:val="auto"/>
                      <w:sz w:val="21"/>
                      <w:szCs w:val="21"/>
                      <w:highlight w:val="none"/>
                    </w:rPr>
                  </w:pPr>
                </w:p>
              </w:tc>
              <w:tc>
                <w:tcPr>
                  <w:tcW w:w="1126" w:type="dxa"/>
                  <w:vMerge w:val="continue"/>
                  <w:vAlign w:val="center"/>
                </w:tcPr>
                <w:p w14:paraId="168B817B">
                  <w:pPr>
                    <w:spacing w:line="240" w:lineRule="auto"/>
                    <w:ind w:firstLine="0" w:firstLineChars="0"/>
                    <w:jc w:val="center"/>
                    <w:rPr>
                      <w:color w:val="auto"/>
                      <w:sz w:val="21"/>
                      <w:szCs w:val="21"/>
                      <w:highlight w:val="none"/>
                    </w:rPr>
                  </w:pPr>
                </w:p>
              </w:tc>
              <w:tc>
                <w:tcPr>
                  <w:tcW w:w="2196" w:type="dxa"/>
                  <w:vMerge w:val="continue"/>
                  <w:vAlign w:val="center"/>
                </w:tcPr>
                <w:p w14:paraId="0912EF3F">
                  <w:pPr>
                    <w:spacing w:line="240" w:lineRule="auto"/>
                    <w:ind w:firstLine="0" w:firstLineChars="0"/>
                    <w:jc w:val="center"/>
                    <w:rPr>
                      <w:color w:val="auto"/>
                      <w:sz w:val="21"/>
                      <w:szCs w:val="21"/>
                      <w:highlight w:val="none"/>
                    </w:rPr>
                  </w:pPr>
                </w:p>
              </w:tc>
              <w:tc>
                <w:tcPr>
                  <w:tcW w:w="949" w:type="dxa"/>
                  <w:vAlign w:val="center"/>
                </w:tcPr>
                <w:p w14:paraId="1228FFEF">
                  <w:pPr>
                    <w:spacing w:line="240" w:lineRule="auto"/>
                    <w:ind w:firstLine="0" w:firstLineChars="0"/>
                    <w:jc w:val="center"/>
                    <w:rPr>
                      <w:color w:val="auto"/>
                      <w:sz w:val="21"/>
                      <w:szCs w:val="21"/>
                      <w:highlight w:val="none"/>
                    </w:rPr>
                  </w:pPr>
                  <w:r>
                    <w:rPr>
                      <w:color w:val="auto"/>
                      <w:sz w:val="21"/>
                      <w:szCs w:val="21"/>
                      <w:highlight w:val="none"/>
                    </w:rPr>
                    <w:t>氨</w:t>
                  </w:r>
                  <w:r>
                    <w:rPr>
                      <w:rFonts w:hint="eastAsia"/>
                      <w:color w:val="auto"/>
                      <w:sz w:val="21"/>
                      <w:szCs w:val="21"/>
                      <w:highlight w:val="none"/>
                    </w:rPr>
                    <w:t>（</w:t>
                  </w:r>
                  <w:r>
                    <w:rPr>
                      <w:rFonts w:hint="eastAsia"/>
                      <w:color w:val="auto"/>
                      <w:kern w:val="0"/>
                      <w:sz w:val="21"/>
                      <w:szCs w:val="21"/>
                      <w:highlight w:val="none"/>
                      <w:lang w:bidi="ar"/>
                    </w:rPr>
                    <w:t>m</w:t>
                  </w:r>
                  <w:r>
                    <w:rPr>
                      <w:color w:val="auto"/>
                      <w:kern w:val="0"/>
                      <w:sz w:val="21"/>
                      <w:szCs w:val="21"/>
                      <w:highlight w:val="none"/>
                      <w:lang w:bidi="ar"/>
                    </w:rPr>
                    <w:t>g/m</w:t>
                  </w:r>
                  <w:r>
                    <w:rPr>
                      <w:color w:val="auto"/>
                      <w:kern w:val="0"/>
                      <w:sz w:val="21"/>
                      <w:szCs w:val="21"/>
                      <w:highlight w:val="none"/>
                      <w:vertAlign w:val="superscript"/>
                      <w:lang w:bidi="ar"/>
                    </w:rPr>
                    <w:t>3</w:t>
                  </w:r>
                  <w:r>
                    <w:rPr>
                      <w:rFonts w:hint="eastAsia"/>
                      <w:color w:val="auto"/>
                      <w:sz w:val="21"/>
                      <w:szCs w:val="21"/>
                      <w:highlight w:val="none"/>
                    </w:rPr>
                    <w:t>）</w:t>
                  </w:r>
                </w:p>
              </w:tc>
              <w:tc>
                <w:tcPr>
                  <w:tcW w:w="1366" w:type="dxa"/>
                  <w:vAlign w:val="center"/>
                </w:tcPr>
                <w:p w14:paraId="730149AC">
                  <w:pPr>
                    <w:spacing w:line="240" w:lineRule="auto"/>
                    <w:ind w:firstLine="0" w:firstLineChars="0"/>
                    <w:jc w:val="center"/>
                    <w:rPr>
                      <w:color w:val="auto"/>
                      <w:sz w:val="21"/>
                      <w:szCs w:val="21"/>
                      <w:highlight w:val="none"/>
                    </w:rPr>
                  </w:pPr>
                  <w:r>
                    <w:rPr>
                      <w:color w:val="auto"/>
                      <w:sz w:val="21"/>
                      <w:szCs w:val="21"/>
                      <w:highlight w:val="none"/>
                    </w:rPr>
                    <w:t>硫化氢</w:t>
                  </w:r>
                  <w:r>
                    <w:rPr>
                      <w:rFonts w:hint="eastAsia"/>
                      <w:color w:val="auto"/>
                      <w:sz w:val="21"/>
                      <w:szCs w:val="21"/>
                      <w:highlight w:val="none"/>
                    </w:rPr>
                    <w:t>（</w:t>
                  </w:r>
                  <w:r>
                    <w:rPr>
                      <w:rFonts w:hint="eastAsia"/>
                      <w:color w:val="auto"/>
                      <w:kern w:val="0"/>
                      <w:sz w:val="21"/>
                      <w:szCs w:val="21"/>
                      <w:highlight w:val="none"/>
                      <w:lang w:bidi="ar"/>
                    </w:rPr>
                    <w:t>m</w:t>
                  </w:r>
                  <w:r>
                    <w:rPr>
                      <w:color w:val="auto"/>
                      <w:kern w:val="0"/>
                      <w:sz w:val="21"/>
                      <w:szCs w:val="21"/>
                      <w:highlight w:val="none"/>
                      <w:lang w:bidi="ar"/>
                    </w:rPr>
                    <w:t>g/m</w:t>
                  </w:r>
                  <w:r>
                    <w:rPr>
                      <w:color w:val="auto"/>
                      <w:kern w:val="0"/>
                      <w:sz w:val="21"/>
                      <w:szCs w:val="21"/>
                      <w:highlight w:val="none"/>
                      <w:vertAlign w:val="superscript"/>
                      <w:lang w:bidi="ar"/>
                    </w:rPr>
                    <w:t>3</w:t>
                  </w:r>
                  <w:r>
                    <w:rPr>
                      <w:rFonts w:hint="eastAsia"/>
                      <w:color w:val="auto"/>
                      <w:sz w:val="21"/>
                      <w:szCs w:val="21"/>
                      <w:highlight w:val="none"/>
                    </w:rPr>
                    <w:t>）</w:t>
                  </w:r>
                </w:p>
              </w:tc>
              <w:tc>
                <w:tcPr>
                  <w:tcW w:w="1180" w:type="dxa"/>
                  <w:vAlign w:val="center"/>
                </w:tcPr>
                <w:p w14:paraId="6EB8C1A2">
                  <w:pPr>
                    <w:spacing w:line="240" w:lineRule="auto"/>
                    <w:ind w:firstLine="0" w:firstLineChars="0"/>
                    <w:jc w:val="center"/>
                    <w:rPr>
                      <w:color w:val="auto"/>
                      <w:sz w:val="21"/>
                      <w:szCs w:val="21"/>
                      <w:highlight w:val="none"/>
                    </w:rPr>
                  </w:pPr>
                  <w:r>
                    <w:rPr>
                      <w:color w:val="auto"/>
                      <w:sz w:val="21"/>
                      <w:szCs w:val="21"/>
                      <w:highlight w:val="none"/>
                    </w:rPr>
                    <w:t>臭气浓度（无量纲）</w:t>
                  </w:r>
                </w:p>
              </w:tc>
            </w:tr>
            <w:tr w14:paraId="3E790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732" w:type="dxa"/>
                  <w:vMerge w:val="restart"/>
                  <w:vAlign w:val="center"/>
                </w:tcPr>
                <w:p w14:paraId="4732A749">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15</w:t>
                  </w:r>
                  <w:r>
                    <w:rPr>
                      <w:color w:val="auto"/>
                      <w:sz w:val="21"/>
                      <w:szCs w:val="21"/>
                      <w:highlight w:val="none"/>
                    </w:rPr>
                    <w:t>日</w:t>
                  </w:r>
                </w:p>
              </w:tc>
              <w:tc>
                <w:tcPr>
                  <w:tcW w:w="1126" w:type="dxa"/>
                  <w:vMerge w:val="restart"/>
                  <w:vAlign w:val="center"/>
                </w:tcPr>
                <w:p w14:paraId="4A146463">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江城卫生院</w:t>
                  </w:r>
                  <w:r>
                    <w:rPr>
                      <w:color w:val="auto"/>
                      <w:sz w:val="21"/>
                      <w:szCs w:val="21"/>
                      <w:highlight w:val="none"/>
                    </w:rPr>
                    <w:t>污水处理站下风向</w:t>
                  </w:r>
                </w:p>
              </w:tc>
              <w:tc>
                <w:tcPr>
                  <w:tcW w:w="2196" w:type="dxa"/>
                  <w:vAlign w:val="center"/>
                </w:tcPr>
                <w:p w14:paraId="465A9612">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WNH320251106002-2-1-1</w:t>
                  </w:r>
                </w:p>
              </w:tc>
              <w:tc>
                <w:tcPr>
                  <w:tcW w:w="949" w:type="dxa"/>
                  <w:vAlign w:val="center"/>
                </w:tcPr>
                <w:p w14:paraId="1D80EFA5">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0.07</w:t>
                  </w:r>
                </w:p>
              </w:tc>
              <w:tc>
                <w:tcPr>
                  <w:tcW w:w="1366" w:type="dxa"/>
                  <w:vAlign w:val="center"/>
                </w:tcPr>
                <w:p w14:paraId="04ED4990">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0.005</w:t>
                  </w:r>
                </w:p>
              </w:tc>
              <w:tc>
                <w:tcPr>
                  <w:tcW w:w="1180" w:type="dxa"/>
                  <w:vAlign w:val="center"/>
                </w:tcPr>
                <w:p w14:paraId="4954A66A">
                  <w:pPr>
                    <w:spacing w:line="240" w:lineRule="auto"/>
                    <w:ind w:firstLine="0" w:firstLineChars="0"/>
                    <w:jc w:val="center"/>
                    <w:rPr>
                      <w:color w:val="auto"/>
                      <w:sz w:val="21"/>
                      <w:szCs w:val="18"/>
                      <w:highlight w:val="none"/>
                    </w:rPr>
                  </w:pPr>
                  <w:r>
                    <w:rPr>
                      <w:color w:val="auto"/>
                      <w:sz w:val="21"/>
                      <w:szCs w:val="18"/>
                      <w:highlight w:val="none"/>
                    </w:rPr>
                    <w:t>＜10</w:t>
                  </w:r>
                </w:p>
              </w:tc>
            </w:tr>
            <w:tr w14:paraId="7FD9E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732" w:type="dxa"/>
                  <w:vMerge w:val="continue"/>
                  <w:vAlign w:val="center"/>
                </w:tcPr>
                <w:p w14:paraId="307EEC59">
                  <w:pPr>
                    <w:spacing w:line="240" w:lineRule="auto"/>
                    <w:ind w:firstLine="0" w:firstLineChars="0"/>
                    <w:jc w:val="center"/>
                    <w:rPr>
                      <w:color w:val="auto"/>
                      <w:sz w:val="21"/>
                      <w:szCs w:val="21"/>
                      <w:highlight w:val="none"/>
                    </w:rPr>
                  </w:pPr>
                </w:p>
              </w:tc>
              <w:tc>
                <w:tcPr>
                  <w:tcW w:w="1126" w:type="dxa"/>
                  <w:vMerge w:val="continue"/>
                  <w:vAlign w:val="center"/>
                </w:tcPr>
                <w:p w14:paraId="494A1A7D">
                  <w:pPr>
                    <w:spacing w:line="240" w:lineRule="auto"/>
                    <w:ind w:firstLine="0" w:firstLineChars="0"/>
                    <w:jc w:val="center"/>
                    <w:rPr>
                      <w:color w:val="auto"/>
                      <w:sz w:val="21"/>
                      <w:szCs w:val="21"/>
                      <w:highlight w:val="none"/>
                    </w:rPr>
                  </w:pPr>
                </w:p>
              </w:tc>
              <w:tc>
                <w:tcPr>
                  <w:tcW w:w="2196" w:type="dxa"/>
                  <w:vAlign w:val="center"/>
                </w:tcPr>
                <w:p w14:paraId="4B588293">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WNH320251106002-2-1-2</w:t>
                  </w:r>
                </w:p>
              </w:tc>
              <w:tc>
                <w:tcPr>
                  <w:tcW w:w="949" w:type="dxa"/>
                  <w:vAlign w:val="center"/>
                </w:tcPr>
                <w:p w14:paraId="6E2628C1">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0.07</w:t>
                  </w:r>
                </w:p>
              </w:tc>
              <w:tc>
                <w:tcPr>
                  <w:tcW w:w="1366" w:type="dxa"/>
                  <w:vAlign w:val="center"/>
                </w:tcPr>
                <w:p w14:paraId="79306C94">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0.007</w:t>
                  </w:r>
                </w:p>
              </w:tc>
              <w:tc>
                <w:tcPr>
                  <w:tcW w:w="1180" w:type="dxa"/>
                  <w:vAlign w:val="center"/>
                </w:tcPr>
                <w:p w14:paraId="40BB2D60">
                  <w:pPr>
                    <w:spacing w:line="240" w:lineRule="auto"/>
                    <w:ind w:firstLine="0" w:firstLineChars="0"/>
                    <w:jc w:val="center"/>
                    <w:rPr>
                      <w:color w:val="auto"/>
                      <w:sz w:val="21"/>
                      <w:szCs w:val="18"/>
                      <w:highlight w:val="none"/>
                    </w:rPr>
                  </w:pPr>
                  <w:r>
                    <w:rPr>
                      <w:color w:val="auto"/>
                      <w:sz w:val="21"/>
                      <w:szCs w:val="18"/>
                      <w:highlight w:val="none"/>
                    </w:rPr>
                    <w:t>＜10</w:t>
                  </w:r>
                </w:p>
              </w:tc>
            </w:tr>
            <w:tr w14:paraId="6719B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732" w:type="dxa"/>
                  <w:vMerge w:val="continue"/>
                  <w:vAlign w:val="center"/>
                </w:tcPr>
                <w:p w14:paraId="62C5ACE1">
                  <w:pPr>
                    <w:spacing w:line="240" w:lineRule="auto"/>
                    <w:ind w:firstLine="0" w:firstLineChars="0"/>
                    <w:jc w:val="center"/>
                    <w:rPr>
                      <w:color w:val="auto"/>
                      <w:sz w:val="21"/>
                      <w:szCs w:val="21"/>
                      <w:highlight w:val="none"/>
                    </w:rPr>
                  </w:pPr>
                </w:p>
              </w:tc>
              <w:tc>
                <w:tcPr>
                  <w:tcW w:w="1126" w:type="dxa"/>
                  <w:vMerge w:val="continue"/>
                  <w:vAlign w:val="center"/>
                </w:tcPr>
                <w:p w14:paraId="3C4B6F45">
                  <w:pPr>
                    <w:spacing w:line="240" w:lineRule="auto"/>
                    <w:ind w:firstLine="0" w:firstLineChars="0"/>
                    <w:jc w:val="center"/>
                    <w:rPr>
                      <w:color w:val="auto"/>
                      <w:sz w:val="21"/>
                      <w:szCs w:val="21"/>
                      <w:highlight w:val="none"/>
                    </w:rPr>
                  </w:pPr>
                </w:p>
              </w:tc>
              <w:tc>
                <w:tcPr>
                  <w:tcW w:w="2196" w:type="dxa"/>
                  <w:vAlign w:val="center"/>
                </w:tcPr>
                <w:p w14:paraId="3EBECAD3">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WNH320251106002-2-1-3</w:t>
                  </w:r>
                </w:p>
              </w:tc>
              <w:tc>
                <w:tcPr>
                  <w:tcW w:w="949" w:type="dxa"/>
                  <w:vAlign w:val="center"/>
                </w:tcPr>
                <w:p w14:paraId="57873ED3">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0.05</w:t>
                  </w:r>
                </w:p>
              </w:tc>
              <w:tc>
                <w:tcPr>
                  <w:tcW w:w="1366" w:type="dxa"/>
                  <w:vAlign w:val="center"/>
                </w:tcPr>
                <w:p w14:paraId="475EAF22">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0.006</w:t>
                  </w:r>
                </w:p>
              </w:tc>
              <w:tc>
                <w:tcPr>
                  <w:tcW w:w="1180" w:type="dxa"/>
                  <w:vAlign w:val="center"/>
                </w:tcPr>
                <w:p w14:paraId="2B572474">
                  <w:pPr>
                    <w:spacing w:line="240" w:lineRule="auto"/>
                    <w:ind w:firstLine="0" w:firstLineChars="0"/>
                    <w:jc w:val="center"/>
                    <w:rPr>
                      <w:color w:val="auto"/>
                      <w:sz w:val="21"/>
                      <w:szCs w:val="18"/>
                      <w:highlight w:val="none"/>
                    </w:rPr>
                  </w:pPr>
                  <w:r>
                    <w:rPr>
                      <w:color w:val="auto"/>
                      <w:sz w:val="21"/>
                      <w:szCs w:val="18"/>
                      <w:highlight w:val="none"/>
                    </w:rPr>
                    <w:t>＜10</w:t>
                  </w:r>
                </w:p>
              </w:tc>
            </w:tr>
            <w:tr w14:paraId="7ED11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32" w:type="dxa"/>
                  <w:vMerge w:val="continue"/>
                  <w:vAlign w:val="center"/>
                </w:tcPr>
                <w:p w14:paraId="5AFA71AC">
                  <w:pPr>
                    <w:spacing w:line="240" w:lineRule="auto"/>
                    <w:ind w:firstLine="0" w:firstLineChars="0"/>
                    <w:jc w:val="center"/>
                    <w:rPr>
                      <w:color w:val="auto"/>
                      <w:sz w:val="21"/>
                      <w:szCs w:val="21"/>
                      <w:highlight w:val="none"/>
                    </w:rPr>
                  </w:pPr>
                </w:p>
              </w:tc>
              <w:tc>
                <w:tcPr>
                  <w:tcW w:w="1126" w:type="dxa"/>
                  <w:vMerge w:val="continue"/>
                  <w:vAlign w:val="center"/>
                </w:tcPr>
                <w:p w14:paraId="5542A346">
                  <w:pPr>
                    <w:spacing w:line="240" w:lineRule="auto"/>
                    <w:ind w:firstLine="0" w:firstLineChars="0"/>
                    <w:jc w:val="center"/>
                    <w:rPr>
                      <w:color w:val="auto"/>
                      <w:sz w:val="21"/>
                      <w:szCs w:val="21"/>
                      <w:highlight w:val="none"/>
                    </w:rPr>
                  </w:pPr>
                </w:p>
              </w:tc>
              <w:tc>
                <w:tcPr>
                  <w:tcW w:w="2196" w:type="dxa"/>
                  <w:vAlign w:val="center"/>
                </w:tcPr>
                <w:p w14:paraId="73A558D4">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WNH320251106002-2-1-4</w:t>
                  </w:r>
                </w:p>
              </w:tc>
              <w:tc>
                <w:tcPr>
                  <w:tcW w:w="949" w:type="dxa"/>
                  <w:vAlign w:val="center"/>
                </w:tcPr>
                <w:p w14:paraId="5A3BCFA4">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0.06</w:t>
                  </w:r>
                </w:p>
              </w:tc>
              <w:tc>
                <w:tcPr>
                  <w:tcW w:w="1366" w:type="dxa"/>
                  <w:vAlign w:val="center"/>
                </w:tcPr>
                <w:p w14:paraId="4A57F2A6">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0.007</w:t>
                  </w:r>
                </w:p>
              </w:tc>
              <w:tc>
                <w:tcPr>
                  <w:tcW w:w="1180" w:type="dxa"/>
                  <w:vAlign w:val="center"/>
                </w:tcPr>
                <w:p w14:paraId="23300394">
                  <w:pPr>
                    <w:spacing w:line="240" w:lineRule="auto"/>
                    <w:ind w:firstLine="0" w:firstLineChars="0"/>
                    <w:jc w:val="center"/>
                    <w:rPr>
                      <w:color w:val="auto"/>
                      <w:sz w:val="21"/>
                      <w:szCs w:val="18"/>
                      <w:highlight w:val="none"/>
                    </w:rPr>
                  </w:pPr>
                  <w:r>
                    <w:rPr>
                      <w:color w:val="auto"/>
                      <w:sz w:val="21"/>
                      <w:szCs w:val="18"/>
                      <w:highlight w:val="none"/>
                    </w:rPr>
                    <w:t>＜10</w:t>
                  </w:r>
                </w:p>
              </w:tc>
            </w:tr>
            <w:tr w14:paraId="2E73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732" w:type="dxa"/>
                  <w:vMerge w:val="restart"/>
                  <w:vAlign w:val="center"/>
                </w:tcPr>
                <w:p w14:paraId="611B15B2">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16</w:t>
                  </w:r>
                  <w:r>
                    <w:rPr>
                      <w:color w:val="auto"/>
                      <w:sz w:val="21"/>
                      <w:szCs w:val="21"/>
                      <w:highlight w:val="none"/>
                    </w:rPr>
                    <w:t>日</w:t>
                  </w:r>
                </w:p>
              </w:tc>
              <w:tc>
                <w:tcPr>
                  <w:tcW w:w="1126" w:type="dxa"/>
                  <w:vMerge w:val="restart"/>
                  <w:vAlign w:val="center"/>
                </w:tcPr>
                <w:p w14:paraId="64809284">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江城卫生院</w:t>
                  </w:r>
                  <w:r>
                    <w:rPr>
                      <w:color w:val="auto"/>
                      <w:sz w:val="21"/>
                      <w:szCs w:val="21"/>
                      <w:highlight w:val="none"/>
                    </w:rPr>
                    <w:t>污水处理站下风向</w:t>
                  </w:r>
                </w:p>
              </w:tc>
              <w:tc>
                <w:tcPr>
                  <w:tcW w:w="2196" w:type="dxa"/>
                  <w:vAlign w:val="center"/>
                </w:tcPr>
                <w:p w14:paraId="597C8E2B">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WNH320251106002-2-2-1</w:t>
                  </w:r>
                </w:p>
              </w:tc>
              <w:tc>
                <w:tcPr>
                  <w:tcW w:w="949" w:type="dxa"/>
                  <w:vAlign w:val="center"/>
                </w:tcPr>
                <w:p w14:paraId="561DF980">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0.06</w:t>
                  </w:r>
                </w:p>
              </w:tc>
              <w:tc>
                <w:tcPr>
                  <w:tcW w:w="1366" w:type="dxa"/>
                  <w:vAlign w:val="center"/>
                </w:tcPr>
                <w:p w14:paraId="0D1FA0E7">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0.005</w:t>
                  </w:r>
                </w:p>
              </w:tc>
              <w:tc>
                <w:tcPr>
                  <w:tcW w:w="1180" w:type="dxa"/>
                  <w:vAlign w:val="center"/>
                </w:tcPr>
                <w:p w14:paraId="5B220DA0">
                  <w:pPr>
                    <w:spacing w:line="240" w:lineRule="auto"/>
                    <w:ind w:firstLine="0" w:firstLineChars="0"/>
                    <w:jc w:val="center"/>
                    <w:rPr>
                      <w:color w:val="auto"/>
                      <w:sz w:val="21"/>
                      <w:szCs w:val="18"/>
                      <w:highlight w:val="none"/>
                    </w:rPr>
                  </w:pPr>
                  <w:r>
                    <w:rPr>
                      <w:color w:val="auto"/>
                      <w:sz w:val="21"/>
                      <w:szCs w:val="18"/>
                      <w:highlight w:val="none"/>
                    </w:rPr>
                    <w:t>＜10</w:t>
                  </w:r>
                </w:p>
              </w:tc>
            </w:tr>
            <w:tr w14:paraId="53DC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732" w:type="dxa"/>
                  <w:vMerge w:val="continue"/>
                  <w:vAlign w:val="center"/>
                </w:tcPr>
                <w:p w14:paraId="581B4CAD">
                  <w:pPr>
                    <w:spacing w:line="240" w:lineRule="auto"/>
                    <w:ind w:firstLine="0" w:firstLineChars="0"/>
                    <w:jc w:val="center"/>
                    <w:rPr>
                      <w:color w:val="auto"/>
                      <w:sz w:val="21"/>
                      <w:szCs w:val="21"/>
                      <w:highlight w:val="none"/>
                    </w:rPr>
                  </w:pPr>
                </w:p>
              </w:tc>
              <w:tc>
                <w:tcPr>
                  <w:tcW w:w="1126" w:type="dxa"/>
                  <w:vMerge w:val="continue"/>
                  <w:vAlign w:val="center"/>
                </w:tcPr>
                <w:p w14:paraId="05E506AD">
                  <w:pPr>
                    <w:spacing w:line="240" w:lineRule="auto"/>
                    <w:ind w:firstLine="0" w:firstLineChars="0"/>
                    <w:jc w:val="center"/>
                    <w:rPr>
                      <w:color w:val="auto"/>
                      <w:sz w:val="21"/>
                      <w:szCs w:val="21"/>
                      <w:highlight w:val="none"/>
                    </w:rPr>
                  </w:pPr>
                </w:p>
              </w:tc>
              <w:tc>
                <w:tcPr>
                  <w:tcW w:w="2196" w:type="dxa"/>
                  <w:vAlign w:val="center"/>
                </w:tcPr>
                <w:p w14:paraId="65252CB0">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WNH320251106002-2-2-2</w:t>
                  </w:r>
                </w:p>
              </w:tc>
              <w:tc>
                <w:tcPr>
                  <w:tcW w:w="949" w:type="dxa"/>
                  <w:vAlign w:val="center"/>
                </w:tcPr>
                <w:p w14:paraId="4B48AD30">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0.04</w:t>
                  </w:r>
                </w:p>
              </w:tc>
              <w:tc>
                <w:tcPr>
                  <w:tcW w:w="1366" w:type="dxa"/>
                  <w:vAlign w:val="center"/>
                </w:tcPr>
                <w:p w14:paraId="0E0DA694">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0.006</w:t>
                  </w:r>
                </w:p>
              </w:tc>
              <w:tc>
                <w:tcPr>
                  <w:tcW w:w="1180" w:type="dxa"/>
                  <w:vAlign w:val="center"/>
                </w:tcPr>
                <w:p w14:paraId="510DD156">
                  <w:pPr>
                    <w:spacing w:line="240" w:lineRule="auto"/>
                    <w:ind w:firstLine="0" w:firstLineChars="0"/>
                    <w:jc w:val="center"/>
                    <w:rPr>
                      <w:color w:val="auto"/>
                      <w:sz w:val="21"/>
                      <w:szCs w:val="18"/>
                      <w:highlight w:val="none"/>
                    </w:rPr>
                  </w:pPr>
                  <w:r>
                    <w:rPr>
                      <w:color w:val="auto"/>
                      <w:sz w:val="21"/>
                      <w:szCs w:val="18"/>
                      <w:highlight w:val="none"/>
                    </w:rPr>
                    <w:t>＜10</w:t>
                  </w:r>
                </w:p>
              </w:tc>
            </w:tr>
            <w:tr w14:paraId="360AA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732" w:type="dxa"/>
                  <w:vMerge w:val="continue"/>
                  <w:vAlign w:val="center"/>
                </w:tcPr>
                <w:p w14:paraId="6CDE3B30">
                  <w:pPr>
                    <w:spacing w:line="240" w:lineRule="auto"/>
                    <w:ind w:firstLine="0" w:firstLineChars="0"/>
                    <w:jc w:val="center"/>
                    <w:rPr>
                      <w:color w:val="auto"/>
                      <w:sz w:val="21"/>
                      <w:szCs w:val="21"/>
                      <w:highlight w:val="none"/>
                    </w:rPr>
                  </w:pPr>
                </w:p>
              </w:tc>
              <w:tc>
                <w:tcPr>
                  <w:tcW w:w="1126" w:type="dxa"/>
                  <w:vMerge w:val="continue"/>
                  <w:vAlign w:val="center"/>
                </w:tcPr>
                <w:p w14:paraId="1FD419A1">
                  <w:pPr>
                    <w:spacing w:line="240" w:lineRule="auto"/>
                    <w:ind w:firstLine="0" w:firstLineChars="0"/>
                    <w:jc w:val="center"/>
                    <w:rPr>
                      <w:color w:val="auto"/>
                      <w:sz w:val="21"/>
                      <w:szCs w:val="21"/>
                      <w:highlight w:val="none"/>
                    </w:rPr>
                  </w:pPr>
                </w:p>
              </w:tc>
              <w:tc>
                <w:tcPr>
                  <w:tcW w:w="2196" w:type="dxa"/>
                  <w:vAlign w:val="center"/>
                </w:tcPr>
                <w:p w14:paraId="692D64BA">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WNH320251106002-2-2-3</w:t>
                  </w:r>
                </w:p>
              </w:tc>
              <w:tc>
                <w:tcPr>
                  <w:tcW w:w="949" w:type="dxa"/>
                  <w:vAlign w:val="center"/>
                </w:tcPr>
                <w:p w14:paraId="77ECACC0">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0.06</w:t>
                  </w:r>
                </w:p>
              </w:tc>
              <w:tc>
                <w:tcPr>
                  <w:tcW w:w="1366" w:type="dxa"/>
                  <w:vAlign w:val="center"/>
                </w:tcPr>
                <w:p w14:paraId="2F5D17D9">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0.006</w:t>
                  </w:r>
                </w:p>
              </w:tc>
              <w:tc>
                <w:tcPr>
                  <w:tcW w:w="1180" w:type="dxa"/>
                  <w:vAlign w:val="center"/>
                </w:tcPr>
                <w:p w14:paraId="023DE65C">
                  <w:pPr>
                    <w:spacing w:line="240" w:lineRule="auto"/>
                    <w:ind w:firstLine="0" w:firstLineChars="0"/>
                    <w:jc w:val="center"/>
                    <w:rPr>
                      <w:color w:val="auto"/>
                      <w:sz w:val="21"/>
                      <w:szCs w:val="18"/>
                      <w:highlight w:val="none"/>
                    </w:rPr>
                  </w:pPr>
                  <w:r>
                    <w:rPr>
                      <w:color w:val="auto"/>
                      <w:sz w:val="21"/>
                      <w:szCs w:val="18"/>
                      <w:highlight w:val="none"/>
                    </w:rPr>
                    <w:t>＜10</w:t>
                  </w:r>
                </w:p>
              </w:tc>
            </w:tr>
            <w:tr w14:paraId="49BA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732" w:type="dxa"/>
                  <w:vMerge w:val="continue"/>
                  <w:vAlign w:val="center"/>
                </w:tcPr>
                <w:p w14:paraId="3D94E309">
                  <w:pPr>
                    <w:spacing w:line="240" w:lineRule="auto"/>
                    <w:ind w:firstLine="0" w:firstLineChars="0"/>
                    <w:jc w:val="center"/>
                    <w:rPr>
                      <w:color w:val="auto"/>
                      <w:sz w:val="21"/>
                      <w:szCs w:val="21"/>
                      <w:highlight w:val="none"/>
                    </w:rPr>
                  </w:pPr>
                </w:p>
              </w:tc>
              <w:tc>
                <w:tcPr>
                  <w:tcW w:w="1126" w:type="dxa"/>
                  <w:vMerge w:val="continue"/>
                  <w:vAlign w:val="center"/>
                </w:tcPr>
                <w:p w14:paraId="6588DEB2">
                  <w:pPr>
                    <w:spacing w:line="240" w:lineRule="auto"/>
                    <w:ind w:firstLine="0" w:firstLineChars="0"/>
                    <w:jc w:val="center"/>
                    <w:rPr>
                      <w:color w:val="auto"/>
                      <w:sz w:val="21"/>
                      <w:szCs w:val="21"/>
                      <w:highlight w:val="none"/>
                    </w:rPr>
                  </w:pPr>
                </w:p>
              </w:tc>
              <w:tc>
                <w:tcPr>
                  <w:tcW w:w="2196" w:type="dxa"/>
                  <w:vAlign w:val="center"/>
                </w:tcPr>
                <w:p w14:paraId="5C1A7045">
                  <w:pPr>
                    <w:spacing w:line="240" w:lineRule="auto"/>
                    <w:ind w:firstLine="0" w:firstLineChars="0"/>
                    <w:jc w:val="center"/>
                    <w:rPr>
                      <w:rFonts w:eastAsia="宋体"/>
                      <w:color w:val="auto"/>
                      <w:sz w:val="21"/>
                      <w:szCs w:val="20"/>
                      <w:highlight w:val="none"/>
                    </w:rPr>
                  </w:pPr>
                  <w:r>
                    <w:rPr>
                      <w:rFonts w:hint="eastAsia" w:eastAsia="宋体"/>
                      <w:color w:val="auto"/>
                      <w:sz w:val="21"/>
                      <w:szCs w:val="20"/>
                      <w:highlight w:val="none"/>
                      <w:lang w:val="en-US" w:eastAsia="zh-CN"/>
                    </w:rPr>
                    <w:t>WNH320251106002-2-2-4</w:t>
                  </w:r>
                </w:p>
              </w:tc>
              <w:tc>
                <w:tcPr>
                  <w:tcW w:w="949" w:type="dxa"/>
                  <w:vAlign w:val="center"/>
                </w:tcPr>
                <w:p w14:paraId="170382E6">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0.05</w:t>
                  </w:r>
                </w:p>
              </w:tc>
              <w:tc>
                <w:tcPr>
                  <w:tcW w:w="1366" w:type="dxa"/>
                  <w:vAlign w:val="center"/>
                </w:tcPr>
                <w:p w14:paraId="6B62C8D8">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0.004</w:t>
                  </w:r>
                </w:p>
              </w:tc>
              <w:tc>
                <w:tcPr>
                  <w:tcW w:w="1180" w:type="dxa"/>
                  <w:vAlign w:val="center"/>
                </w:tcPr>
                <w:p w14:paraId="463EEB03">
                  <w:pPr>
                    <w:spacing w:line="240" w:lineRule="auto"/>
                    <w:ind w:firstLine="0" w:firstLineChars="0"/>
                    <w:jc w:val="center"/>
                    <w:rPr>
                      <w:color w:val="auto"/>
                      <w:sz w:val="21"/>
                      <w:szCs w:val="18"/>
                      <w:highlight w:val="none"/>
                    </w:rPr>
                  </w:pPr>
                  <w:r>
                    <w:rPr>
                      <w:color w:val="auto"/>
                      <w:sz w:val="21"/>
                      <w:szCs w:val="18"/>
                      <w:highlight w:val="none"/>
                    </w:rPr>
                    <w:t>＜10</w:t>
                  </w:r>
                </w:p>
              </w:tc>
            </w:tr>
            <w:tr w14:paraId="7555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732" w:type="dxa"/>
                  <w:vMerge w:val="restart"/>
                  <w:vAlign w:val="center"/>
                </w:tcPr>
                <w:p w14:paraId="7C36EA59">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17</w:t>
                  </w:r>
                  <w:r>
                    <w:rPr>
                      <w:color w:val="auto"/>
                      <w:sz w:val="21"/>
                      <w:szCs w:val="21"/>
                      <w:highlight w:val="none"/>
                    </w:rPr>
                    <w:t>日</w:t>
                  </w:r>
                </w:p>
              </w:tc>
              <w:tc>
                <w:tcPr>
                  <w:tcW w:w="1126" w:type="dxa"/>
                  <w:vMerge w:val="restart"/>
                  <w:vAlign w:val="center"/>
                </w:tcPr>
                <w:p w14:paraId="11F2E116">
                  <w:pPr>
                    <w:spacing w:line="240" w:lineRule="auto"/>
                    <w:ind w:firstLine="0" w:firstLineChars="0"/>
                    <w:jc w:val="center"/>
                    <w:rPr>
                      <w:color w:val="auto"/>
                      <w:sz w:val="21"/>
                      <w:szCs w:val="21"/>
                      <w:highlight w:val="none"/>
                    </w:rPr>
                  </w:pPr>
                  <w:r>
                    <w:rPr>
                      <w:rFonts w:hint="eastAsia"/>
                      <w:color w:val="auto"/>
                      <w:sz w:val="21"/>
                      <w:szCs w:val="21"/>
                      <w:highlight w:val="none"/>
                      <w:lang w:val="en-US" w:eastAsia="zh-CN"/>
                    </w:rPr>
                    <w:t>江城卫生院</w:t>
                  </w:r>
                  <w:r>
                    <w:rPr>
                      <w:color w:val="auto"/>
                      <w:sz w:val="21"/>
                      <w:szCs w:val="21"/>
                      <w:highlight w:val="none"/>
                    </w:rPr>
                    <w:t>污水处理站下风向</w:t>
                  </w:r>
                </w:p>
              </w:tc>
              <w:tc>
                <w:tcPr>
                  <w:tcW w:w="2196" w:type="dxa"/>
                  <w:vAlign w:val="center"/>
                </w:tcPr>
                <w:p w14:paraId="5F8FB4FF">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WNH320251106002-2-3-1</w:t>
                  </w:r>
                </w:p>
              </w:tc>
              <w:tc>
                <w:tcPr>
                  <w:tcW w:w="949" w:type="dxa"/>
                  <w:vAlign w:val="center"/>
                </w:tcPr>
                <w:p w14:paraId="4B242AAB">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0.05</w:t>
                  </w:r>
                </w:p>
              </w:tc>
              <w:tc>
                <w:tcPr>
                  <w:tcW w:w="1366" w:type="dxa"/>
                  <w:vAlign w:val="center"/>
                </w:tcPr>
                <w:p w14:paraId="51FB4401">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0.004</w:t>
                  </w:r>
                </w:p>
              </w:tc>
              <w:tc>
                <w:tcPr>
                  <w:tcW w:w="1180" w:type="dxa"/>
                  <w:vAlign w:val="center"/>
                </w:tcPr>
                <w:p w14:paraId="44BF0618">
                  <w:pPr>
                    <w:spacing w:line="240" w:lineRule="auto"/>
                    <w:ind w:firstLine="0" w:firstLineChars="0"/>
                    <w:jc w:val="center"/>
                    <w:rPr>
                      <w:color w:val="auto"/>
                      <w:sz w:val="21"/>
                      <w:szCs w:val="18"/>
                      <w:highlight w:val="none"/>
                    </w:rPr>
                  </w:pPr>
                  <w:r>
                    <w:rPr>
                      <w:color w:val="auto"/>
                      <w:sz w:val="21"/>
                      <w:szCs w:val="18"/>
                      <w:highlight w:val="none"/>
                    </w:rPr>
                    <w:t>＜10</w:t>
                  </w:r>
                </w:p>
              </w:tc>
            </w:tr>
            <w:tr w14:paraId="71B77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732" w:type="dxa"/>
                  <w:vMerge w:val="continue"/>
                  <w:vAlign w:val="center"/>
                </w:tcPr>
                <w:p w14:paraId="4D7A0935">
                  <w:pPr>
                    <w:spacing w:line="240" w:lineRule="auto"/>
                    <w:ind w:firstLine="0" w:firstLineChars="0"/>
                    <w:jc w:val="center"/>
                    <w:rPr>
                      <w:color w:val="auto"/>
                      <w:sz w:val="21"/>
                      <w:szCs w:val="21"/>
                      <w:highlight w:val="none"/>
                    </w:rPr>
                  </w:pPr>
                </w:p>
              </w:tc>
              <w:tc>
                <w:tcPr>
                  <w:tcW w:w="1126" w:type="dxa"/>
                  <w:vMerge w:val="continue"/>
                  <w:vAlign w:val="center"/>
                </w:tcPr>
                <w:p w14:paraId="69427E48">
                  <w:pPr>
                    <w:spacing w:line="240" w:lineRule="auto"/>
                    <w:ind w:firstLine="0" w:firstLineChars="0"/>
                    <w:jc w:val="center"/>
                    <w:rPr>
                      <w:color w:val="auto"/>
                      <w:sz w:val="21"/>
                      <w:szCs w:val="21"/>
                      <w:highlight w:val="none"/>
                    </w:rPr>
                  </w:pPr>
                </w:p>
              </w:tc>
              <w:tc>
                <w:tcPr>
                  <w:tcW w:w="2196" w:type="dxa"/>
                  <w:vAlign w:val="center"/>
                </w:tcPr>
                <w:p w14:paraId="28D9B286">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WNH320251106002-2-3-2</w:t>
                  </w:r>
                </w:p>
              </w:tc>
              <w:tc>
                <w:tcPr>
                  <w:tcW w:w="949" w:type="dxa"/>
                  <w:vAlign w:val="center"/>
                </w:tcPr>
                <w:p w14:paraId="1774F0EA">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0.06</w:t>
                  </w:r>
                </w:p>
              </w:tc>
              <w:tc>
                <w:tcPr>
                  <w:tcW w:w="1366" w:type="dxa"/>
                  <w:vAlign w:val="center"/>
                </w:tcPr>
                <w:p w14:paraId="20313555">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0.005</w:t>
                  </w:r>
                </w:p>
              </w:tc>
              <w:tc>
                <w:tcPr>
                  <w:tcW w:w="1180" w:type="dxa"/>
                  <w:vAlign w:val="center"/>
                </w:tcPr>
                <w:p w14:paraId="6EF04C7B">
                  <w:pPr>
                    <w:spacing w:line="240" w:lineRule="auto"/>
                    <w:ind w:firstLine="0" w:firstLineChars="0"/>
                    <w:jc w:val="center"/>
                    <w:rPr>
                      <w:color w:val="auto"/>
                      <w:sz w:val="21"/>
                      <w:szCs w:val="18"/>
                      <w:highlight w:val="none"/>
                    </w:rPr>
                  </w:pPr>
                  <w:r>
                    <w:rPr>
                      <w:color w:val="auto"/>
                      <w:sz w:val="21"/>
                      <w:szCs w:val="18"/>
                      <w:highlight w:val="none"/>
                    </w:rPr>
                    <w:t>＜10</w:t>
                  </w:r>
                </w:p>
              </w:tc>
            </w:tr>
            <w:tr w14:paraId="701D2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732" w:type="dxa"/>
                  <w:vMerge w:val="continue"/>
                  <w:vAlign w:val="center"/>
                </w:tcPr>
                <w:p w14:paraId="7276D520">
                  <w:pPr>
                    <w:spacing w:line="240" w:lineRule="auto"/>
                    <w:ind w:firstLine="0" w:firstLineChars="0"/>
                    <w:jc w:val="center"/>
                    <w:rPr>
                      <w:color w:val="auto"/>
                      <w:sz w:val="21"/>
                      <w:szCs w:val="21"/>
                      <w:highlight w:val="none"/>
                    </w:rPr>
                  </w:pPr>
                </w:p>
              </w:tc>
              <w:tc>
                <w:tcPr>
                  <w:tcW w:w="1126" w:type="dxa"/>
                  <w:vMerge w:val="continue"/>
                  <w:vAlign w:val="center"/>
                </w:tcPr>
                <w:p w14:paraId="6FECE076">
                  <w:pPr>
                    <w:spacing w:line="240" w:lineRule="auto"/>
                    <w:ind w:firstLine="0" w:firstLineChars="0"/>
                    <w:jc w:val="center"/>
                    <w:rPr>
                      <w:color w:val="auto"/>
                      <w:sz w:val="21"/>
                      <w:szCs w:val="21"/>
                      <w:highlight w:val="none"/>
                    </w:rPr>
                  </w:pPr>
                </w:p>
              </w:tc>
              <w:tc>
                <w:tcPr>
                  <w:tcW w:w="2196" w:type="dxa"/>
                  <w:vAlign w:val="center"/>
                </w:tcPr>
                <w:p w14:paraId="69F1C6B0">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WNH320251106002-2-3-3</w:t>
                  </w:r>
                </w:p>
              </w:tc>
              <w:tc>
                <w:tcPr>
                  <w:tcW w:w="949" w:type="dxa"/>
                  <w:vAlign w:val="center"/>
                </w:tcPr>
                <w:p w14:paraId="2060DF1E">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0.07</w:t>
                  </w:r>
                </w:p>
              </w:tc>
              <w:tc>
                <w:tcPr>
                  <w:tcW w:w="1366" w:type="dxa"/>
                  <w:vAlign w:val="center"/>
                </w:tcPr>
                <w:p w14:paraId="01629277">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0.006</w:t>
                  </w:r>
                </w:p>
              </w:tc>
              <w:tc>
                <w:tcPr>
                  <w:tcW w:w="1180" w:type="dxa"/>
                  <w:vAlign w:val="center"/>
                </w:tcPr>
                <w:p w14:paraId="029366DF">
                  <w:pPr>
                    <w:spacing w:line="240" w:lineRule="auto"/>
                    <w:ind w:firstLine="0" w:firstLineChars="0"/>
                    <w:jc w:val="center"/>
                    <w:rPr>
                      <w:color w:val="auto"/>
                      <w:sz w:val="21"/>
                      <w:szCs w:val="18"/>
                      <w:highlight w:val="none"/>
                    </w:rPr>
                  </w:pPr>
                  <w:r>
                    <w:rPr>
                      <w:color w:val="auto"/>
                      <w:sz w:val="21"/>
                      <w:szCs w:val="18"/>
                      <w:highlight w:val="none"/>
                    </w:rPr>
                    <w:t>＜10</w:t>
                  </w:r>
                </w:p>
              </w:tc>
            </w:tr>
            <w:tr w14:paraId="2D59E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732" w:type="dxa"/>
                  <w:vMerge w:val="continue"/>
                  <w:vAlign w:val="center"/>
                </w:tcPr>
                <w:p w14:paraId="3D7CBD8A">
                  <w:pPr>
                    <w:spacing w:line="240" w:lineRule="auto"/>
                    <w:ind w:firstLine="0" w:firstLineChars="0"/>
                    <w:jc w:val="center"/>
                    <w:rPr>
                      <w:color w:val="auto"/>
                      <w:sz w:val="21"/>
                      <w:szCs w:val="21"/>
                      <w:highlight w:val="none"/>
                    </w:rPr>
                  </w:pPr>
                </w:p>
              </w:tc>
              <w:tc>
                <w:tcPr>
                  <w:tcW w:w="1126" w:type="dxa"/>
                  <w:vMerge w:val="continue"/>
                  <w:vAlign w:val="center"/>
                </w:tcPr>
                <w:p w14:paraId="11987A36">
                  <w:pPr>
                    <w:spacing w:line="240" w:lineRule="auto"/>
                    <w:ind w:firstLine="0" w:firstLineChars="0"/>
                    <w:jc w:val="center"/>
                    <w:rPr>
                      <w:color w:val="auto"/>
                      <w:sz w:val="21"/>
                      <w:szCs w:val="21"/>
                      <w:highlight w:val="none"/>
                    </w:rPr>
                  </w:pPr>
                </w:p>
              </w:tc>
              <w:tc>
                <w:tcPr>
                  <w:tcW w:w="2196" w:type="dxa"/>
                  <w:vAlign w:val="center"/>
                </w:tcPr>
                <w:p w14:paraId="6DE35F9F">
                  <w:pPr>
                    <w:spacing w:line="240" w:lineRule="auto"/>
                    <w:ind w:firstLine="0" w:firstLineChars="0"/>
                    <w:jc w:val="center"/>
                    <w:rPr>
                      <w:rFonts w:hint="eastAsia" w:eastAsia="宋体"/>
                      <w:color w:val="auto"/>
                      <w:sz w:val="21"/>
                      <w:szCs w:val="20"/>
                      <w:highlight w:val="none"/>
                      <w:lang w:val="en-US" w:eastAsia="zh-CN"/>
                    </w:rPr>
                  </w:pPr>
                  <w:r>
                    <w:rPr>
                      <w:rFonts w:hint="eastAsia" w:eastAsia="宋体"/>
                      <w:color w:val="auto"/>
                      <w:sz w:val="21"/>
                      <w:szCs w:val="20"/>
                      <w:highlight w:val="none"/>
                      <w:lang w:val="en-US" w:eastAsia="zh-CN"/>
                    </w:rPr>
                    <w:t>WNH320251106002-2-3-4</w:t>
                  </w:r>
                </w:p>
              </w:tc>
              <w:tc>
                <w:tcPr>
                  <w:tcW w:w="949" w:type="dxa"/>
                  <w:vAlign w:val="center"/>
                </w:tcPr>
                <w:p w14:paraId="4EB28BE5">
                  <w:pPr>
                    <w:spacing w:line="240" w:lineRule="auto"/>
                    <w:ind w:firstLine="0" w:firstLineChars="0"/>
                    <w:jc w:val="center"/>
                    <w:rPr>
                      <w:rFonts w:eastAsia="宋体"/>
                      <w:color w:val="auto"/>
                      <w:sz w:val="21"/>
                      <w:szCs w:val="18"/>
                      <w:highlight w:val="none"/>
                    </w:rPr>
                  </w:pPr>
                  <w:r>
                    <w:rPr>
                      <w:rFonts w:hint="eastAsia" w:eastAsia="宋体"/>
                      <w:color w:val="auto"/>
                      <w:sz w:val="21"/>
                      <w:szCs w:val="18"/>
                      <w:highlight w:val="none"/>
                      <w:lang w:val="en-US" w:eastAsia="zh-CN"/>
                    </w:rPr>
                    <w:t>0.05</w:t>
                  </w:r>
                </w:p>
              </w:tc>
              <w:tc>
                <w:tcPr>
                  <w:tcW w:w="1366" w:type="dxa"/>
                  <w:vAlign w:val="center"/>
                </w:tcPr>
                <w:p w14:paraId="2A1B89FA">
                  <w:pPr>
                    <w:spacing w:line="240" w:lineRule="auto"/>
                    <w:ind w:firstLine="0" w:firstLineChars="0"/>
                    <w:jc w:val="center"/>
                    <w:rPr>
                      <w:rFonts w:hint="eastAsia" w:eastAsia="宋体"/>
                      <w:color w:val="auto"/>
                      <w:sz w:val="21"/>
                      <w:szCs w:val="18"/>
                      <w:highlight w:val="none"/>
                      <w:lang w:val="en-US" w:eastAsia="zh-CN"/>
                    </w:rPr>
                  </w:pPr>
                  <w:r>
                    <w:rPr>
                      <w:rFonts w:hint="eastAsia" w:eastAsia="宋体"/>
                      <w:color w:val="auto"/>
                      <w:sz w:val="21"/>
                      <w:szCs w:val="18"/>
                      <w:highlight w:val="none"/>
                      <w:lang w:val="en-US" w:eastAsia="zh-CN"/>
                    </w:rPr>
                    <w:t>0.005</w:t>
                  </w:r>
                </w:p>
              </w:tc>
              <w:tc>
                <w:tcPr>
                  <w:tcW w:w="1180" w:type="dxa"/>
                  <w:vAlign w:val="center"/>
                </w:tcPr>
                <w:p w14:paraId="43297FCE">
                  <w:pPr>
                    <w:spacing w:line="240" w:lineRule="auto"/>
                    <w:ind w:firstLine="0" w:firstLineChars="0"/>
                    <w:jc w:val="center"/>
                    <w:rPr>
                      <w:color w:val="auto"/>
                      <w:sz w:val="21"/>
                      <w:szCs w:val="18"/>
                      <w:highlight w:val="none"/>
                    </w:rPr>
                  </w:pPr>
                  <w:r>
                    <w:rPr>
                      <w:color w:val="auto"/>
                      <w:sz w:val="21"/>
                      <w:szCs w:val="18"/>
                      <w:highlight w:val="none"/>
                    </w:rPr>
                    <w:t>＜10</w:t>
                  </w:r>
                </w:p>
              </w:tc>
            </w:tr>
            <w:tr w14:paraId="5EA46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4054" w:type="dxa"/>
                  <w:gridSpan w:val="3"/>
                  <w:vAlign w:val="center"/>
                </w:tcPr>
                <w:p w14:paraId="51C2AA6E">
                  <w:pPr>
                    <w:spacing w:line="240" w:lineRule="auto"/>
                    <w:ind w:firstLine="0" w:firstLineChars="0"/>
                    <w:jc w:val="center"/>
                    <w:rPr>
                      <w:color w:val="auto"/>
                      <w:sz w:val="21"/>
                      <w:szCs w:val="21"/>
                      <w:highlight w:val="none"/>
                    </w:rPr>
                  </w:pPr>
                  <w:r>
                    <w:rPr>
                      <w:color w:val="auto"/>
                      <w:sz w:val="21"/>
                      <w:szCs w:val="21"/>
                      <w:highlight w:val="none"/>
                    </w:rPr>
                    <w:t>标准值</w:t>
                  </w:r>
                </w:p>
              </w:tc>
              <w:tc>
                <w:tcPr>
                  <w:tcW w:w="949" w:type="dxa"/>
                  <w:vAlign w:val="center"/>
                </w:tcPr>
                <w:p w14:paraId="2113FCB0">
                  <w:pPr>
                    <w:spacing w:line="240" w:lineRule="auto"/>
                    <w:ind w:firstLine="0" w:firstLineChars="0"/>
                    <w:jc w:val="center"/>
                    <w:rPr>
                      <w:color w:val="auto"/>
                      <w:sz w:val="21"/>
                      <w:szCs w:val="21"/>
                      <w:highlight w:val="none"/>
                    </w:rPr>
                  </w:pPr>
                  <w:r>
                    <w:rPr>
                      <w:color w:val="auto"/>
                      <w:sz w:val="21"/>
                      <w:szCs w:val="21"/>
                      <w:highlight w:val="none"/>
                    </w:rPr>
                    <w:t>0.2</w:t>
                  </w:r>
                </w:p>
              </w:tc>
              <w:tc>
                <w:tcPr>
                  <w:tcW w:w="1366" w:type="dxa"/>
                  <w:vAlign w:val="center"/>
                </w:tcPr>
                <w:p w14:paraId="5A0AC54D">
                  <w:pPr>
                    <w:spacing w:line="240" w:lineRule="auto"/>
                    <w:ind w:firstLine="0" w:firstLineChars="0"/>
                    <w:jc w:val="center"/>
                    <w:rPr>
                      <w:color w:val="auto"/>
                      <w:sz w:val="21"/>
                      <w:szCs w:val="21"/>
                      <w:highlight w:val="none"/>
                    </w:rPr>
                  </w:pPr>
                  <w:r>
                    <w:rPr>
                      <w:color w:val="auto"/>
                      <w:sz w:val="21"/>
                      <w:szCs w:val="21"/>
                      <w:highlight w:val="none"/>
                    </w:rPr>
                    <w:t>0.01</w:t>
                  </w:r>
                </w:p>
              </w:tc>
              <w:tc>
                <w:tcPr>
                  <w:tcW w:w="1180" w:type="dxa"/>
                  <w:vAlign w:val="center"/>
                </w:tcPr>
                <w:p w14:paraId="438D9927">
                  <w:pPr>
                    <w:spacing w:line="240" w:lineRule="auto"/>
                    <w:ind w:firstLine="0" w:firstLineChars="0"/>
                    <w:jc w:val="center"/>
                    <w:rPr>
                      <w:color w:val="auto"/>
                      <w:sz w:val="21"/>
                      <w:szCs w:val="21"/>
                      <w:highlight w:val="none"/>
                    </w:rPr>
                  </w:pPr>
                  <w:r>
                    <w:rPr>
                      <w:color w:val="auto"/>
                      <w:sz w:val="21"/>
                      <w:szCs w:val="21"/>
                      <w:highlight w:val="none"/>
                    </w:rPr>
                    <w:t>20（无量纲）</w:t>
                  </w:r>
                </w:p>
              </w:tc>
            </w:tr>
            <w:tr w14:paraId="0EF5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4054" w:type="dxa"/>
                  <w:gridSpan w:val="3"/>
                  <w:vAlign w:val="center"/>
                </w:tcPr>
                <w:p w14:paraId="47F7632A">
                  <w:pPr>
                    <w:spacing w:line="240" w:lineRule="auto"/>
                    <w:ind w:firstLine="0" w:firstLineChars="0"/>
                    <w:jc w:val="center"/>
                    <w:rPr>
                      <w:color w:val="auto"/>
                      <w:sz w:val="21"/>
                      <w:szCs w:val="21"/>
                      <w:highlight w:val="none"/>
                    </w:rPr>
                  </w:pPr>
                  <w:r>
                    <w:rPr>
                      <w:color w:val="auto"/>
                      <w:sz w:val="21"/>
                      <w:szCs w:val="21"/>
                      <w:highlight w:val="none"/>
                    </w:rPr>
                    <w:t>达标情况</w:t>
                  </w:r>
                </w:p>
              </w:tc>
              <w:tc>
                <w:tcPr>
                  <w:tcW w:w="949" w:type="dxa"/>
                  <w:vAlign w:val="center"/>
                </w:tcPr>
                <w:p w14:paraId="50BC9ABC">
                  <w:pPr>
                    <w:spacing w:line="240" w:lineRule="auto"/>
                    <w:ind w:firstLine="0" w:firstLineChars="0"/>
                    <w:jc w:val="center"/>
                    <w:rPr>
                      <w:color w:val="auto"/>
                      <w:sz w:val="21"/>
                      <w:szCs w:val="21"/>
                      <w:highlight w:val="none"/>
                    </w:rPr>
                  </w:pPr>
                  <w:r>
                    <w:rPr>
                      <w:color w:val="auto"/>
                      <w:sz w:val="21"/>
                      <w:szCs w:val="21"/>
                      <w:highlight w:val="none"/>
                    </w:rPr>
                    <w:t>达标</w:t>
                  </w:r>
                </w:p>
              </w:tc>
              <w:tc>
                <w:tcPr>
                  <w:tcW w:w="1366" w:type="dxa"/>
                  <w:vAlign w:val="center"/>
                </w:tcPr>
                <w:p w14:paraId="716A917F">
                  <w:pPr>
                    <w:spacing w:line="240" w:lineRule="auto"/>
                    <w:ind w:firstLine="0" w:firstLineChars="0"/>
                    <w:jc w:val="center"/>
                    <w:rPr>
                      <w:color w:val="auto"/>
                      <w:sz w:val="21"/>
                      <w:szCs w:val="21"/>
                      <w:highlight w:val="none"/>
                    </w:rPr>
                  </w:pPr>
                  <w:r>
                    <w:rPr>
                      <w:color w:val="auto"/>
                      <w:sz w:val="21"/>
                      <w:szCs w:val="21"/>
                      <w:highlight w:val="none"/>
                    </w:rPr>
                    <w:t>达标</w:t>
                  </w:r>
                </w:p>
              </w:tc>
              <w:tc>
                <w:tcPr>
                  <w:tcW w:w="1180" w:type="dxa"/>
                  <w:vAlign w:val="center"/>
                </w:tcPr>
                <w:p w14:paraId="01B32AC3">
                  <w:pPr>
                    <w:spacing w:line="240" w:lineRule="auto"/>
                    <w:ind w:firstLine="0" w:firstLineChars="0"/>
                    <w:jc w:val="center"/>
                    <w:rPr>
                      <w:color w:val="auto"/>
                      <w:sz w:val="21"/>
                      <w:szCs w:val="21"/>
                      <w:highlight w:val="none"/>
                    </w:rPr>
                  </w:pPr>
                  <w:r>
                    <w:rPr>
                      <w:color w:val="auto"/>
                      <w:sz w:val="21"/>
                      <w:szCs w:val="21"/>
                      <w:highlight w:val="none"/>
                    </w:rPr>
                    <w:t>达标</w:t>
                  </w:r>
                </w:p>
              </w:tc>
            </w:tr>
          </w:tbl>
          <w:p w14:paraId="6E97ED95">
            <w:pPr>
              <w:ind w:left="0" w:leftChars="0" w:firstLine="480" w:firstLineChars="200"/>
              <w:rPr>
                <w:color w:val="auto"/>
              </w:rPr>
            </w:pPr>
            <w:r>
              <w:rPr>
                <w:color w:val="auto"/>
              </w:rPr>
              <w:t>根据上表，监测期间，监测点位</w:t>
            </w:r>
            <w:r>
              <w:rPr>
                <w:color w:val="auto"/>
                <w:szCs w:val="24"/>
              </w:rPr>
              <w:t>NH</w:t>
            </w:r>
            <w:r>
              <w:rPr>
                <w:color w:val="auto"/>
                <w:szCs w:val="24"/>
                <w:vertAlign w:val="subscript"/>
              </w:rPr>
              <w:t>3</w:t>
            </w:r>
            <w:r>
              <w:rPr>
                <w:color w:val="auto"/>
                <w:szCs w:val="24"/>
              </w:rPr>
              <w:t>和H</w:t>
            </w:r>
            <w:r>
              <w:rPr>
                <w:color w:val="auto"/>
                <w:szCs w:val="24"/>
                <w:vertAlign w:val="subscript"/>
              </w:rPr>
              <w:t>2</w:t>
            </w:r>
            <w:r>
              <w:rPr>
                <w:color w:val="auto"/>
                <w:szCs w:val="24"/>
              </w:rPr>
              <w:t>S浓度</w:t>
            </w:r>
            <w:r>
              <w:rPr>
                <w:color w:val="auto"/>
              </w:rPr>
              <w:t>均满足《环境影响评价技术导则大气环境》（HJ2.2-2018）附录D标准限值要求，</w:t>
            </w:r>
            <w:r>
              <w:rPr>
                <w:color w:val="auto"/>
                <w:szCs w:val="24"/>
              </w:rPr>
              <w:t>臭气浓度未检出，</w:t>
            </w:r>
            <w:r>
              <w:rPr>
                <w:rFonts w:hint="eastAsia"/>
                <w:color w:val="auto"/>
                <w:kern w:val="0"/>
                <w:sz w:val="24"/>
              </w:rPr>
              <w:t>项目区</w:t>
            </w:r>
            <w:r>
              <w:rPr>
                <w:rFonts w:hint="eastAsia"/>
                <w:color w:val="auto"/>
                <w:sz w:val="24"/>
              </w:rPr>
              <w:t>非甲烷总烃浓度限值满足《大气污染物综合排放标准详解》</w:t>
            </w:r>
            <w:r>
              <w:rPr>
                <w:color w:val="auto"/>
                <w:sz w:val="24"/>
              </w:rPr>
              <w:t>p244“Cm</w:t>
            </w:r>
            <w:r>
              <w:rPr>
                <w:rFonts w:hint="eastAsia"/>
                <w:color w:val="auto"/>
                <w:sz w:val="24"/>
              </w:rPr>
              <w:t>取值的说明</w:t>
            </w:r>
            <w:r>
              <w:rPr>
                <w:color w:val="auto"/>
                <w:sz w:val="24"/>
              </w:rPr>
              <w:t>2.0mg/m</w:t>
            </w:r>
            <w:r>
              <w:rPr>
                <w:color w:val="auto"/>
                <w:sz w:val="24"/>
                <w:vertAlign w:val="superscript"/>
              </w:rPr>
              <w:t>3</w:t>
            </w:r>
            <w:r>
              <w:rPr>
                <w:color w:val="auto"/>
                <w:sz w:val="24"/>
              </w:rPr>
              <w:t>”</w:t>
            </w:r>
            <w:r>
              <w:rPr>
                <w:rFonts w:hint="eastAsia"/>
                <w:color w:val="auto"/>
                <w:kern w:val="0"/>
                <w:sz w:val="24"/>
              </w:rPr>
              <w:t>要求。</w:t>
            </w:r>
            <w:r>
              <w:rPr>
                <w:color w:val="auto"/>
              </w:rPr>
              <w:t>项目所在区域环境空气质量良好。</w:t>
            </w:r>
          </w:p>
          <w:p w14:paraId="255D6463">
            <w:pPr>
              <w:ind w:firstLine="482"/>
              <w:rPr>
                <w:b/>
                <w:bCs/>
                <w:color w:val="auto"/>
              </w:rPr>
            </w:pPr>
            <w:r>
              <w:rPr>
                <w:b/>
                <w:bCs/>
                <w:color w:val="auto"/>
              </w:rPr>
              <w:t>2、地表水环境质量现状</w:t>
            </w:r>
          </w:p>
          <w:p w14:paraId="12B71067">
            <w:pPr>
              <w:ind w:firstLine="480"/>
              <w:rPr>
                <w:color w:val="auto"/>
              </w:rPr>
            </w:pPr>
            <w:r>
              <w:rPr>
                <w:color w:val="auto"/>
              </w:rPr>
              <w:t>项目所在区域距离最近的地表水为</w:t>
            </w:r>
            <w:r>
              <w:rPr>
                <w:rFonts w:hint="eastAsia"/>
                <w:color w:val="auto"/>
                <w:lang w:val="en-US" w:eastAsia="zh-CN"/>
              </w:rPr>
              <w:t>江川区医共体总院</w:t>
            </w:r>
            <w:r>
              <w:rPr>
                <w:color w:val="auto"/>
              </w:rPr>
              <w:t>西北侧约650米的大街河</w:t>
            </w:r>
            <w:r>
              <w:rPr>
                <w:rFonts w:hint="eastAsia"/>
                <w:color w:val="auto"/>
                <w:lang w:eastAsia="zh-CN"/>
              </w:rPr>
              <w:t>；</w:t>
            </w:r>
            <w:r>
              <w:rPr>
                <w:rFonts w:hint="eastAsia"/>
                <w:color w:val="auto"/>
                <w:lang w:val="en-US" w:eastAsia="zh-CN"/>
              </w:rPr>
              <w:t>江城卫生院东南侧约720m为东河、西南侧约1.6km为西河</w:t>
            </w:r>
            <w:r>
              <w:rPr>
                <w:color w:val="auto"/>
              </w:rPr>
              <w:t>，</w:t>
            </w:r>
            <w:r>
              <w:rPr>
                <w:rFonts w:hint="eastAsia"/>
                <w:color w:val="auto"/>
                <w:lang w:val="en-US" w:eastAsia="zh-CN"/>
              </w:rPr>
              <w:t>地表水</w:t>
            </w:r>
            <w:r>
              <w:rPr>
                <w:color w:val="auto"/>
              </w:rPr>
              <w:t>最终</w:t>
            </w:r>
            <w:r>
              <w:rPr>
                <w:rFonts w:hint="eastAsia"/>
                <w:color w:val="auto"/>
                <w:lang w:val="en-US" w:eastAsia="zh-CN"/>
              </w:rPr>
              <w:t>汇入</w:t>
            </w:r>
            <w:r>
              <w:rPr>
                <w:color w:val="auto"/>
              </w:rPr>
              <w:t>星云湖。根据《云南省水功能区划(2014年修订)》，项目属于“星云湖江川渔业、景观用水区”范围内，现状水质为劣Ⅴ类，规划水平年水质目标为Ⅲ类。因此大街河</w:t>
            </w:r>
            <w:r>
              <w:rPr>
                <w:rFonts w:hint="eastAsia"/>
                <w:color w:val="auto"/>
                <w:lang w:eastAsia="zh-CN"/>
              </w:rPr>
              <w:t>、</w:t>
            </w:r>
            <w:r>
              <w:rPr>
                <w:rFonts w:hint="eastAsia"/>
                <w:color w:val="auto"/>
                <w:lang w:val="en-US" w:eastAsia="zh-CN"/>
              </w:rPr>
              <w:t>东西大河</w:t>
            </w:r>
            <w:r>
              <w:rPr>
                <w:color w:val="auto"/>
              </w:rPr>
              <w:t>执行《地表水环境质量标准》（GB3838-2002）Ⅲ类标准。</w:t>
            </w:r>
          </w:p>
          <w:p w14:paraId="1CA04ED4">
            <w:pPr>
              <w:ind w:firstLine="480"/>
              <w:rPr>
                <w:color w:val="auto"/>
              </w:rPr>
            </w:pPr>
            <w:r>
              <w:rPr>
                <w:color w:val="auto"/>
              </w:rPr>
              <w:t>根据202</w:t>
            </w:r>
            <w:r>
              <w:rPr>
                <w:rFonts w:hint="eastAsia"/>
                <w:color w:val="auto"/>
                <w:lang w:val="en-US" w:eastAsia="zh-CN"/>
              </w:rPr>
              <w:t>3</w:t>
            </w:r>
            <w:r>
              <w:rPr>
                <w:color w:val="auto"/>
              </w:rPr>
              <w:t>年玉溪市生态环境状况公报，星云湖：202</w:t>
            </w:r>
            <w:r>
              <w:rPr>
                <w:rFonts w:hint="eastAsia"/>
                <w:color w:val="auto"/>
                <w:lang w:val="en-US" w:eastAsia="zh-CN"/>
              </w:rPr>
              <w:t>3</w:t>
            </w:r>
            <w:r>
              <w:rPr>
                <w:color w:val="auto"/>
              </w:rPr>
              <w:t>年水质综合类别为Ⅴ类，不满足水环境功能区划要求（Ⅲ类）。综合营养指数为62.9，营养状态为中度富营养，水质状况为中度污染。总氮单独评价为Ⅳ类。</w:t>
            </w:r>
          </w:p>
          <w:p w14:paraId="1D1D4089">
            <w:pPr>
              <w:pStyle w:val="8"/>
              <w:rPr>
                <w:rFonts w:hint="default"/>
                <w:color w:val="auto"/>
                <w:lang w:val="en-US"/>
              </w:rPr>
            </w:pPr>
            <w:r>
              <w:rPr>
                <w:rFonts w:hint="eastAsia"/>
                <w:color w:val="auto"/>
                <w:lang w:val="en-US" w:eastAsia="zh-CN"/>
              </w:rPr>
              <w:t>本项目</w:t>
            </w:r>
            <w:r>
              <w:rPr>
                <w:rFonts w:hint="default"/>
                <w:color w:val="auto"/>
                <w:lang w:val="en-US" w:eastAsia="zh-CN"/>
              </w:rPr>
              <w:t>引用云南省生态环境厅发布的《重点高原湖泊水质监测状况月报》（2025年1月~2026年1月）中大街河、东西大河入湖口断面数据</w:t>
            </w:r>
            <w:r>
              <w:rPr>
                <w:rFonts w:hint="eastAsia"/>
                <w:color w:val="auto"/>
                <w:lang w:val="en-US" w:eastAsia="zh-CN"/>
              </w:rPr>
              <w:t>，详见下表。</w:t>
            </w:r>
          </w:p>
          <w:p w14:paraId="73E428D9">
            <w:pPr>
              <w:pStyle w:val="2"/>
              <w:jc w:val="center"/>
              <w:rPr>
                <w:rFonts w:hint="default" w:eastAsia="宋体"/>
                <w:color w:val="auto"/>
                <w:lang w:val="en-US" w:eastAsia="zh-CN"/>
              </w:rPr>
            </w:pPr>
            <w:r>
              <w:rPr>
                <w:b/>
                <w:bCs/>
                <w:color w:val="auto"/>
                <w:sz w:val="21"/>
                <w:szCs w:val="20"/>
                <w:highlight w:val="none"/>
              </w:rPr>
              <w:t>表3-</w:t>
            </w:r>
            <w:r>
              <w:rPr>
                <w:rFonts w:hint="eastAsia"/>
                <w:b/>
                <w:bCs/>
                <w:color w:val="auto"/>
                <w:sz w:val="21"/>
                <w:szCs w:val="20"/>
                <w:highlight w:val="none"/>
                <w:lang w:val="en-US" w:eastAsia="zh-CN"/>
              </w:rPr>
              <w:t>4九大高原湖泊月报（大街河及东西大河入湖口）</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1568"/>
              <w:gridCol w:w="1568"/>
              <w:gridCol w:w="1570"/>
              <w:gridCol w:w="1571"/>
            </w:tblGrid>
            <w:tr w14:paraId="45FB2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689DA84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月报时间</w:t>
                  </w:r>
                </w:p>
              </w:tc>
              <w:tc>
                <w:tcPr>
                  <w:tcW w:w="1568" w:type="dxa"/>
                </w:tcPr>
                <w:p w14:paraId="4ED3C161">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东西大河本月类别</w:t>
                  </w:r>
                </w:p>
              </w:tc>
              <w:tc>
                <w:tcPr>
                  <w:tcW w:w="1568" w:type="dxa"/>
                </w:tcPr>
                <w:p w14:paraId="7DCE23D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东西大河上月类别</w:t>
                  </w:r>
                </w:p>
              </w:tc>
              <w:tc>
                <w:tcPr>
                  <w:tcW w:w="1570" w:type="dxa"/>
                </w:tcPr>
                <w:p w14:paraId="47278407">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大街河本月类别</w:t>
                  </w:r>
                </w:p>
              </w:tc>
              <w:tc>
                <w:tcPr>
                  <w:tcW w:w="1571" w:type="dxa"/>
                </w:tcPr>
                <w:p w14:paraId="4249E61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大街河上月类别</w:t>
                  </w:r>
                </w:p>
              </w:tc>
            </w:tr>
            <w:tr w14:paraId="19EC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5D26CEB2">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2026年1月</w:t>
                  </w:r>
                </w:p>
              </w:tc>
              <w:tc>
                <w:tcPr>
                  <w:tcW w:w="1568" w:type="dxa"/>
                </w:tcPr>
                <w:p w14:paraId="1B2BE4A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68" w:type="dxa"/>
                </w:tcPr>
                <w:p w14:paraId="561BFA9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Ⅱ类</w:t>
                  </w:r>
                </w:p>
              </w:tc>
              <w:tc>
                <w:tcPr>
                  <w:tcW w:w="1570" w:type="dxa"/>
                </w:tcPr>
                <w:p w14:paraId="453F7AAF">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42BD580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09B3D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569" w:type="dxa"/>
                </w:tcPr>
                <w:p w14:paraId="6E0BC5D4">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2025年12月</w:t>
                  </w:r>
                </w:p>
              </w:tc>
              <w:tc>
                <w:tcPr>
                  <w:tcW w:w="1568" w:type="dxa"/>
                </w:tcPr>
                <w:p w14:paraId="25F46197">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Ⅱ类</w:t>
                  </w:r>
                </w:p>
              </w:tc>
              <w:tc>
                <w:tcPr>
                  <w:tcW w:w="1568" w:type="dxa"/>
                </w:tcPr>
                <w:p w14:paraId="15C886A1">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tcPr>
                <w:p w14:paraId="624D8A0F">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5B7C780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57AF7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F2E875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2025年11月</w:t>
                  </w:r>
                </w:p>
              </w:tc>
              <w:tc>
                <w:tcPr>
                  <w:tcW w:w="1568" w:type="dxa"/>
                  <w:vAlign w:val="center"/>
                </w:tcPr>
                <w:p w14:paraId="31710C07">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vAlign w:val="center"/>
                </w:tcPr>
                <w:p w14:paraId="39D41F04">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vAlign w:val="top"/>
                </w:tcPr>
                <w:p w14:paraId="242BC1A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vAlign w:val="top"/>
                </w:tcPr>
                <w:p w14:paraId="0A0160DE">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2A526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2875BB1C">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2025年10月</w:t>
                  </w:r>
                </w:p>
              </w:tc>
              <w:tc>
                <w:tcPr>
                  <w:tcW w:w="1568" w:type="dxa"/>
                </w:tcPr>
                <w:p w14:paraId="7E51B121">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tcPr>
                <w:p w14:paraId="21C6757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70" w:type="dxa"/>
                </w:tcPr>
                <w:p w14:paraId="21EEF85A">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1F8FECFD">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0F595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0DC8234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2025年9月</w:t>
                  </w:r>
                </w:p>
              </w:tc>
              <w:tc>
                <w:tcPr>
                  <w:tcW w:w="1568" w:type="dxa"/>
                  <w:shd w:val="clear" w:color="auto" w:fill="auto"/>
                  <w:vAlign w:val="top"/>
                </w:tcPr>
                <w:p w14:paraId="6EEC196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68" w:type="dxa"/>
                  <w:shd w:val="clear" w:color="auto" w:fill="auto"/>
                  <w:vAlign w:val="top"/>
                </w:tcPr>
                <w:p w14:paraId="00FCBF87">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70" w:type="dxa"/>
                </w:tcPr>
                <w:p w14:paraId="4A1E1E2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5288FEB1">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r>
            <w:tr w14:paraId="14DAB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FEF67AA">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2025年8月</w:t>
                  </w:r>
                </w:p>
              </w:tc>
              <w:tc>
                <w:tcPr>
                  <w:tcW w:w="1568" w:type="dxa"/>
                </w:tcPr>
                <w:p w14:paraId="59DA1CED">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68" w:type="dxa"/>
                </w:tcPr>
                <w:p w14:paraId="22FB43AE">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tcPr>
                <w:p w14:paraId="1E9D936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1" w:type="dxa"/>
                </w:tcPr>
                <w:p w14:paraId="5FDEA31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Ⅴ类</w:t>
                  </w:r>
                </w:p>
              </w:tc>
            </w:tr>
            <w:tr w14:paraId="0672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534AEDBB">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2025年7月</w:t>
                  </w:r>
                </w:p>
              </w:tc>
              <w:tc>
                <w:tcPr>
                  <w:tcW w:w="1568" w:type="dxa"/>
                </w:tcPr>
                <w:p w14:paraId="1B61C9A2">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tcPr>
                <w:p w14:paraId="18816284">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0" w:type="dxa"/>
                </w:tcPr>
                <w:p w14:paraId="6391F8A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Ⅴ类</w:t>
                  </w:r>
                </w:p>
              </w:tc>
              <w:tc>
                <w:tcPr>
                  <w:tcW w:w="1571" w:type="dxa"/>
                </w:tcPr>
                <w:p w14:paraId="2E69EBA5">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r>
            <w:tr w14:paraId="424B2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69D6C79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2025年6月</w:t>
                  </w:r>
                </w:p>
              </w:tc>
              <w:tc>
                <w:tcPr>
                  <w:tcW w:w="1568" w:type="dxa"/>
                </w:tcPr>
                <w:p w14:paraId="02D10E8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68" w:type="dxa"/>
                </w:tcPr>
                <w:p w14:paraId="5BC684C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70" w:type="dxa"/>
                </w:tcPr>
                <w:p w14:paraId="78DC5D1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1" w:type="dxa"/>
                </w:tcPr>
                <w:p w14:paraId="5470C94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429D7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E17A2C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2025年5月</w:t>
                  </w:r>
                </w:p>
              </w:tc>
              <w:tc>
                <w:tcPr>
                  <w:tcW w:w="1568" w:type="dxa"/>
                </w:tcPr>
                <w:p w14:paraId="4D4E3ED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68" w:type="dxa"/>
                </w:tcPr>
                <w:p w14:paraId="3D9F242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tcPr>
                <w:p w14:paraId="3200975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53CC44DC">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5D192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275A46F">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2025年4月</w:t>
                  </w:r>
                </w:p>
              </w:tc>
              <w:tc>
                <w:tcPr>
                  <w:tcW w:w="1568" w:type="dxa"/>
                </w:tcPr>
                <w:p w14:paraId="7D76F31B">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tcPr>
                <w:p w14:paraId="2D597664">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tcPr>
                <w:p w14:paraId="556471AA">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65169F71">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3FA6C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E85EC5F">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2025年3月</w:t>
                  </w:r>
                </w:p>
              </w:tc>
              <w:tc>
                <w:tcPr>
                  <w:tcW w:w="1568" w:type="dxa"/>
                </w:tcPr>
                <w:p w14:paraId="7C95C91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tcPr>
                <w:p w14:paraId="34A1EBE3">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70" w:type="dxa"/>
                </w:tcPr>
                <w:p w14:paraId="42EA408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2B430ADF">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r>
            <w:tr w14:paraId="55C08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C3F404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2025年2月</w:t>
                  </w:r>
                </w:p>
              </w:tc>
              <w:tc>
                <w:tcPr>
                  <w:tcW w:w="1568" w:type="dxa"/>
                </w:tcPr>
                <w:p w14:paraId="12E444F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Ⅲ类</w:t>
                  </w:r>
                </w:p>
              </w:tc>
              <w:tc>
                <w:tcPr>
                  <w:tcW w:w="1568" w:type="dxa"/>
                </w:tcPr>
                <w:p w14:paraId="1191C9F6">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0" w:type="dxa"/>
                </w:tcPr>
                <w:p w14:paraId="31364578">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71" w:type="dxa"/>
                </w:tcPr>
                <w:p w14:paraId="7A6F1F45">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r w14:paraId="6530A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1A14AB7B">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2025年1月</w:t>
                  </w:r>
                </w:p>
              </w:tc>
              <w:tc>
                <w:tcPr>
                  <w:tcW w:w="1568" w:type="dxa"/>
                </w:tcPr>
                <w:p w14:paraId="20DA5310">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Ⅳ类</w:t>
                  </w:r>
                </w:p>
              </w:tc>
              <w:tc>
                <w:tcPr>
                  <w:tcW w:w="1568" w:type="dxa"/>
                </w:tcPr>
                <w:p w14:paraId="7E2D5C4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0" w:type="dxa"/>
                </w:tcPr>
                <w:p w14:paraId="6ED10344">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c>
                <w:tcPr>
                  <w:tcW w:w="1571" w:type="dxa"/>
                </w:tcPr>
                <w:p w14:paraId="685502D7">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eastAsia="宋体" w:cs="Times New Roman"/>
                      <w:color w:val="auto"/>
                      <w:sz w:val="21"/>
                      <w:szCs w:val="20"/>
                      <w:highlight w:val="none"/>
                      <w:lang w:val="en-US" w:eastAsia="zh-CN"/>
                    </w:rPr>
                    <w:t>—</w:t>
                  </w:r>
                </w:p>
              </w:tc>
            </w:tr>
          </w:tbl>
          <w:p w14:paraId="13039BA7">
            <w:pPr>
              <w:ind w:firstLine="480"/>
              <w:rPr>
                <w:color w:val="auto"/>
              </w:rPr>
            </w:pPr>
            <w:r>
              <w:rPr>
                <w:color w:val="auto"/>
              </w:rPr>
              <w:t>根据</w:t>
            </w:r>
            <w:r>
              <w:rPr>
                <w:rFonts w:hint="default"/>
                <w:color w:val="auto"/>
                <w:lang w:val="en-US" w:eastAsia="zh-CN"/>
              </w:rPr>
              <w:t>《重点高原湖泊水质监测状况月报》（2025年1月~2026年1月）中大街河、东西大河入湖口断面数据</w:t>
            </w:r>
            <w:r>
              <w:rPr>
                <w:color w:val="auto"/>
              </w:rPr>
              <w:t>，</w:t>
            </w:r>
            <w:r>
              <w:rPr>
                <w:rFonts w:hint="eastAsia"/>
                <w:color w:val="auto"/>
                <w:lang w:val="en-US" w:eastAsia="zh-CN"/>
              </w:rPr>
              <w:t>大街河</w:t>
            </w:r>
            <w:r>
              <w:rPr>
                <w:color w:val="auto"/>
              </w:rPr>
              <w:t>不满足水环境功能区划要求（Ⅲ类）</w:t>
            </w:r>
            <w:r>
              <w:rPr>
                <w:rFonts w:hint="eastAsia"/>
                <w:color w:val="auto"/>
                <w:lang w:eastAsia="zh-CN"/>
              </w:rPr>
              <w:t>，</w:t>
            </w:r>
            <w:r>
              <w:rPr>
                <w:rFonts w:hint="eastAsia"/>
                <w:color w:val="auto"/>
                <w:lang w:val="en-US" w:eastAsia="zh-CN"/>
              </w:rPr>
              <w:t>东西大河在2025年2、5、8、9月及2026年1月共6个月能够满足</w:t>
            </w:r>
            <w:r>
              <w:rPr>
                <w:color w:val="auto"/>
              </w:rPr>
              <w:t>水环境功能区划要求</w:t>
            </w:r>
            <w:r>
              <w:rPr>
                <w:rFonts w:hint="eastAsia"/>
                <w:color w:val="auto"/>
                <w:lang w:eastAsia="zh-CN"/>
              </w:rPr>
              <w:t>（</w:t>
            </w:r>
            <w:r>
              <w:rPr>
                <w:color w:val="auto"/>
              </w:rPr>
              <w:t>Ⅲ类</w:t>
            </w:r>
            <w:r>
              <w:rPr>
                <w:rFonts w:hint="eastAsia"/>
                <w:color w:val="auto"/>
                <w:lang w:eastAsia="zh-CN"/>
              </w:rPr>
              <w:t>），</w:t>
            </w:r>
            <w:r>
              <w:rPr>
                <w:rFonts w:hint="eastAsia"/>
                <w:color w:val="auto"/>
                <w:lang w:val="en-US" w:eastAsia="zh-CN"/>
              </w:rPr>
              <w:t>其余6个月</w:t>
            </w:r>
            <w:r>
              <w:rPr>
                <w:color w:val="auto"/>
              </w:rPr>
              <w:t>不满足水环境功能区划要求（Ⅲ类）。</w:t>
            </w:r>
          </w:p>
          <w:p w14:paraId="3B18A198">
            <w:pPr>
              <w:ind w:firstLine="480"/>
              <w:rPr>
                <w:b/>
                <w:bCs/>
                <w:color w:val="auto"/>
                <w:highlight w:val="yellow"/>
              </w:rPr>
            </w:pPr>
            <w:r>
              <w:rPr>
                <w:color w:val="auto"/>
              </w:rPr>
              <w:t>项目所在地在城区污水管网覆盖区，项目废水经化粪池、污水处理站处理后达到《医疗机构水污染物排放标准》（GB18466-2005）的综合医疗机构和其他医疗机构水污染物预处理标准的要求后排入市政污水管网，进入污水处理厂处理达到《城镇污水处理厂污染物排放标准》（GB18918-2002）一级A标准后外排，</w:t>
            </w:r>
            <w:r>
              <w:rPr>
                <w:color w:val="auto"/>
                <w:highlight w:val="none"/>
              </w:rPr>
              <w:t>项目建设不影响大街河流域水质功能及水质提升目标的实施。</w:t>
            </w:r>
          </w:p>
          <w:p w14:paraId="64A75716">
            <w:pPr>
              <w:ind w:firstLine="482"/>
              <w:rPr>
                <w:b/>
                <w:bCs/>
                <w:color w:val="auto"/>
              </w:rPr>
            </w:pPr>
            <w:r>
              <w:rPr>
                <w:b/>
                <w:bCs/>
                <w:color w:val="auto"/>
              </w:rPr>
              <w:t>3、声环境质量现状</w:t>
            </w:r>
          </w:p>
          <w:p w14:paraId="4094E8DA">
            <w:pPr>
              <w:widowControl/>
              <w:ind w:firstLine="480"/>
              <w:jc w:val="left"/>
              <w:rPr>
                <w:rFonts w:hint="eastAsia" w:eastAsia="宋体"/>
                <w:color w:val="auto"/>
                <w:lang w:eastAsia="zh-CN"/>
              </w:rPr>
            </w:pPr>
            <w:r>
              <w:rPr>
                <w:color w:val="auto"/>
              </w:rPr>
              <w:t>建设项目位于玉溪市江川区星云街道湖滨路北段14号</w:t>
            </w:r>
            <w:r>
              <w:rPr>
                <w:rFonts w:hint="eastAsia"/>
                <w:color w:val="auto"/>
                <w:lang w:val="en-US" w:eastAsia="zh-CN"/>
              </w:rPr>
              <w:t>及</w:t>
            </w:r>
            <w:r>
              <w:rPr>
                <w:rFonts w:hint="eastAsia" w:eastAsia="宋体"/>
                <w:color w:val="auto"/>
                <w:lang w:val="en-US" w:eastAsia="zh-CN"/>
              </w:rPr>
              <w:t>江川区江城镇振兴街53号</w:t>
            </w:r>
            <w:r>
              <w:rPr>
                <w:rFonts w:hint="eastAsia"/>
                <w:color w:val="auto"/>
                <w:lang w:val="en-US" w:eastAsia="zh-CN"/>
              </w:rPr>
              <w:t>及</w:t>
            </w:r>
            <w:r>
              <w:rPr>
                <w:rFonts w:hint="eastAsia" w:eastAsia="宋体"/>
                <w:color w:val="auto"/>
                <w:lang w:val="en-US" w:eastAsia="zh-CN"/>
              </w:rPr>
              <w:t>玉溪市江川区江城镇振兴街53号</w:t>
            </w:r>
            <w:r>
              <w:rPr>
                <w:color w:val="auto"/>
                <w:kern w:val="0"/>
                <w:szCs w:val="24"/>
                <w:lang w:bidi="ar"/>
              </w:rPr>
              <w:t>，项目声环境质量执行《声环境质量标准》（GB3096—2008）2类标准。</w:t>
            </w:r>
          </w:p>
          <w:p w14:paraId="64071FF0">
            <w:pPr>
              <w:adjustRightInd w:val="0"/>
              <w:snapToGrid w:val="0"/>
              <w:ind w:firstLine="480"/>
              <w:rPr>
                <w:color w:val="auto"/>
                <w:highlight w:val="none"/>
              </w:rPr>
            </w:pPr>
            <w:r>
              <w:rPr>
                <w:color w:val="auto"/>
                <w:highlight w:val="none"/>
              </w:rPr>
              <w:t>202</w:t>
            </w:r>
            <w:r>
              <w:rPr>
                <w:rFonts w:hint="eastAsia"/>
                <w:color w:val="auto"/>
                <w:highlight w:val="none"/>
                <w:lang w:val="en-US" w:eastAsia="zh-CN"/>
              </w:rPr>
              <w:t>5</w:t>
            </w:r>
            <w:r>
              <w:rPr>
                <w:color w:val="auto"/>
                <w:highlight w:val="none"/>
              </w:rPr>
              <w:t>年</w:t>
            </w:r>
            <w:r>
              <w:rPr>
                <w:rFonts w:hint="eastAsia"/>
                <w:color w:val="auto"/>
                <w:highlight w:val="none"/>
                <w:lang w:val="en-US" w:eastAsia="zh-CN"/>
              </w:rPr>
              <w:t>11</w:t>
            </w:r>
            <w:r>
              <w:rPr>
                <w:color w:val="auto"/>
                <w:highlight w:val="none"/>
              </w:rPr>
              <w:t>月</w:t>
            </w:r>
            <w:r>
              <w:rPr>
                <w:rFonts w:hint="eastAsia"/>
                <w:color w:val="auto"/>
                <w:highlight w:val="none"/>
                <w:lang w:val="en-US" w:eastAsia="zh-CN"/>
              </w:rPr>
              <w:t>15</w:t>
            </w:r>
            <w:r>
              <w:rPr>
                <w:color w:val="auto"/>
                <w:highlight w:val="none"/>
              </w:rPr>
              <w:t>～</w:t>
            </w:r>
            <w:r>
              <w:rPr>
                <w:rFonts w:hint="eastAsia"/>
                <w:color w:val="auto"/>
                <w:highlight w:val="none"/>
                <w:lang w:val="en-US" w:eastAsia="zh-CN"/>
              </w:rPr>
              <w:t>16</w:t>
            </w:r>
            <w:r>
              <w:rPr>
                <w:color w:val="auto"/>
                <w:highlight w:val="none"/>
              </w:rPr>
              <w:t>日，建设单位委托</w:t>
            </w:r>
            <w:r>
              <w:rPr>
                <w:rFonts w:hint="eastAsia" w:ascii="宋体" w:hAnsi="宋体"/>
                <w:b w:val="0"/>
                <w:bCs/>
                <w:color w:val="auto"/>
                <w:sz w:val="24"/>
                <w:szCs w:val="24"/>
                <w:highlight w:val="none"/>
                <w:lang w:eastAsia="zh-CN"/>
              </w:rPr>
              <w:t>云南环绿环境检测技术有限公司</w:t>
            </w:r>
            <w:r>
              <w:rPr>
                <w:color w:val="auto"/>
                <w:highlight w:val="none"/>
              </w:rPr>
              <w:t>对项目所在地声环境敏感目标处进行监测，监测结果见表3-</w:t>
            </w:r>
            <w:r>
              <w:rPr>
                <w:rFonts w:hint="eastAsia"/>
                <w:color w:val="auto"/>
                <w:highlight w:val="none"/>
                <w:lang w:val="en-US" w:eastAsia="zh-CN"/>
              </w:rPr>
              <w:t>5、3-6</w:t>
            </w:r>
            <w:r>
              <w:rPr>
                <w:color w:val="auto"/>
                <w:highlight w:val="none"/>
              </w:rPr>
              <w:t>。</w:t>
            </w:r>
          </w:p>
          <w:p w14:paraId="11F829B3">
            <w:pPr>
              <w:ind w:firstLine="0" w:firstLineChars="0"/>
              <w:jc w:val="center"/>
              <w:rPr>
                <w:b/>
                <w:color w:val="auto"/>
                <w:sz w:val="21"/>
                <w:szCs w:val="20"/>
                <w:highlight w:val="yellow"/>
              </w:rPr>
            </w:pPr>
            <w:r>
              <w:rPr>
                <w:b/>
                <w:color w:val="auto"/>
                <w:sz w:val="21"/>
                <w:szCs w:val="20"/>
                <w:highlight w:val="none"/>
              </w:rPr>
              <w:t>表3-</w:t>
            </w:r>
            <w:r>
              <w:rPr>
                <w:rFonts w:hint="eastAsia"/>
                <w:b/>
                <w:color w:val="auto"/>
                <w:sz w:val="21"/>
                <w:szCs w:val="20"/>
                <w:highlight w:val="none"/>
                <w:lang w:val="en-US" w:eastAsia="zh-CN"/>
              </w:rPr>
              <w:t>5江川区医共体总院</w:t>
            </w:r>
            <w:r>
              <w:rPr>
                <w:b/>
                <w:color w:val="auto"/>
                <w:sz w:val="21"/>
                <w:szCs w:val="20"/>
                <w:highlight w:val="none"/>
              </w:rPr>
              <w:t>声环境质量现状监测结果一览表单位：LeqdB（A）</w:t>
            </w:r>
          </w:p>
          <w:tbl>
            <w:tblPr>
              <w:tblStyle w:val="1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48"/>
              <w:gridCol w:w="1801"/>
              <w:gridCol w:w="2091"/>
              <w:gridCol w:w="1340"/>
              <w:gridCol w:w="1343"/>
            </w:tblGrid>
            <w:tr w14:paraId="08932C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tcBorders>
                    <w:tl2br w:val="nil"/>
                    <w:tr2bl w:val="nil"/>
                  </w:tcBorders>
                  <w:noWrap w:val="0"/>
                  <w:vAlign w:val="center"/>
                </w:tcPr>
                <w:p w14:paraId="57B038A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检测点位</w:t>
                  </w:r>
                </w:p>
              </w:tc>
              <w:tc>
                <w:tcPr>
                  <w:tcW w:w="1151" w:type="pct"/>
                  <w:tcBorders>
                    <w:tl2br w:val="nil"/>
                    <w:tr2bl w:val="nil"/>
                  </w:tcBorders>
                  <w:noWrap w:val="0"/>
                  <w:vAlign w:val="center"/>
                </w:tcPr>
                <w:p w14:paraId="049679A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检测日期</w:t>
                  </w:r>
                </w:p>
              </w:tc>
              <w:tc>
                <w:tcPr>
                  <w:tcW w:w="1336" w:type="pct"/>
                  <w:tcBorders>
                    <w:tl2br w:val="nil"/>
                    <w:tr2bl w:val="nil"/>
                  </w:tcBorders>
                  <w:noWrap w:val="0"/>
                  <w:vAlign w:val="center"/>
                </w:tcPr>
                <w:p w14:paraId="2908D44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时间</w:t>
                  </w:r>
                </w:p>
              </w:tc>
              <w:tc>
                <w:tcPr>
                  <w:tcW w:w="856" w:type="pct"/>
                  <w:tcBorders>
                    <w:tl2br w:val="nil"/>
                    <w:tr2bl w:val="nil"/>
                  </w:tcBorders>
                  <w:noWrap w:val="0"/>
                  <w:vAlign w:val="center"/>
                </w:tcPr>
                <w:p w14:paraId="7A79A30C">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噪声值Leq</w:t>
                  </w:r>
                </w:p>
              </w:tc>
              <w:tc>
                <w:tcPr>
                  <w:tcW w:w="856" w:type="pct"/>
                  <w:tcBorders>
                    <w:tl2br w:val="nil"/>
                    <w:tr2bl w:val="nil"/>
                  </w:tcBorders>
                  <w:noWrap w:val="0"/>
                  <w:vAlign w:val="center"/>
                </w:tcPr>
                <w:p w14:paraId="17C50956">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主要声源</w:t>
                  </w:r>
                </w:p>
              </w:tc>
            </w:tr>
            <w:tr w14:paraId="5E412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restart"/>
                  <w:tcBorders>
                    <w:tl2br w:val="nil"/>
                    <w:tr2bl w:val="nil"/>
                  </w:tcBorders>
                  <w:noWrap w:val="0"/>
                  <w:vAlign w:val="center"/>
                </w:tcPr>
                <w:p w14:paraId="7905AA05">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50m范围内敏感目标处N1（江川区医院）△1</w:t>
                  </w:r>
                </w:p>
              </w:tc>
              <w:tc>
                <w:tcPr>
                  <w:tcW w:w="1151" w:type="pct"/>
                  <w:tcBorders>
                    <w:tl2br w:val="nil"/>
                    <w:tr2bl w:val="nil"/>
                  </w:tcBorders>
                  <w:noWrap w:val="0"/>
                  <w:vAlign w:val="center"/>
                </w:tcPr>
                <w:p w14:paraId="44A0DAAE">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48BFC3F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昼间（10:12-10:22）</w:t>
                  </w:r>
                </w:p>
              </w:tc>
              <w:tc>
                <w:tcPr>
                  <w:tcW w:w="856" w:type="pct"/>
                  <w:tcBorders>
                    <w:tl2br w:val="nil"/>
                    <w:tr2bl w:val="nil"/>
                  </w:tcBorders>
                  <w:noWrap w:val="0"/>
                  <w:vAlign w:val="center"/>
                </w:tcPr>
                <w:p w14:paraId="553781B2">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54</w:t>
                  </w:r>
                </w:p>
              </w:tc>
              <w:tc>
                <w:tcPr>
                  <w:tcW w:w="856" w:type="pct"/>
                  <w:tcBorders>
                    <w:tl2br w:val="nil"/>
                    <w:tr2bl w:val="nil"/>
                  </w:tcBorders>
                  <w:noWrap w:val="0"/>
                  <w:vAlign w:val="center"/>
                </w:tcPr>
                <w:p w14:paraId="07D1149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135CC1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4C19E3D2">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79E70015">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6185717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夜间（22:01-22:11）</w:t>
                  </w:r>
                </w:p>
              </w:tc>
              <w:tc>
                <w:tcPr>
                  <w:tcW w:w="856" w:type="pct"/>
                  <w:tcBorders>
                    <w:tl2br w:val="nil"/>
                    <w:tr2bl w:val="nil"/>
                  </w:tcBorders>
                  <w:noWrap w:val="0"/>
                  <w:vAlign w:val="center"/>
                </w:tcPr>
                <w:p w14:paraId="58E80F7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47</w:t>
                  </w:r>
                </w:p>
              </w:tc>
              <w:tc>
                <w:tcPr>
                  <w:tcW w:w="856" w:type="pct"/>
                  <w:tcBorders>
                    <w:tl2br w:val="nil"/>
                    <w:tr2bl w:val="nil"/>
                  </w:tcBorders>
                  <w:noWrap w:val="0"/>
                  <w:vAlign w:val="center"/>
                </w:tcPr>
                <w:p w14:paraId="0B6278D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48C84C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350D42C5">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5B5A4888">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0A63EE7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昼间（09:42-09:52）</w:t>
                  </w:r>
                </w:p>
              </w:tc>
              <w:tc>
                <w:tcPr>
                  <w:tcW w:w="856" w:type="pct"/>
                  <w:tcBorders>
                    <w:tl2br w:val="nil"/>
                    <w:tr2bl w:val="nil"/>
                  </w:tcBorders>
                  <w:noWrap w:val="0"/>
                  <w:vAlign w:val="center"/>
                </w:tcPr>
                <w:p w14:paraId="7EE1711E">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57</w:t>
                  </w:r>
                </w:p>
              </w:tc>
              <w:tc>
                <w:tcPr>
                  <w:tcW w:w="856" w:type="pct"/>
                  <w:tcBorders>
                    <w:tl2br w:val="nil"/>
                    <w:tr2bl w:val="nil"/>
                  </w:tcBorders>
                  <w:noWrap w:val="0"/>
                  <w:vAlign w:val="center"/>
                </w:tcPr>
                <w:p w14:paraId="28B15E2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28FEC2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554D1615">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18BFBD10">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188264E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夜间（22:06-22:16）</w:t>
                  </w:r>
                </w:p>
              </w:tc>
              <w:tc>
                <w:tcPr>
                  <w:tcW w:w="856" w:type="pct"/>
                  <w:tcBorders>
                    <w:tl2br w:val="nil"/>
                    <w:tr2bl w:val="nil"/>
                  </w:tcBorders>
                  <w:noWrap w:val="0"/>
                  <w:vAlign w:val="center"/>
                </w:tcPr>
                <w:p w14:paraId="0B64249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47</w:t>
                  </w:r>
                </w:p>
              </w:tc>
              <w:tc>
                <w:tcPr>
                  <w:tcW w:w="856" w:type="pct"/>
                  <w:tcBorders>
                    <w:tl2br w:val="nil"/>
                    <w:tr2bl w:val="nil"/>
                  </w:tcBorders>
                  <w:noWrap w:val="0"/>
                  <w:vAlign w:val="center"/>
                </w:tcPr>
                <w:p w14:paraId="14C7DB1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AD514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restart"/>
                  <w:tcBorders>
                    <w:tl2br w:val="nil"/>
                    <w:tr2bl w:val="nil"/>
                  </w:tcBorders>
                  <w:noWrap w:val="0"/>
                  <w:vAlign w:val="center"/>
                </w:tcPr>
                <w:p w14:paraId="230F1B5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50m范围内敏感目标处N2（江川区医院）△2</w:t>
                  </w:r>
                </w:p>
              </w:tc>
              <w:tc>
                <w:tcPr>
                  <w:tcW w:w="1151" w:type="pct"/>
                  <w:tcBorders>
                    <w:tl2br w:val="nil"/>
                    <w:tr2bl w:val="nil"/>
                  </w:tcBorders>
                  <w:noWrap w:val="0"/>
                  <w:vAlign w:val="center"/>
                </w:tcPr>
                <w:p w14:paraId="53C59B8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0E24B3E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昼间（10:27-10:37）</w:t>
                  </w:r>
                </w:p>
              </w:tc>
              <w:tc>
                <w:tcPr>
                  <w:tcW w:w="856" w:type="pct"/>
                  <w:tcBorders>
                    <w:tl2br w:val="nil"/>
                    <w:tr2bl w:val="nil"/>
                  </w:tcBorders>
                  <w:noWrap w:val="0"/>
                  <w:vAlign w:val="center"/>
                </w:tcPr>
                <w:p w14:paraId="3C166BDC">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45</w:t>
                  </w:r>
                </w:p>
              </w:tc>
              <w:tc>
                <w:tcPr>
                  <w:tcW w:w="856" w:type="pct"/>
                  <w:tcBorders>
                    <w:tl2br w:val="nil"/>
                    <w:tr2bl w:val="nil"/>
                  </w:tcBorders>
                  <w:noWrap w:val="0"/>
                  <w:vAlign w:val="center"/>
                </w:tcPr>
                <w:p w14:paraId="77A831C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37A54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0FDB7A13">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442DC67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3A709ED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夜间（22:17-22:27）</w:t>
                  </w:r>
                </w:p>
              </w:tc>
              <w:tc>
                <w:tcPr>
                  <w:tcW w:w="856" w:type="pct"/>
                  <w:tcBorders>
                    <w:tl2br w:val="nil"/>
                    <w:tr2bl w:val="nil"/>
                  </w:tcBorders>
                  <w:noWrap w:val="0"/>
                  <w:vAlign w:val="center"/>
                </w:tcPr>
                <w:p w14:paraId="77DC2A4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42</w:t>
                  </w:r>
                </w:p>
              </w:tc>
              <w:tc>
                <w:tcPr>
                  <w:tcW w:w="856" w:type="pct"/>
                  <w:tcBorders>
                    <w:tl2br w:val="nil"/>
                    <w:tr2bl w:val="nil"/>
                  </w:tcBorders>
                  <w:noWrap w:val="0"/>
                  <w:vAlign w:val="center"/>
                </w:tcPr>
                <w:p w14:paraId="3652EF7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62457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26DAACDD">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7605692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2EA52AC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昼间（09:57-10:07）</w:t>
                  </w:r>
                </w:p>
              </w:tc>
              <w:tc>
                <w:tcPr>
                  <w:tcW w:w="856" w:type="pct"/>
                  <w:tcBorders>
                    <w:tl2br w:val="nil"/>
                    <w:tr2bl w:val="nil"/>
                  </w:tcBorders>
                  <w:noWrap w:val="0"/>
                  <w:vAlign w:val="center"/>
                </w:tcPr>
                <w:p w14:paraId="72C206C4">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48</w:t>
                  </w:r>
                </w:p>
              </w:tc>
              <w:tc>
                <w:tcPr>
                  <w:tcW w:w="856" w:type="pct"/>
                  <w:tcBorders>
                    <w:tl2br w:val="nil"/>
                    <w:tr2bl w:val="nil"/>
                  </w:tcBorders>
                  <w:noWrap w:val="0"/>
                  <w:vAlign w:val="center"/>
                </w:tcPr>
                <w:p w14:paraId="745CFCF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972E1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70E5C1E3">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4D16C9C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5AE93BA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夜间（22:21-22:31）</w:t>
                  </w:r>
                </w:p>
              </w:tc>
              <w:tc>
                <w:tcPr>
                  <w:tcW w:w="856" w:type="pct"/>
                  <w:tcBorders>
                    <w:tl2br w:val="nil"/>
                    <w:tr2bl w:val="nil"/>
                  </w:tcBorders>
                  <w:noWrap w:val="0"/>
                  <w:vAlign w:val="center"/>
                </w:tcPr>
                <w:p w14:paraId="1251980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38</w:t>
                  </w:r>
                </w:p>
              </w:tc>
              <w:tc>
                <w:tcPr>
                  <w:tcW w:w="856" w:type="pct"/>
                  <w:tcBorders>
                    <w:tl2br w:val="nil"/>
                    <w:tr2bl w:val="nil"/>
                  </w:tcBorders>
                  <w:noWrap w:val="0"/>
                  <w:vAlign w:val="center"/>
                </w:tcPr>
                <w:p w14:paraId="5D05F19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8EEA5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restart"/>
                  <w:tcBorders>
                    <w:tl2br w:val="nil"/>
                    <w:tr2bl w:val="nil"/>
                  </w:tcBorders>
                  <w:noWrap w:val="0"/>
                  <w:vAlign w:val="center"/>
                </w:tcPr>
                <w:p w14:paraId="026CB85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50m范围内敏感目标处N3（江川区医院）△3</w:t>
                  </w:r>
                </w:p>
              </w:tc>
              <w:tc>
                <w:tcPr>
                  <w:tcW w:w="1151" w:type="pct"/>
                  <w:tcBorders>
                    <w:tl2br w:val="nil"/>
                    <w:tr2bl w:val="nil"/>
                  </w:tcBorders>
                  <w:noWrap w:val="0"/>
                  <w:vAlign w:val="center"/>
                </w:tcPr>
                <w:p w14:paraId="5FEC733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75921E5E">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昼间（10:42-10:52）</w:t>
                  </w:r>
                </w:p>
              </w:tc>
              <w:tc>
                <w:tcPr>
                  <w:tcW w:w="856" w:type="pct"/>
                  <w:tcBorders>
                    <w:tl2br w:val="nil"/>
                    <w:tr2bl w:val="nil"/>
                  </w:tcBorders>
                  <w:noWrap w:val="0"/>
                  <w:vAlign w:val="center"/>
                </w:tcPr>
                <w:p w14:paraId="29D2B14A">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48</w:t>
                  </w:r>
                </w:p>
              </w:tc>
              <w:tc>
                <w:tcPr>
                  <w:tcW w:w="856" w:type="pct"/>
                  <w:tcBorders>
                    <w:tl2br w:val="nil"/>
                    <w:tr2bl w:val="nil"/>
                  </w:tcBorders>
                  <w:noWrap w:val="0"/>
                  <w:vAlign w:val="center"/>
                </w:tcPr>
                <w:p w14:paraId="40FC41C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5CAF8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5DB3D10A">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5595A9D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6F58970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夜间（22:33-22:43）</w:t>
                  </w:r>
                </w:p>
              </w:tc>
              <w:tc>
                <w:tcPr>
                  <w:tcW w:w="856" w:type="pct"/>
                  <w:tcBorders>
                    <w:tl2br w:val="nil"/>
                    <w:tr2bl w:val="nil"/>
                  </w:tcBorders>
                  <w:noWrap w:val="0"/>
                  <w:vAlign w:val="center"/>
                </w:tcPr>
                <w:p w14:paraId="23187862">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39</w:t>
                  </w:r>
                </w:p>
              </w:tc>
              <w:tc>
                <w:tcPr>
                  <w:tcW w:w="856" w:type="pct"/>
                  <w:tcBorders>
                    <w:tl2br w:val="nil"/>
                    <w:tr2bl w:val="nil"/>
                  </w:tcBorders>
                  <w:noWrap w:val="0"/>
                  <w:vAlign w:val="center"/>
                </w:tcPr>
                <w:p w14:paraId="2A979F1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02E93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488229DC">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108DF1C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6EA5EA8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昼间（10:12-10:22）</w:t>
                  </w:r>
                </w:p>
              </w:tc>
              <w:tc>
                <w:tcPr>
                  <w:tcW w:w="856" w:type="pct"/>
                  <w:tcBorders>
                    <w:tl2br w:val="nil"/>
                    <w:tr2bl w:val="nil"/>
                  </w:tcBorders>
                  <w:noWrap w:val="0"/>
                  <w:vAlign w:val="center"/>
                </w:tcPr>
                <w:p w14:paraId="17050167">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47</w:t>
                  </w:r>
                </w:p>
              </w:tc>
              <w:tc>
                <w:tcPr>
                  <w:tcW w:w="856" w:type="pct"/>
                  <w:tcBorders>
                    <w:tl2br w:val="nil"/>
                    <w:tr2bl w:val="nil"/>
                  </w:tcBorders>
                  <w:noWrap w:val="0"/>
                  <w:vAlign w:val="center"/>
                </w:tcPr>
                <w:p w14:paraId="002939F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42575B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6F0E1DEF">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06FDD9C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4E77510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夜间（22:35-22:45）</w:t>
                  </w:r>
                </w:p>
              </w:tc>
              <w:tc>
                <w:tcPr>
                  <w:tcW w:w="856" w:type="pct"/>
                  <w:tcBorders>
                    <w:tl2br w:val="nil"/>
                    <w:tr2bl w:val="nil"/>
                  </w:tcBorders>
                  <w:noWrap w:val="0"/>
                  <w:vAlign w:val="center"/>
                </w:tcPr>
                <w:p w14:paraId="0ECC041D">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39</w:t>
                  </w:r>
                </w:p>
              </w:tc>
              <w:tc>
                <w:tcPr>
                  <w:tcW w:w="856" w:type="pct"/>
                  <w:tcBorders>
                    <w:tl2br w:val="nil"/>
                    <w:tr2bl w:val="nil"/>
                  </w:tcBorders>
                  <w:noWrap w:val="0"/>
                  <w:vAlign w:val="center"/>
                </w:tcPr>
                <w:p w14:paraId="33D7F93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0F9F60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restart"/>
                  <w:tcBorders>
                    <w:tl2br w:val="nil"/>
                    <w:tr2bl w:val="nil"/>
                  </w:tcBorders>
                  <w:noWrap w:val="0"/>
                  <w:vAlign w:val="center"/>
                </w:tcPr>
                <w:p w14:paraId="35007C8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50m范围内敏感目标处N4（江川区医院）△4</w:t>
                  </w:r>
                </w:p>
              </w:tc>
              <w:tc>
                <w:tcPr>
                  <w:tcW w:w="1151" w:type="pct"/>
                  <w:tcBorders>
                    <w:tl2br w:val="nil"/>
                    <w:tr2bl w:val="nil"/>
                  </w:tcBorders>
                  <w:noWrap w:val="0"/>
                  <w:vAlign w:val="center"/>
                </w:tcPr>
                <w:p w14:paraId="29E303A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2B5533C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昼间（10:58-11:08）</w:t>
                  </w:r>
                </w:p>
              </w:tc>
              <w:tc>
                <w:tcPr>
                  <w:tcW w:w="856" w:type="pct"/>
                  <w:tcBorders>
                    <w:tl2br w:val="nil"/>
                    <w:tr2bl w:val="nil"/>
                  </w:tcBorders>
                  <w:noWrap w:val="0"/>
                  <w:vAlign w:val="center"/>
                </w:tcPr>
                <w:p w14:paraId="0ECAB31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53</w:t>
                  </w:r>
                </w:p>
              </w:tc>
              <w:tc>
                <w:tcPr>
                  <w:tcW w:w="856" w:type="pct"/>
                  <w:tcBorders>
                    <w:tl2br w:val="nil"/>
                    <w:tr2bl w:val="nil"/>
                  </w:tcBorders>
                  <w:noWrap w:val="0"/>
                  <w:vAlign w:val="center"/>
                </w:tcPr>
                <w:p w14:paraId="53F7CB7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2788EB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5AA35174">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1871029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1336" w:type="pct"/>
                  <w:tcBorders>
                    <w:tl2br w:val="nil"/>
                    <w:tr2bl w:val="nil"/>
                  </w:tcBorders>
                  <w:noWrap w:val="0"/>
                  <w:vAlign w:val="center"/>
                </w:tcPr>
                <w:p w14:paraId="37C2591C">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夜间（22:46-22:56）</w:t>
                  </w:r>
                </w:p>
              </w:tc>
              <w:tc>
                <w:tcPr>
                  <w:tcW w:w="856" w:type="pct"/>
                  <w:tcBorders>
                    <w:tl2br w:val="nil"/>
                    <w:tr2bl w:val="nil"/>
                  </w:tcBorders>
                  <w:noWrap w:val="0"/>
                  <w:vAlign w:val="center"/>
                </w:tcPr>
                <w:p w14:paraId="2867FA30">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40</w:t>
                  </w:r>
                </w:p>
              </w:tc>
              <w:tc>
                <w:tcPr>
                  <w:tcW w:w="856" w:type="pct"/>
                  <w:tcBorders>
                    <w:tl2br w:val="nil"/>
                    <w:tr2bl w:val="nil"/>
                  </w:tcBorders>
                  <w:noWrap w:val="0"/>
                  <w:vAlign w:val="center"/>
                </w:tcPr>
                <w:p w14:paraId="115A951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9447E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1B983B81">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5EE36B9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78C97636">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昼间（10:28-10:38）</w:t>
                  </w:r>
                </w:p>
              </w:tc>
              <w:tc>
                <w:tcPr>
                  <w:tcW w:w="856" w:type="pct"/>
                  <w:tcBorders>
                    <w:tl2br w:val="nil"/>
                    <w:tr2bl w:val="nil"/>
                  </w:tcBorders>
                  <w:noWrap w:val="0"/>
                  <w:vAlign w:val="center"/>
                </w:tcPr>
                <w:p w14:paraId="0B8C3E5B">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48</w:t>
                  </w:r>
                </w:p>
              </w:tc>
              <w:tc>
                <w:tcPr>
                  <w:tcW w:w="856" w:type="pct"/>
                  <w:tcBorders>
                    <w:tl2br w:val="nil"/>
                    <w:tr2bl w:val="nil"/>
                  </w:tcBorders>
                  <w:noWrap w:val="0"/>
                  <w:vAlign w:val="center"/>
                </w:tcPr>
                <w:p w14:paraId="13439E2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4CD10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vMerge w:val="continue"/>
                  <w:tcBorders>
                    <w:tl2br w:val="nil"/>
                    <w:tr2bl w:val="nil"/>
                  </w:tcBorders>
                  <w:noWrap w:val="0"/>
                  <w:vAlign w:val="center"/>
                </w:tcPr>
                <w:p w14:paraId="5FFCA9A5">
                  <w:pPr>
                    <w:spacing w:line="240" w:lineRule="auto"/>
                    <w:ind w:firstLine="0" w:firstLineChars="0"/>
                    <w:jc w:val="center"/>
                    <w:rPr>
                      <w:rFonts w:hint="eastAsia" w:eastAsia="宋体"/>
                      <w:color w:val="auto"/>
                      <w:sz w:val="21"/>
                      <w:szCs w:val="21"/>
                      <w:highlight w:val="none"/>
                      <w:lang w:val="en-US" w:eastAsia="zh-CN"/>
                    </w:rPr>
                  </w:pPr>
                </w:p>
              </w:tc>
              <w:tc>
                <w:tcPr>
                  <w:tcW w:w="1151" w:type="pct"/>
                  <w:tcBorders>
                    <w:tl2br w:val="nil"/>
                    <w:tr2bl w:val="nil"/>
                  </w:tcBorders>
                  <w:noWrap w:val="0"/>
                  <w:vAlign w:val="center"/>
                </w:tcPr>
                <w:p w14:paraId="1F06CC3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1336" w:type="pct"/>
                  <w:tcBorders>
                    <w:tl2br w:val="nil"/>
                    <w:tr2bl w:val="nil"/>
                  </w:tcBorders>
                  <w:noWrap w:val="0"/>
                  <w:vAlign w:val="center"/>
                </w:tcPr>
                <w:p w14:paraId="058EFCF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夜间（22:51-23:01）</w:t>
                  </w:r>
                </w:p>
              </w:tc>
              <w:tc>
                <w:tcPr>
                  <w:tcW w:w="856" w:type="pct"/>
                  <w:tcBorders>
                    <w:tl2br w:val="nil"/>
                    <w:tr2bl w:val="nil"/>
                  </w:tcBorders>
                  <w:noWrap w:val="0"/>
                  <w:vAlign w:val="center"/>
                </w:tcPr>
                <w:p w14:paraId="73C9D76A">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45</w:t>
                  </w:r>
                </w:p>
              </w:tc>
              <w:tc>
                <w:tcPr>
                  <w:tcW w:w="856" w:type="pct"/>
                  <w:tcBorders>
                    <w:tl2br w:val="nil"/>
                    <w:tr2bl w:val="nil"/>
                  </w:tcBorders>
                  <w:noWrap w:val="0"/>
                  <w:vAlign w:val="center"/>
                </w:tcPr>
                <w:p w14:paraId="1BA57B9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75943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98" w:type="pct"/>
                  <w:tcBorders>
                    <w:tl2br w:val="nil"/>
                    <w:tr2bl w:val="nil"/>
                  </w:tcBorders>
                  <w:noWrap w:val="0"/>
                  <w:vAlign w:val="center"/>
                </w:tcPr>
                <w:p w14:paraId="31EFBE3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备注</w:t>
                  </w:r>
                </w:p>
              </w:tc>
              <w:tc>
                <w:tcPr>
                  <w:tcW w:w="4201" w:type="pct"/>
                  <w:gridSpan w:val="4"/>
                  <w:tcBorders>
                    <w:tl2br w:val="nil"/>
                    <w:tr2bl w:val="nil"/>
                  </w:tcBorders>
                  <w:noWrap w:val="0"/>
                  <w:vAlign w:val="center"/>
                </w:tcPr>
                <w:p w14:paraId="1D302BA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50m范围内敏感目标处N1（江川区医院）△1、50m范围内敏感目标处N4（江川区医院）△4受交通影响</w:t>
                  </w:r>
                </w:p>
              </w:tc>
            </w:tr>
          </w:tbl>
          <w:p w14:paraId="76EB4860">
            <w:pPr>
              <w:ind w:firstLine="0" w:firstLineChars="0"/>
              <w:jc w:val="center"/>
              <w:rPr>
                <w:b/>
                <w:color w:val="auto"/>
                <w:sz w:val="21"/>
                <w:szCs w:val="20"/>
                <w:highlight w:val="none"/>
              </w:rPr>
            </w:pPr>
            <w:r>
              <w:rPr>
                <w:b/>
                <w:color w:val="auto"/>
                <w:sz w:val="21"/>
                <w:szCs w:val="20"/>
                <w:highlight w:val="none"/>
              </w:rPr>
              <w:t>表3-</w:t>
            </w:r>
            <w:r>
              <w:rPr>
                <w:rFonts w:hint="eastAsia"/>
                <w:b/>
                <w:color w:val="auto"/>
                <w:sz w:val="21"/>
                <w:szCs w:val="20"/>
                <w:highlight w:val="none"/>
                <w:lang w:val="en-US" w:eastAsia="zh-CN"/>
              </w:rPr>
              <w:t>6江城卫生院</w:t>
            </w:r>
            <w:r>
              <w:rPr>
                <w:b/>
                <w:color w:val="auto"/>
                <w:sz w:val="21"/>
                <w:szCs w:val="20"/>
                <w:highlight w:val="none"/>
              </w:rPr>
              <w:t>声环境质量现状监测结果一览表单位：LeqdB（A）</w:t>
            </w:r>
          </w:p>
          <w:tbl>
            <w:tblPr>
              <w:tblStyle w:val="19"/>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59"/>
              <w:gridCol w:w="1867"/>
              <w:gridCol w:w="2086"/>
              <w:gridCol w:w="1319"/>
              <w:gridCol w:w="1295"/>
            </w:tblGrid>
            <w:tr w14:paraId="0540F3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tcBorders>
                    <w:tl2br w:val="nil"/>
                    <w:tr2bl w:val="nil"/>
                  </w:tcBorders>
                  <w:noWrap w:val="0"/>
                  <w:vAlign w:val="center"/>
                </w:tcPr>
                <w:p w14:paraId="74A4E5A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检测点位</w:t>
                  </w:r>
                </w:p>
              </w:tc>
              <w:tc>
                <w:tcPr>
                  <w:tcW w:w="2058" w:type="dxa"/>
                  <w:tcBorders>
                    <w:tl2br w:val="nil"/>
                    <w:tr2bl w:val="nil"/>
                  </w:tcBorders>
                  <w:noWrap w:val="0"/>
                  <w:vAlign w:val="center"/>
                </w:tcPr>
                <w:p w14:paraId="1593137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检测日期</w:t>
                  </w:r>
                </w:p>
              </w:tc>
              <w:tc>
                <w:tcPr>
                  <w:tcW w:w="2388" w:type="dxa"/>
                  <w:tcBorders>
                    <w:tl2br w:val="nil"/>
                    <w:tr2bl w:val="nil"/>
                  </w:tcBorders>
                  <w:noWrap w:val="0"/>
                  <w:vAlign w:val="center"/>
                </w:tcPr>
                <w:p w14:paraId="06258269">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时间</w:t>
                  </w:r>
                </w:p>
              </w:tc>
              <w:tc>
                <w:tcPr>
                  <w:tcW w:w="1530" w:type="dxa"/>
                  <w:tcBorders>
                    <w:tl2br w:val="nil"/>
                    <w:tr2bl w:val="nil"/>
                  </w:tcBorders>
                  <w:noWrap w:val="0"/>
                  <w:vAlign w:val="center"/>
                </w:tcPr>
                <w:p w14:paraId="18A4AE1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噪声值Leq</w:t>
                  </w:r>
                </w:p>
              </w:tc>
              <w:tc>
                <w:tcPr>
                  <w:tcW w:w="1531" w:type="dxa"/>
                  <w:tcBorders>
                    <w:tl2br w:val="nil"/>
                    <w:tr2bl w:val="nil"/>
                  </w:tcBorders>
                  <w:noWrap w:val="0"/>
                  <w:vAlign w:val="center"/>
                </w:tcPr>
                <w:p w14:paraId="1701AA7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主要声源</w:t>
                  </w:r>
                </w:p>
              </w:tc>
            </w:tr>
            <w:tr w14:paraId="3E93A5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restart"/>
                  <w:tcBorders>
                    <w:tl2br w:val="nil"/>
                    <w:tr2bl w:val="nil"/>
                  </w:tcBorders>
                  <w:noWrap w:val="0"/>
                  <w:vAlign w:val="center"/>
                </w:tcPr>
                <w:p w14:paraId="472D655D">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50m范围内敏感目标处N5（江城卫生院）△5</w:t>
                  </w:r>
                </w:p>
              </w:tc>
              <w:tc>
                <w:tcPr>
                  <w:tcW w:w="2058" w:type="dxa"/>
                  <w:tcBorders>
                    <w:tl2br w:val="nil"/>
                    <w:tr2bl w:val="nil"/>
                  </w:tcBorders>
                  <w:noWrap w:val="0"/>
                  <w:vAlign w:val="center"/>
                </w:tcPr>
                <w:p w14:paraId="4B478117">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5355510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昼间（12:03-12:13）</w:t>
                  </w:r>
                </w:p>
              </w:tc>
              <w:tc>
                <w:tcPr>
                  <w:tcW w:w="1530" w:type="dxa"/>
                  <w:tcBorders>
                    <w:tl2br w:val="nil"/>
                    <w:tr2bl w:val="nil"/>
                  </w:tcBorders>
                  <w:noWrap w:val="0"/>
                  <w:vAlign w:val="center"/>
                </w:tcPr>
                <w:p w14:paraId="43E369C0">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55</w:t>
                  </w:r>
                </w:p>
              </w:tc>
              <w:tc>
                <w:tcPr>
                  <w:tcW w:w="1531" w:type="dxa"/>
                  <w:tcBorders>
                    <w:tl2br w:val="nil"/>
                    <w:tr2bl w:val="nil"/>
                  </w:tcBorders>
                  <w:noWrap w:val="0"/>
                  <w:vAlign w:val="center"/>
                </w:tcPr>
                <w:p w14:paraId="63D796C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DA514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7AACCEC6">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2947151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5B8CBE4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夜间（23:22-23:32）</w:t>
                  </w:r>
                </w:p>
              </w:tc>
              <w:tc>
                <w:tcPr>
                  <w:tcW w:w="1530" w:type="dxa"/>
                  <w:tcBorders>
                    <w:tl2br w:val="nil"/>
                    <w:tr2bl w:val="nil"/>
                  </w:tcBorders>
                  <w:noWrap w:val="0"/>
                  <w:vAlign w:val="center"/>
                </w:tcPr>
                <w:p w14:paraId="535B6DA6">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45</w:t>
                  </w:r>
                </w:p>
              </w:tc>
              <w:tc>
                <w:tcPr>
                  <w:tcW w:w="1531" w:type="dxa"/>
                  <w:tcBorders>
                    <w:tl2br w:val="nil"/>
                    <w:tr2bl w:val="nil"/>
                  </w:tcBorders>
                  <w:noWrap w:val="0"/>
                  <w:vAlign w:val="center"/>
                </w:tcPr>
                <w:p w14:paraId="3561803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422BFF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2671B64D">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725A17A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53EABE4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昼间（11:10-11:20）</w:t>
                  </w:r>
                </w:p>
              </w:tc>
              <w:tc>
                <w:tcPr>
                  <w:tcW w:w="1530" w:type="dxa"/>
                  <w:tcBorders>
                    <w:tl2br w:val="nil"/>
                    <w:tr2bl w:val="nil"/>
                  </w:tcBorders>
                  <w:noWrap w:val="0"/>
                  <w:vAlign w:val="center"/>
                </w:tcPr>
                <w:p w14:paraId="79FB4CFE">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54</w:t>
                  </w:r>
                </w:p>
              </w:tc>
              <w:tc>
                <w:tcPr>
                  <w:tcW w:w="1531" w:type="dxa"/>
                  <w:tcBorders>
                    <w:tl2br w:val="nil"/>
                    <w:tr2bl w:val="nil"/>
                  </w:tcBorders>
                  <w:noWrap w:val="0"/>
                  <w:vAlign w:val="center"/>
                </w:tcPr>
                <w:p w14:paraId="407D51E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16F8FF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5F3FD399">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22170F5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2BDFA14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夜间（23:32-23:42）</w:t>
                  </w:r>
                </w:p>
              </w:tc>
              <w:tc>
                <w:tcPr>
                  <w:tcW w:w="1530" w:type="dxa"/>
                  <w:tcBorders>
                    <w:tl2br w:val="nil"/>
                    <w:tr2bl w:val="nil"/>
                  </w:tcBorders>
                  <w:noWrap w:val="0"/>
                  <w:vAlign w:val="center"/>
                </w:tcPr>
                <w:p w14:paraId="6382E7BB">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44</w:t>
                  </w:r>
                </w:p>
              </w:tc>
              <w:tc>
                <w:tcPr>
                  <w:tcW w:w="1531" w:type="dxa"/>
                  <w:tcBorders>
                    <w:tl2br w:val="nil"/>
                    <w:tr2bl w:val="nil"/>
                  </w:tcBorders>
                  <w:noWrap w:val="0"/>
                  <w:vAlign w:val="center"/>
                </w:tcPr>
                <w:p w14:paraId="045FE6F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A1C96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restart"/>
                  <w:tcBorders>
                    <w:tl2br w:val="nil"/>
                    <w:tr2bl w:val="nil"/>
                  </w:tcBorders>
                  <w:noWrap w:val="0"/>
                  <w:vAlign w:val="center"/>
                </w:tcPr>
                <w:p w14:paraId="34CC984E">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50m范围内敏感目标处N6（江城卫生院）△6</w:t>
                  </w:r>
                </w:p>
              </w:tc>
              <w:tc>
                <w:tcPr>
                  <w:tcW w:w="2058" w:type="dxa"/>
                  <w:tcBorders>
                    <w:tl2br w:val="nil"/>
                    <w:tr2bl w:val="nil"/>
                  </w:tcBorders>
                  <w:noWrap w:val="0"/>
                  <w:vAlign w:val="center"/>
                </w:tcPr>
                <w:p w14:paraId="0E71966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554D8B7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昼间（12:17-12:27）</w:t>
                  </w:r>
                </w:p>
              </w:tc>
              <w:tc>
                <w:tcPr>
                  <w:tcW w:w="1530" w:type="dxa"/>
                  <w:tcBorders>
                    <w:tl2br w:val="nil"/>
                    <w:tr2bl w:val="nil"/>
                  </w:tcBorders>
                  <w:noWrap w:val="0"/>
                  <w:vAlign w:val="center"/>
                </w:tcPr>
                <w:p w14:paraId="2C369ADB">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57</w:t>
                  </w:r>
                </w:p>
              </w:tc>
              <w:tc>
                <w:tcPr>
                  <w:tcW w:w="1531" w:type="dxa"/>
                  <w:tcBorders>
                    <w:tl2br w:val="nil"/>
                    <w:tr2bl w:val="nil"/>
                  </w:tcBorders>
                  <w:noWrap w:val="0"/>
                  <w:vAlign w:val="center"/>
                </w:tcPr>
                <w:p w14:paraId="38E93F32">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2A7A5B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1DB024F1">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5F1FA83D">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4410805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夜间（23:36-23:46）</w:t>
                  </w:r>
                </w:p>
              </w:tc>
              <w:tc>
                <w:tcPr>
                  <w:tcW w:w="1530" w:type="dxa"/>
                  <w:tcBorders>
                    <w:tl2br w:val="nil"/>
                    <w:tr2bl w:val="nil"/>
                  </w:tcBorders>
                  <w:noWrap w:val="0"/>
                  <w:vAlign w:val="center"/>
                </w:tcPr>
                <w:p w14:paraId="4CB5CB00">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46</w:t>
                  </w:r>
                </w:p>
              </w:tc>
              <w:tc>
                <w:tcPr>
                  <w:tcW w:w="1531" w:type="dxa"/>
                  <w:tcBorders>
                    <w:tl2br w:val="nil"/>
                    <w:tr2bl w:val="nil"/>
                  </w:tcBorders>
                  <w:noWrap w:val="0"/>
                  <w:vAlign w:val="center"/>
                </w:tcPr>
                <w:p w14:paraId="3333EBD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0FCB0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4A77B8DD">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26C6B5C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35C1E006">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昼间（11:25-11:35）</w:t>
                  </w:r>
                </w:p>
              </w:tc>
              <w:tc>
                <w:tcPr>
                  <w:tcW w:w="1530" w:type="dxa"/>
                  <w:tcBorders>
                    <w:tl2br w:val="nil"/>
                    <w:tr2bl w:val="nil"/>
                  </w:tcBorders>
                  <w:noWrap w:val="0"/>
                  <w:vAlign w:val="center"/>
                </w:tcPr>
                <w:p w14:paraId="045C8C06">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56</w:t>
                  </w:r>
                </w:p>
              </w:tc>
              <w:tc>
                <w:tcPr>
                  <w:tcW w:w="1531" w:type="dxa"/>
                  <w:tcBorders>
                    <w:tl2br w:val="nil"/>
                    <w:tr2bl w:val="nil"/>
                  </w:tcBorders>
                  <w:noWrap w:val="0"/>
                  <w:vAlign w:val="center"/>
                </w:tcPr>
                <w:p w14:paraId="2C6DB5D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5A7CD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2C35A900">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2DE2B91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5348E9F2">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夜间（23:45-23:55）</w:t>
                  </w:r>
                </w:p>
              </w:tc>
              <w:tc>
                <w:tcPr>
                  <w:tcW w:w="1530" w:type="dxa"/>
                  <w:tcBorders>
                    <w:tl2br w:val="nil"/>
                    <w:tr2bl w:val="nil"/>
                  </w:tcBorders>
                  <w:noWrap w:val="0"/>
                  <w:vAlign w:val="center"/>
                </w:tcPr>
                <w:p w14:paraId="582B2403">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38</w:t>
                  </w:r>
                </w:p>
              </w:tc>
              <w:tc>
                <w:tcPr>
                  <w:tcW w:w="1531" w:type="dxa"/>
                  <w:tcBorders>
                    <w:tl2br w:val="nil"/>
                    <w:tr2bl w:val="nil"/>
                  </w:tcBorders>
                  <w:noWrap w:val="0"/>
                  <w:vAlign w:val="center"/>
                </w:tcPr>
                <w:p w14:paraId="55C952D2">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497272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restart"/>
                  <w:tcBorders>
                    <w:tl2br w:val="nil"/>
                    <w:tr2bl w:val="nil"/>
                  </w:tcBorders>
                  <w:noWrap w:val="0"/>
                  <w:vAlign w:val="center"/>
                </w:tcPr>
                <w:p w14:paraId="17C9D0E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50m范围内敏感目标处N7（江城卫生院）△7</w:t>
                  </w:r>
                </w:p>
              </w:tc>
              <w:tc>
                <w:tcPr>
                  <w:tcW w:w="2058" w:type="dxa"/>
                  <w:tcBorders>
                    <w:tl2br w:val="nil"/>
                    <w:tr2bl w:val="nil"/>
                  </w:tcBorders>
                  <w:noWrap w:val="0"/>
                  <w:vAlign w:val="center"/>
                </w:tcPr>
                <w:p w14:paraId="7876773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6AA9BCFC">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昼间（12:31-12:41）</w:t>
                  </w:r>
                </w:p>
              </w:tc>
              <w:tc>
                <w:tcPr>
                  <w:tcW w:w="1530" w:type="dxa"/>
                  <w:tcBorders>
                    <w:tl2br w:val="nil"/>
                    <w:tr2bl w:val="nil"/>
                  </w:tcBorders>
                  <w:noWrap w:val="0"/>
                  <w:vAlign w:val="center"/>
                </w:tcPr>
                <w:p w14:paraId="378A1873">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47</w:t>
                  </w:r>
                </w:p>
              </w:tc>
              <w:tc>
                <w:tcPr>
                  <w:tcW w:w="1531" w:type="dxa"/>
                  <w:tcBorders>
                    <w:tl2br w:val="nil"/>
                    <w:tr2bl w:val="nil"/>
                  </w:tcBorders>
                  <w:noWrap w:val="0"/>
                  <w:vAlign w:val="center"/>
                </w:tcPr>
                <w:p w14:paraId="635A4B7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45CF5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79C7F8D1">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1D20931C">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4ACBBCE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夜间（23:50-00:00）</w:t>
                  </w:r>
                </w:p>
              </w:tc>
              <w:tc>
                <w:tcPr>
                  <w:tcW w:w="1530" w:type="dxa"/>
                  <w:tcBorders>
                    <w:tl2br w:val="nil"/>
                    <w:tr2bl w:val="nil"/>
                  </w:tcBorders>
                  <w:noWrap w:val="0"/>
                  <w:vAlign w:val="center"/>
                </w:tcPr>
                <w:p w14:paraId="7670923A">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46</w:t>
                  </w:r>
                </w:p>
              </w:tc>
              <w:tc>
                <w:tcPr>
                  <w:tcW w:w="1531" w:type="dxa"/>
                  <w:tcBorders>
                    <w:tl2br w:val="nil"/>
                    <w:tr2bl w:val="nil"/>
                  </w:tcBorders>
                  <w:noWrap w:val="0"/>
                  <w:vAlign w:val="center"/>
                </w:tcPr>
                <w:p w14:paraId="6E35D46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1FACD3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3C95F49C">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3766BF82">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26BF5E2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昼间（11:38-11:48）</w:t>
                  </w:r>
                </w:p>
              </w:tc>
              <w:tc>
                <w:tcPr>
                  <w:tcW w:w="1530" w:type="dxa"/>
                  <w:tcBorders>
                    <w:tl2br w:val="nil"/>
                    <w:tr2bl w:val="nil"/>
                  </w:tcBorders>
                  <w:noWrap w:val="0"/>
                  <w:vAlign w:val="center"/>
                </w:tcPr>
                <w:p w14:paraId="08F64993">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46</w:t>
                  </w:r>
                </w:p>
              </w:tc>
              <w:tc>
                <w:tcPr>
                  <w:tcW w:w="1531" w:type="dxa"/>
                  <w:tcBorders>
                    <w:tl2br w:val="nil"/>
                    <w:tr2bl w:val="nil"/>
                  </w:tcBorders>
                  <w:noWrap w:val="0"/>
                  <w:vAlign w:val="center"/>
                </w:tcPr>
                <w:p w14:paraId="405454E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8CD67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2DDA3239">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1333746E">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58645FA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夜间（23:59-00:09）</w:t>
                  </w:r>
                </w:p>
              </w:tc>
              <w:tc>
                <w:tcPr>
                  <w:tcW w:w="1530" w:type="dxa"/>
                  <w:tcBorders>
                    <w:tl2br w:val="nil"/>
                    <w:tr2bl w:val="nil"/>
                  </w:tcBorders>
                  <w:noWrap w:val="0"/>
                  <w:vAlign w:val="center"/>
                </w:tcPr>
                <w:p w14:paraId="3347860F">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37</w:t>
                  </w:r>
                </w:p>
              </w:tc>
              <w:tc>
                <w:tcPr>
                  <w:tcW w:w="1531" w:type="dxa"/>
                  <w:tcBorders>
                    <w:tl2br w:val="nil"/>
                    <w:tr2bl w:val="nil"/>
                  </w:tcBorders>
                  <w:noWrap w:val="0"/>
                  <w:vAlign w:val="center"/>
                </w:tcPr>
                <w:p w14:paraId="62164C6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6C043B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restart"/>
                  <w:tcBorders>
                    <w:tl2br w:val="nil"/>
                    <w:tr2bl w:val="nil"/>
                  </w:tcBorders>
                  <w:noWrap w:val="0"/>
                  <w:vAlign w:val="center"/>
                </w:tcPr>
                <w:p w14:paraId="73680D4C">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50m范围内敏感目标处N8（江城卫生院）△8</w:t>
                  </w:r>
                </w:p>
              </w:tc>
              <w:tc>
                <w:tcPr>
                  <w:tcW w:w="2058" w:type="dxa"/>
                  <w:tcBorders>
                    <w:tl2br w:val="nil"/>
                    <w:tr2bl w:val="nil"/>
                  </w:tcBorders>
                  <w:noWrap w:val="0"/>
                  <w:vAlign w:val="center"/>
                </w:tcPr>
                <w:p w14:paraId="29B3BEB5">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2025/11/15</w:t>
                  </w:r>
                </w:p>
              </w:tc>
              <w:tc>
                <w:tcPr>
                  <w:tcW w:w="2388" w:type="dxa"/>
                  <w:tcBorders>
                    <w:tl2br w:val="nil"/>
                    <w:tr2bl w:val="nil"/>
                  </w:tcBorders>
                  <w:noWrap w:val="0"/>
                  <w:vAlign w:val="center"/>
                </w:tcPr>
                <w:p w14:paraId="506C1B3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昼间（12:45-12:55）</w:t>
                  </w:r>
                </w:p>
              </w:tc>
              <w:tc>
                <w:tcPr>
                  <w:tcW w:w="1530" w:type="dxa"/>
                  <w:tcBorders>
                    <w:tl2br w:val="nil"/>
                    <w:tr2bl w:val="nil"/>
                  </w:tcBorders>
                  <w:noWrap w:val="0"/>
                  <w:vAlign w:val="center"/>
                </w:tcPr>
                <w:p w14:paraId="1DB595C3">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58</w:t>
                  </w:r>
                </w:p>
              </w:tc>
              <w:tc>
                <w:tcPr>
                  <w:tcW w:w="1531" w:type="dxa"/>
                  <w:tcBorders>
                    <w:tl2br w:val="nil"/>
                    <w:tr2bl w:val="nil"/>
                  </w:tcBorders>
                  <w:noWrap w:val="0"/>
                  <w:vAlign w:val="center"/>
                </w:tcPr>
                <w:p w14:paraId="742B6F28">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551A8F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2360AD39">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31BF4AF0">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010CB9CB">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夜间（00:04-00:14）</w:t>
                  </w:r>
                </w:p>
              </w:tc>
              <w:tc>
                <w:tcPr>
                  <w:tcW w:w="1530" w:type="dxa"/>
                  <w:tcBorders>
                    <w:tl2br w:val="nil"/>
                    <w:tr2bl w:val="nil"/>
                  </w:tcBorders>
                  <w:noWrap w:val="0"/>
                  <w:vAlign w:val="center"/>
                </w:tcPr>
                <w:p w14:paraId="2289CF5F">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41</w:t>
                  </w:r>
                </w:p>
              </w:tc>
              <w:tc>
                <w:tcPr>
                  <w:tcW w:w="1531" w:type="dxa"/>
                  <w:tcBorders>
                    <w:tl2br w:val="nil"/>
                    <w:tr2bl w:val="nil"/>
                  </w:tcBorders>
                  <w:noWrap w:val="0"/>
                  <w:vAlign w:val="center"/>
                </w:tcPr>
                <w:p w14:paraId="6DCD303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46FD7E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118AB1D4">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52DF3997">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2025/11/16</w:t>
                  </w:r>
                </w:p>
              </w:tc>
              <w:tc>
                <w:tcPr>
                  <w:tcW w:w="2388" w:type="dxa"/>
                  <w:tcBorders>
                    <w:tl2br w:val="nil"/>
                    <w:tr2bl w:val="nil"/>
                  </w:tcBorders>
                  <w:noWrap w:val="0"/>
                  <w:vAlign w:val="center"/>
                </w:tcPr>
                <w:p w14:paraId="2D36E59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昼间（11:52-12:02）</w:t>
                  </w:r>
                </w:p>
              </w:tc>
              <w:tc>
                <w:tcPr>
                  <w:tcW w:w="1530" w:type="dxa"/>
                  <w:tcBorders>
                    <w:tl2br w:val="nil"/>
                    <w:tr2bl w:val="nil"/>
                  </w:tcBorders>
                  <w:noWrap w:val="0"/>
                  <w:vAlign w:val="center"/>
                </w:tcPr>
                <w:p w14:paraId="4DEDD9D2">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57</w:t>
                  </w:r>
                </w:p>
              </w:tc>
              <w:tc>
                <w:tcPr>
                  <w:tcW w:w="1531" w:type="dxa"/>
                  <w:tcBorders>
                    <w:tl2br w:val="nil"/>
                    <w:tr2bl w:val="nil"/>
                  </w:tcBorders>
                  <w:noWrap w:val="0"/>
                  <w:vAlign w:val="center"/>
                </w:tcPr>
                <w:p w14:paraId="3930E6BA">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7FCF21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vMerge w:val="continue"/>
                  <w:tcBorders>
                    <w:tl2br w:val="nil"/>
                    <w:tr2bl w:val="nil"/>
                  </w:tcBorders>
                  <w:noWrap w:val="0"/>
                  <w:vAlign w:val="center"/>
                </w:tcPr>
                <w:p w14:paraId="016500D8">
                  <w:pPr>
                    <w:spacing w:line="240" w:lineRule="auto"/>
                    <w:ind w:firstLine="0" w:firstLineChars="0"/>
                    <w:jc w:val="center"/>
                    <w:rPr>
                      <w:rFonts w:hint="eastAsia" w:eastAsia="宋体"/>
                      <w:color w:val="auto"/>
                      <w:sz w:val="21"/>
                      <w:szCs w:val="21"/>
                      <w:highlight w:val="none"/>
                      <w:lang w:val="en-US" w:eastAsia="zh-CN"/>
                    </w:rPr>
                  </w:pPr>
                </w:p>
              </w:tc>
              <w:tc>
                <w:tcPr>
                  <w:tcW w:w="2058" w:type="dxa"/>
                  <w:tcBorders>
                    <w:tl2br w:val="nil"/>
                    <w:tr2bl w:val="nil"/>
                  </w:tcBorders>
                  <w:noWrap w:val="0"/>
                  <w:vAlign w:val="center"/>
                </w:tcPr>
                <w:p w14:paraId="6FCF5321">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2025/11/17</w:t>
                  </w:r>
                </w:p>
              </w:tc>
              <w:tc>
                <w:tcPr>
                  <w:tcW w:w="2388" w:type="dxa"/>
                  <w:tcBorders>
                    <w:tl2br w:val="nil"/>
                    <w:tr2bl w:val="nil"/>
                  </w:tcBorders>
                  <w:noWrap w:val="0"/>
                  <w:vAlign w:val="center"/>
                </w:tcPr>
                <w:p w14:paraId="033A0563">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夜间（00:13-00:23）</w:t>
                  </w:r>
                </w:p>
              </w:tc>
              <w:tc>
                <w:tcPr>
                  <w:tcW w:w="1530" w:type="dxa"/>
                  <w:tcBorders>
                    <w:tl2br w:val="nil"/>
                    <w:tr2bl w:val="nil"/>
                  </w:tcBorders>
                  <w:noWrap w:val="0"/>
                  <w:vAlign w:val="center"/>
                </w:tcPr>
                <w:p w14:paraId="7AC28279">
                  <w:pPr>
                    <w:spacing w:line="240" w:lineRule="auto"/>
                    <w:ind w:firstLine="0" w:firstLineChars="0"/>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40</w:t>
                  </w:r>
                </w:p>
              </w:tc>
              <w:tc>
                <w:tcPr>
                  <w:tcW w:w="1531" w:type="dxa"/>
                  <w:tcBorders>
                    <w:tl2br w:val="nil"/>
                    <w:tr2bl w:val="nil"/>
                  </w:tcBorders>
                  <w:noWrap w:val="0"/>
                  <w:vAlign w:val="center"/>
                </w:tcPr>
                <w:p w14:paraId="7FA9788F">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环境噪声</w:t>
                  </w:r>
                </w:p>
              </w:tc>
            </w:tr>
            <w:tr w14:paraId="3876EB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28" w:type="dxa"/>
                  <w:tcBorders>
                    <w:tl2br w:val="nil"/>
                    <w:tr2bl w:val="nil"/>
                  </w:tcBorders>
                  <w:noWrap w:val="0"/>
                  <w:vAlign w:val="center"/>
                </w:tcPr>
                <w:p w14:paraId="1D9412B4">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备注</w:t>
                  </w:r>
                </w:p>
              </w:tc>
              <w:tc>
                <w:tcPr>
                  <w:tcW w:w="7507" w:type="dxa"/>
                  <w:gridSpan w:val="4"/>
                  <w:tcBorders>
                    <w:tl2br w:val="nil"/>
                    <w:tr2bl w:val="nil"/>
                  </w:tcBorders>
                  <w:noWrap w:val="0"/>
                  <w:vAlign w:val="center"/>
                </w:tcPr>
                <w:p w14:paraId="764B0FDE">
                  <w:pPr>
                    <w:spacing w:line="240" w:lineRule="auto"/>
                    <w:ind w:firstLine="0" w:firstLineChars="0"/>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50m范围内敏感目标处N5（江城卫生院）△5、50m范围内敏感目标处N6（江城卫生院）△6、50m范围内敏感目标处N8（江城卫生院）△8受交通影响</w:t>
                  </w:r>
                </w:p>
              </w:tc>
            </w:tr>
          </w:tbl>
          <w:p w14:paraId="35F26475">
            <w:pPr>
              <w:tabs>
                <w:tab w:val="left" w:pos="720"/>
              </w:tabs>
              <w:ind w:left="0" w:leftChars="0" w:firstLine="480" w:firstLineChars="200"/>
              <w:rPr>
                <w:color w:val="auto"/>
                <w:szCs w:val="24"/>
                <w:highlight w:val="none"/>
              </w:rPr>
            </w:pPr>
            <w:r>
              <w:rPr>
                <w:bCs/>
                <w:color w:val="auto"/>
                <w:highlight w:val="none"/>
              </w:rPr>
              <w:t>从现状监测结果可以看出，项目敏感目标处昼间、夜间声环境质量监测结果均能满足</w:t>
            </w:r>
            <w:bookmarkStart w:id="4" w:name="_Hlk136519070"/>
            <w:r>
              <w:rPr>
                <w:bCs/>
                <w:color w:val="auto"/>
                <w:highlight w:val="none"/>
              </w:rPr>
              <w:t>《声环境质量标准》（GB3096-2008）的2类标准</w:t>
            </w:r>
            <w:bookmarkEnd w:id="4"/>
            <w:r>
              <w:rPr>
                <w:bCs/>
                <w:color w:val="auto"/>
                <w:highlight w:val="none"/>
              </w:rPr>
              <w:t>。</w:t>
            </w:r>
          </w:p>
          <w:p w14:paraId="3470106A">
            <w:pPr>
              <w:ind w:firstLine="482"/>
              <w:rPr>
                <w:b/>
                <w:bCs/>
                <w:color w:val="auto"/>
              </w:rPr>
            </w:pPr>
            <w:r>
              <w:rPr>
                <w:b/>
                <w:bCs/>
                <w:color w:val="auto"/>
              </w:rPr>
              <w:t>4、地下水、土壤环境质量现状</w:t>
            </w:r>
          </w:p>
          <w:p w14:paraId="2F0A90DA">
            <w:pPr>
              <w:pStyle w:val="2"/>
              <w:spacing w:line="360" w:lineRule="auto"/>
              <w:ind w:firstLine="480" w:firstLineChars="200"/>
              <w:rPr>
                <w:color w:val="auto"/>
                <w:sz w:val="24"/>
                <w:szCs w:val="36"/>
              </w:rPr>
            </w:pPr>
            <w:r>
              <w:rPr>
                <w:color w:val="auto"/>
                <w:sz w:val="24"/>
                <w:szCs w:val="36"/>
              </w:rPr>
              <w:t>根据《建设项目环境影响报告表编制技术指南（污染影响类）》（试行），地下水、土壤环境原则上不开展环境质量现状调查。建设项目存在地下水、土壤环境污染途径的，应结合污染源、保护目标分布情况开展现状调查以留作背景值。本项目为医疗卫生机构建设项目，采取分区防渗措施，且地面硬化，不会对地下水和土壤造成环境污染。因此，可不开展地下水和土壤环境质量现状调查。</w:t>
            </w:r>
          </w:p>
          <w:p w14:paraId="03D038D1">
            <w:pPr>
              <w:ind w:firstLine="482"/>
              <w:rPr>
                <w:b/>
                <w:color w:val="auto"/>
              </w:rPr>
            </w:pPr>
            <w:r>
              <w:rPr>
                <w:b/>
                <w:bCs/>
                <w:color w:val="auto"/>
              </w:rPr>
              <w:t>5、生态环境现状</w:t>
            </w:r>
          </w:p>
          <w:p w14:paraId="65FB4BB5">
            <w:pPr>
              <w:widowControl/>
              <w:ind w:firstLine="480"/>
              <w:jc w:val="left"/>
              <w:rPr>
                <w:color w:val="auto"/>
              </w:rPr>
            </w:pPr>
            <w:r>
              <w:rPr>
                <w:color w:val="auto"/>
              </w:rPr>
              <w:t>项目</w:t>
            </w:r>
            <w:r>
              <w:rPr>
                <w:rFonts w:hint="eastAsia"/>
                <w:color w:val="auto"/>
              </w:rPr>
              <w:t>原场地建设</w:t>
            </w:r>
            <w:r>
              <w:rPr>
                <w:color w:val="auto"/>
              </w:rPr>
              <w:t>，经实地调查，项目区</w:t>
            </w:r>
            <w:r>
              <w:rPr>
                <w:color w:val="auto"/>
                <w:kern w:val="0"/>
                <w:szCs w:val="24"/>
                <w:lang w:bidi="ar"/>
              </w:rPr>
              <w:t>周围主要为村庄、道路，区域内无珍惜动植物存在，无规划的自然生态保护区，无重点保护的野生动植物，因此不需要进行生态现状调查</w:t>
            </w:r>
            <w:r>
              <w:rPr>
                <w:color w:val="auto"/>
              </w:rPr>
              <w:t>。</w:t>
            </w:r>
          </w:p>
        </w:tc>
      </w:tr>
      <w:tr w14:paraId="0FF8CD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3" w:type="dxa"/>
            <w:vAlign w:val="center"/>
          </w:tcPr>
          <w:p w14:paraId="689EAB00">
            <w:pPr>
              <w:ind w:firstLine="0" w:firstLineChars="0"/>
              <w:rPr>
                <w:color w:val="auto"/>
              </w:rPr>
            </w:pPr>
            <w:r>
              <w:rPr>
                <w:color w:val="auto"/>
              </w:rPr>
              <w:t>环境保护目标</w:t>
            </w:r>
          </w:p>
        </w:tc>
        <w:tc>
          <w:tcPr>
            <w:tcW w:w="7959" w:type="dxa"/>
            <w:vAlign w:val="center"/>
          </w:tcPr>
          <w:p w14:paraId="1572753E">
            <w:pPr>
              <w:ind w:firstLine="480"/>
              <w:rPr>
                <w:color w:val="auto"/>
              </w:rPr>
            </w:pPr>
            <w:r>
              <w:rPr>
                <w:color w:val="auto"/>
              </w:rPr>
              <w:t>1、环境空气保护目标</w:t>
            </w:r>
          </w:p>
          <w:p w14:paraId="514D414F">
            <w:pPr>
              <w:ind w:firstLine="480"/>
              <w:rPr>
                <w:color w:val="auto"/>
              </w:rPr>
            </w:pPr>
            <w:r>
              <w:rPr>
                <w:color w:val="auto"/>
              </w:rPr>
              <w:t>根据现场踏勘，本项目厂界周边500m范围内大气环境保护目标为周边居民区、居民小区及各事业单位，详见表3-4</w:t>
            </w:r>
            <w:r>
              <w:rPr>
                <w:rFonts w:hint="eastAsia"/>
                <w:color w:val="auto"/>
                <w:lang w:eastAsia="zh-CN"/>
              </w:rPr>
              <w:t>、</w:t>
            </w:r>
            <w:r>
              <w:rPr>
                <w:rFonts w:hint="eastAsia"/>
                <w:color w:val="auto"/>
                <w:lang w:val="en-US" w:eastAsia="zh-CN"/>
              </w:rPr>
              <w:t>3-5</w:t>
            </w:r>
            <w:r>
              <w:rPr>
                <w:color w:val="auto"/>
              </w:rPr>
              <w:t>。（保护目标分布详见附图）。</w:t>
            </w:r>
          </w:p>
          <w:p w14:paraId="3DCED1AA">
            <w:pPr>
              <w:ind w:firstLine="480"/>
              <w:rPr>
                <w:color w:val="auto"/>
              </w:rPr>
            </w:pPr>
            <w:r>
              <w:rPr>
                <w:color w:val="auto"/>
              </w:rPr>
              <w:t>2、声环境</w:t>
            </w:r>
          </w:p>
          <w:p w14:paraId="4137418A">
            <w:pPr>
              <w:ind w:firstLine="480"/>
              <w:rPr>
                <w:color w:val="auto"/>
              </w:rPr>
            </w:pPr>
            <w:r>
              <w:rPr>
                <w:color w:val="auto"/>
              </w:rPr>
              <w:t>根据现场踏勘，项目厂界外50米范围声环境保护目标为项目厂界北侧散户、东南侧小大庄、南侧居民区及西南侧江川县商业小区。</w:t>
            </w:r>
          </w:p>
          <w:p w14:paraId="2E1B1A8C">
            <w:pPr>
              <w:ind w:firstLine="480"/>
              <w:rPr>
                <w:color w:val="auto"/>
              </w:rPr>
            </w:pPr>
            <w:r>
              <w:rPr>
                <w:color w:val="auto"/>
              </w:rPr>
              <w:t>3、地下水环境</w:t>
            </w:r>
          </w:p>
          <w:p w14:paraId="3959AE32">
            <w:pPr>
              <w:ind w:firstLine="480"/>
              <w:rPr>
                <w:color w:val="auto"/>
              </w:rPr>
            </w:pPr>
            <w:r>
              <w:rPr>
                <w:color w:val="auto"/>
              </w:rPr>
              <w:t>项目厂界外500米范围内无地下水集中式饮用水水源和热水、矿泉水、温泉等特殊地下水资源等地下水环境保护目标。</w:t>
            </w:r>
          </w:p>
          <w:p w14:paraId="286FED9F">
            <w:pPr>
              <w:ind w:firstLine="480"/>
              <w:rPr>
                <w:color w:val="auto"/>
              </w:rPr>
            </w:pPr>
            <w:r>
              <w:rPr>
                <w:color w:val="auto"/>
              </w:rPr>
              <w:t>4、生态环境</w:t>
            </w:r>
          </w:p>
          <w:p w14:paraId="67EF4242">
            <w:pPr>
              <w:ind w:firstLine="480"/>
              <w:rPr>
                <w:color w:val="auto"/>
              </w:rPr>
            </w:pPr>
            <w:r>
              <w:rPr>
                <w:color w:val="auto"/>
              </w:rPr>
              <w:t>本项目占地范围内无生态环境保护目标。</w:t>
            </w:r>
          </w:p>
          <w:p w14:paraId="118516FC">
            <w:pPr>
              <w:ind w:firstLine="422"/>
              <w:jc w:val="center"/>
              <w:rPr>
                <w:b/>
                <w:bCs/>
                <w:color w:val="auto"/>
                <w:sz w:val="21"/>
                <w:szCs w:val="20"/>
              </w:rPr>
            </w:pPr>
            <w:r>
              <w:rPr>
                <w:b/>
                <w:bCs/>
                <w:color w:val="auto"/>
                <w:sz w:val="21"/>
                <w:szCs w:val="20"/>
              </w:rPr>
              <w:t>表3-</w:t>
            </w:r>
            <w:r>
              <w:rPr>
                <w:rFonts w:hint="eastAsia"/>
                <w:b/>
                <w:bCs/>
                <w:color w:val="auto"/>
                <w:sz w:val="21"/>
                <w:szCs w:val="20"/>
                <w:lang w:val="en-US" w:eastAsia="zh-CN"/>
              </w:rPr>
              <w:t>7江川区医共体总院</w:t>
            </w:r>
            <w:r>
              <w:rPr>
                <w:b/>
                <w:bCs/>
                <w:color w:val="auto"/>
                <w:sz w:val="21"/>
                <w:szCs w:val="20"/>
              </w:rPr>
              <w:t>项目环境保护目标一览表</w:t>
            </w:r>
          </w:p>
          <w:tbl>
            <w:tblPr>
              <w:tblStyle w:val="20"/>
              <w:tblW w:w="76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1276"/>
              <w:gridCol w:w="709"/>
              <w:gridCol w:w="709"/>
              <w:gridCol w:w="708"/>
              <w:gridCol w:w="1112"/>
              <w:gridCol w:w="653"/>
              <w:gridCol w:w="851"/>
              <w:gridCol w:w="1062"/>
            </w:tblGrid>
            <w:tr w14:paraId="3EF49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567" w:type="dxa"/>
                  <w:vMerge w:val="restart"/>
                  <w:vAlign w:val="center"/>
                </w:tcPr>
                <w:p w14:paraId="7EBCE706">
                  <w:pPr>
                    <w:adjustRightInd w:val="0"/>
                    <w:snapToGrid w:val="0"/>
                    <w:spacing w:line="240" w:lineRule="auto"/>
                    <w:ind w:firstLine="0" w:firstLineChars="0"/>
                    <w:jc w:val="center"/>
                    <w:rPr>
                      <w:color w:val="auto"/>
                      <w:sz w:val="21"/>
                      <w:szCs w:val="21"/>
                    </w:rPr>
                  </w:pPr>
                  <w:r>
                    <w:rPr>
                      <w:color w:val="auto"/>
                      <w:sz w:val="21"/>
                      <w:szCs w:val="21"/>
                    </w:rPr>
                    <w:t>序号</w:t>
                  </w:r>
                </w:p>
              </w:tc>
              <w:tc>
                <w:tcPr>
                  <w:tcW w:w="1276" w:type="dxa"/>
                  <w:vMerge w:val="restart"/>
                  <w:vAlign w:val="center"/>
                </w:tcPr>
                <w:p w14:paraId="697FB48E">
                  <w:pPr>
                    <w:adjustRightInd w:val="0"/>
                    <w:snapToGrid w:val="0"/>
                    <w:spacing w:line="240" w:lineRule="auto"/>
                    <w:ind w:firstLine="0" w:firstLineChars="0"/>
                    <w:jc w:val="center"/>
                    <w:rPr>
                      <w:color w:val="auto"/>
                      <w:sz w:val="21"/>
                      <w:szCs w:val="21"/>
                    </w:rPr>
                  </w:pPr>
                  <w:r>
                    <w:rPr>
                      <w:color w:val="auto"/>
                      <w:sz w:val="21"/>
                      <w:szCs w:val="21"/>
                    </w:rPr>
                    <w:t>保护目标名称</w:t>
                  </w:r>
                </w:p>
              </w:tc>
              <w:tc>
                <w:tcPr>
                  <w:tcW w:w="1418" w:type="dxa"/>
                  <w:gridSpan w:val="2"/>
                  <w:vAlign w:val="center"/>
                </w:tcPr>
                <w:p w14:paraId="17C2407C">
                  <w:pPr>
                    <w:adjustRightInd w:val="0"/>
                    <w:snapToGrid w:val="0"/>
                    <w:spacing w:line="240" w:lineRule="auto"/>
                    <w:ind w:firstLine="0" w:firstLineChars="0"/>
                    <w:jc w:val="center"/>
                    <w:rPr>
                      <w:color w:val="auto"/>
                      <w:sz w:val="21"/>
                      <w:szCs w:val="21"/>
                    </w:rPr>
                  </w:pPr>
                  <w:r>
                    <w:rPr>
                      <w:color w:val="auto"/>
                      <w:sz w:val="21"/>
                      <w:szCs w:val="21"/>
                    </w:rPr>
                    <w:t>坐标</w:t>
                  </w:r>
                </w:p>
              </w:tc>
              <w:tc>
                <w:tcPr>
                  <w:tcW w:w="708" w:type="dxa"/>
                  <w:vMerge w:val="restart"/>
                  <w:vAlign w:val="center"/>
                </w:tcPr>
                <w:p w14:paraId="628F9066">
                  <w:pPr>
                    <w:adjustRightInd w:val="0"/>
                    <w:snapToGrid w:val="0"/>
                    <w:spacing w:line="240" w:lineRule="auto"/>
                    <w:ind w:firstLine="0" w:firstLineChars="0"/>
                    <w:jc w:val="center"/>
                    <w:rPr>
                      <w:color w:val="auto"/>
                      <w:sz w:val="21"/>
                      <w:szCs w:val="21"/>
                    </w:rPr>
                  </w:pPr>
                  <w:r>
                    <w:rPr>
                      <w:color w:val="auto"/>
                      <w:sz w:val="21"/>
                      <w:szCs w:val="21"/>
                    </w:rPr>
                    <w:t>保护对象</w:t>
                  </w:r>
                </w:p>
              </w:tc>
              <w:tc>
                <w:tcPr>
                  <w:tcW w:w="1112" w:type="dxa"/>
                  <w:vMerge w:val="restart"/>
                  <w:vAlign w:val="center"/>
                </w:tcPr>
                <w:p w14:paraId="335F145C">
                  <w:pPr>
                    <w:adjustRightInd w:val="0"/>
                    <w:snapToGrid w:val="0"/>
                    <w:spacing w:line="240" w:lineRule="auto"/>
                    <w:ind w:firstLine="0" w:firstLineChars="0"/>
                    <w:jc w:val="center"/>
                    <w:rPr>
                      <w:color w:val="auto"/>
                      <w:sz w:val="21"/>
                      <w:szCs w:val="21"/>
                    </w:rPr>
                  </w:pPr>
                  <w:r>
                    <w:rPr>
                      <w:color w:val="auto"/>
                      <w:sz w:val="21"/>
                      <w:szCs w:val="21"/>
                    </w:rPr>
                    <w:t>保护内容</w:t>
                  </w:r>
                </w:p>
              </w:tc>
              <w:tc>
                <w:tcPr>
                  <w:tcW w:w="653" w:type="dxa"/>
                  <w:vMerge w:val="restart"/>
                  <w:vAlign w:val="center"/>
                </w:tcPr>
                <w:p w14:paraId="439BC4A7">
                  <w:pPr>
                    <w:adjustRightInd w:val="0"/>
                    <w:snapToGrid w:val="0"/>
                    <w:spacing w:line="240" w:lineRule="auto"/>
                    <w:ind w:firstLine="0" w:firstLineChars="0"/>
                    <w:jc w:val="center"/>
                    <w:rPr>
                      <w:color w:val="auto"/>
                      <w:sz w:val="21"/>
                      <w:szCs w:val="21"/>
                    </w:rPr>
                  </w:pPr>
                  <w:r>
                    <w:rPr>
                      <w:color w:val="auto"/>
                      <w:sz w:val="21"/>
                      <w:szCs w:val="21"/>
                    </w:rPr>
                    <w:t>环境功能区</w:t>
                  </w:r>
                </w:p>
              </w:tc>
              <w:tc>
                <w:tcPr>
                  <w:tcW w:w="851" w:type="dxa"/>
                  <w:vMerge w:val="restart"/>
                  <w:vAlign w:val="center"/>
                </w:tcPr>
                <w:p w14:paraId="78C18C66">
                  <w:pPr>
                    <w:adjustRightInd w:val="0"/>
                    <w:snapToGrid w:val="0"/>
                    <w:spacing w:line="240" w:lineRule="auto"/>
                    <w:ind w:firstLine="0" w:firstLineChars="0"/>
                    <w:jc w:val="center"/>
                    <w:rPr>
                      <w:color w:val="auto"/>
                      <w:sz w:val="21"/>
                      <w:szCs w:val="21"/>
                    </w:rPr>
                  </w:pPr>
                  <w:r>
                    <w:rPr>
                      <w:color w:val="auto"/>
                      <w:sz w:val="21"/>
                      <w:szCs w:val="21"/>
                    </w:rPr>
                    <w:t>相对厂址方位</w:t>
                  </w:r>
                </w:p>
              </w:tc>
              <w:tc>
                <w:tcPr>
                  <w:tcW w:w="1062" w:type="dxa"/>
                  <w:vMerge w:val="restart"/>
                  <w:vAlign w:val="center"/>
                </w:tcPr>
                <w:p w14:paraId="57C9F6A5">
                  <w:pPr>
                    <w:adjustRightInd w:val="0"/>
                    <w:snapToGrid w:val="0"/>
                    <w:spacing w:line="240" w:lineRule="auto"/>
                    <w:ind w:firstLine="0" w:firstLineChars="0"/>
                    <w:jc w:val="center"/>
                    <w:rPr>
                      <w:color w:val="auto"/>
                      <w:sz w:val="21"/>
                      <w:szCs w:val="21"/>
                    </w:rPr>
                  </w:pPr>
                  <w:r>
                    <w:rPr>
                      <w:color w:val="auto"/>
                      <w:sz w:val="21"/>
                      <w:szCs w:val="21"/>
                    </w:rPr>
                    <w:t>相对厂界距离/m</w:t>
                  </w:r>
                </w:p>
              </w:tc>
            </w:tr>
            <w:tr w14:paraId="2C2A6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Merge w:val="continue"/>
                  <w:vAlign w:val="center"/>
                </w:tcPr>
                <w:p w14:paraId="24B003F4">
                  <w:pPr>
                    <w:adjustRightInd w:val="0"/>
                    <w:snapToGrid w:val="0"/>
                    <w:spacing w:line="240" w:lineRule="auto"/>
                    <w:ind w:firstLine="0" w:firstLineChars="0"/>
                    <w:jc w:val="center"/>
                    <w:rPr>
                      <w:color w:val="auto"/>
                      <w:sz w:val="21"/>
                      <w:szCs w:val="21"/>
                    </w:rPr>
                  </w:pPr>
                </w:p>
              </w:tc>
              <w:tc>
                <w:tcPr>
                  <w:tcW w:w="1276" w:type="dxa"/>
                  <w:vMerge w:val="continue"/>
                  <w:vAlign w:val="center"/>
                </w:tcPr>
                <w:p w14:paraId="227D3165">
                  <w:pPr>
                    <w:adjustRightInd w:val="0"/>
                    <w:snapToGrid w:val="0"/>
                    <w:spacing w:line="240" w:lineRule="auto"/>
                    <w:ind w:firstLine="0" w:firstLineChars="0"/>
                    <w:jc w:val="center"/>
                    <w:rPr>
                      <w:color w:val="auto"/>
                      <w:sz w:val="21"/>
                      <w:szCs w:val="21"/>
                    </w:rPr>
                  </w:pPr>
                </w:p>
              </w:tc>
              <w:tc>
                <w:tcPr>
                  <w:tcW w:w="709" w:type="dxa"/>
                  <w:vAlign w:val="center"/>
                </w:tcPr>
                <w:p w14:paraId="72A0F36B">
                  <w:pPr>
                    <w:adjustRightInd w:val="0"/>
                    <w:snapToGrid w:val="0"/>
                    <w:spacing w:line="240" w:lineRule="auto"/>
                    <w:ind w:firstLine="0" w:firstLineChars="0"/>
                    <w:jc w:val="center"/>
                    <w:rPr>
                      <w:color w:val="auto"/>
                      <w:sz w:val="21"/>
                      <w:szCs w:val="21"/>
                    </w:rPr>
                  </w:pPr>
                  <w:r>
                    <w:rPr>
                      <w:color w:val="auto"/>
                      <w:sz w:val="21"/>
                      <w:szCs w:val="21"/>
                    </w:rPr>
                    <w:t>X</w:t>
                  </w:r>
                </w:p>
              </w:tc>
              <w:tc>
                <w:tcPr>
                  <w:tcW w:w="709" w:type="dxa"/>
                  <w:vAlign w:val="center"/>
                </w:tcPr>
                <w:p w14:paraId="5A9CC94D">
                  <w:pPr>
                    <w:adjustRightInd w:val="0"/>
                    <w:snapToGrid w:val="0"/>
                    <w:spacing w:line="240" w:lineRule="auto"/>
                    <w:ind w:firstLine="0" w:firstLineChars="0"/>
                    <w:jc w:val="center"/>
                    <w:rPr>
                      <w:color w:val="auto"/>
                      <w:sz w:val="21"/>
                      <w:szCs w:val="21"/>
                    </w:rPr>
                  </w:pPr>
                  <w:r>
                    <w:rPr>
                      <w:color w:val="auto"/>
                      <w:sz w:val="21"/>
                      <w:szCs w:val="21"/>
                    </w:rPr>
                    <w:t>Y</w:t>
                  </w:r>
                </w:p>
              </w:tc>
              <w:tc>
                <w:tcPr>
                  <w:tcW w:w="708" w:type="dxa"/>
                  <w:vMerge w:val="continue"/>
                  <w:vAlign w:val="center"/>
                </w:tcPr>
                <w:p w14:paraId="1F599A3E">
                  <w:pPr>
                    <w:adjustRightInd w:val="0"/>
                    <w:snapToGrid w:val="0"/>
                    <w:spacing w:line="240" w:lineRule="auto"/>
                    <w:ind w:firstLine="0" w:firstLineChars="0"/>
                    <w:jc w:val="center"/>
                    <w:rPr>
                      <w:color w:val="auto"/>
                      <w:sz w:val="21"/>
                      <w:szCs w:val="21"/>
                    </w:rPr>
                  </w:pPr>
                </w:p>
              </w:tc>
              <w:tc>
                <w:tcPr>
                  <w:tcW w:w="1112" w:type="dxa"/>
                  <w:vMerge w:val="continue"/>
                  <w:vAlign w:val="center"/>
                </w:tcPr>
                <w:p w14:paraId="36AEB8EB">
                  <w:pPr>
                    <w:adjustRightInd w:val="0"/>
                    <w:snapToGrid w:val="0"/>
                    <w:spacing w:line="240" w:lineRule="auto"/>
                    <w:ind w:firstLine="0" w:firstLineChars="0"/>
                    <w:jc w:val="center"/>
                    <w:rPr>
                      <w:color w:val="auto"/>
                      <w:sz w:val="21"/>
                      <w:szCs w:val="21"/>
                    </w:rPr>
                  </w:pPr>
                </w:p>
              </w:tc>
              <w:tc>
                <w:tcPr>
                  <w:tcW w:w="653" w:type="dxa"/>
                  <w:vMerge w:val="continue"/>
                  <w:vAlign w:val="center"/>
                </w:tcPr>
                <w:p w14:paraId="1EC743F3">
                  <w:pPr>
                    <w:adjustRightInd w:val="0"/>
                    <w:snapToGrid w:val="0"/>
                    <w:spacing w:line="240" w:lineRule="auto"/>
                    <w:ind w:firstLine="0" w:firstLineChars="0"/>
                    <w:jc w:val="center"/>
                    <w:rPr>
                      <w:color w:val="auto"/>
                      <w:sz w:val="21"/>
                      <w:szCs w:val="21"/>
                    </w:rPr>
                  </w:pPr>
                </w:p>
              </w:tc>
              <w:tc>
                <w:tcPr>
                  <w:tcW w:w="851" w:type="dxa"/>
                  <w:vMerge w:val="continue"/>
                  <w:vAlign w:val="center"/>
                </w:tcPr>
                <w:p w14:paraId="6177F529">
                  <w:pPr>
                    <w:adjustRightInd w:val="0"/>
                    <w:snapToGrid w:val="0"/>
                    <w:spacing w:line="240" w:lineRule="auto"/>
                    <w:ind w:firstLine="0" w:firstLineChars="0"/>
                    <w:jc w:val="center"/>
                    <w:rPr>
                      <w:color w:val="auto"/>
                      <w:sz w:val="21"/>
                      <w:szCs w:val="21"/>
                    </w:rPr>
                  </w:pPr>
                </w:p>
              </w:tc>
              <w:tc>
                <w:tcPr>
                  <w:tcW w:w="1062" w:type="dxa"/>
                  <w:vMerge w:val="continue"/>
                  <w:vAlign w:val="center"/>
                </w:tcPr>
                <w:p w14:paraId="0D56E96F">
                  <w:pPr>
                    <w:adjustRightInd w:val="0"/>
                    <w:snapToGrid w:val="0"/>
                    <w:spacing w:line="240" w:lineRule="auto"/>
                    <w:ind w:firstLine="0" w:firstLineChars="0"/>
                    <w:jc w:val="center"/>
                    <w:rPr>
                      <w:color w:val="auto"/>
                      <w:sz w:val="21"/>
                      <w:szCs w:val="21"/>
                    </w:rPr>
                  </w:pPr>
                </w:p>
              </w:tc>
            </w:tr>
            <w:tr w14:paraId="27DD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7" w:type="dxa"/>
                  <w:gridSpan w:val="9"/>
                  <w:vAlign w:val="center"/>
                </w:tcPr>
                <w:p w14:paraId="7DA7FBBD">
                  <w:pPr>
                    <w:adjustRightInd w:val="0"/>
                    <w:snapToGrid w:val="0"/>
                    <w:spacing w:line="240" w:lineRule="auto"/>
                    <w:ind w:firstLine="0" w:firstLineChars="0"/>
                    <w:jc w:val="center"/>
                    <w:rPr>
                      <w:color w:val="auto"/>
                      <w:sz w:val="21"/>
                      <w:szCs w:val="21"/>
                    </w:rPr>
                  </w:pPr>
                  <w:r>
                    <w:rPr>
                      <w:color w:val="auto"/>
                      <w:sz w:val="21"/>
                      <w:szCs w:val="21"/>
                    </w:rPr>
                    <w:t>大气环境</w:t>
                  </w:r>
                </w:p>
              </w:tc>
            </w:tr>
            <w:tr w14:paraId="45E7E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64208BDA">
                  <w:pPr>
                    <w:adjustRightInd w:val="0"/>
                    <w:snapToGrid w:val="0"/>
                    <w:spacing w:line="240" w:lineRule="auto"/>
                    <w:ind w:firstLine="0" w:firstLineChars="0"/>
                    <w:jc w:val="center"/>
                    <w:rPr>
                      <w:color w:val="auto"/>
                      <w:sz w:val="21"/>
                      <w:szCs w:val="21"/>
                    </w:rPr>
                  </w:pPr>
                  <w:r>
                    <w:rPr>
                      <w:color w:val="auto"/>
                      <w:sz w:val="21"/>
                      <w:szCs w:val="21"/>
                    </w:rPr>
                    <w:t>1</w:t>
                  </w:r>
                </w:p>
              </w:tc>
              <w:tc>
                <w:tcPr>
                  <w:tcW w:w="1276" w:type="dxa"/>
                  <w:vAlign w:val="center"/>
                </w:tcPr>
                <w:p w14:paraId="0519071C">
                  <w:pPr>
                    <w:adjustRightInd w:val="0"/>
                    <w:snapToGrid w:val="0"/>
                    <w:spacing w:line="240" w:lineRule="auto"/>
                    <w:ind w:firstLine="0" w:firstLineChars="0"/>
                    <w:jc w:val="center"/>
                    <w:rPr>
                      <w:color w:val="auto"/>
                      <w:sz w:val="21"/>
                      <w:szCs w:val="21"/>
                    </w:rPr>
                  </w:pPr>
                  <w:r>
                    <w:rPr>
                      <w:color w:val="auto"/>
                      <w:sz w:val="21"/>
                      <w:szCs w:val="21"/>
                    </w:rPr>
                    <w:t>河咀社区</w:t>
                  </w:r>
                </w:p>
              </w:tc>
              <w:tc>
                <w:tcPr>
                  <w:tcW w:w="709" w:type="dxa"/>
                  <w:vAlign w:val="center"/>
                </w:tcPr>
                <w:p w14:paraId="34CF31DC">
                  <w:pPr>
                    <w:adjustRightInd w:val="0"/>
                    <w:snapToGrid w:val="0"/>
                    <w:spacing w:line="240" w:lineRule="auto"/>
                    <w:ind w:firstLine="0" w:firstLineChars="0"/>
                    <w:jc w:val="center"/>
                    <w:rPr>
                      <w:color w:val="auto"/>
                      <w:sz w:val="21"/>
                      <w:szCs w:val="21"/>
                    </w:rPr>
                  </w:pPr>
                  <w:r>
                    <w:rPr>
                      <w:color w:val="auto"/>
                      <w:sz w:val="21"/>
                      <w:szCs w:val="21"/>
                    </w:rPr>
                    <w:t>93</w:t>
                  </w:r>
                </w:p>
              </w:tc>
              <w:tc>
                <w:tcPr>
                  <w:tcW w:w="709" w:type="dxa"/>
                  <w:vAlign w:val="center"/>
                </w:tcPr>
                <w:p w14:paraId="4827F342">
                  <w:pPr>
                    <w:adjustRightInd w:val="0"/>
                    <w:snapToGrid w:val="0"/>
                    <w:spacing w:line="240" w:lineRule="auto"/>
                    <w:ind w:firstLine="0" w:firstLineChars="0"/>
                    <w:jc w:val="center"/>
                    <w:rPr>
                      <w:color w:val="auto"/>
                      <w:sz w:val="21"/>
                      <w:szCs w:val="21"/>
                    </w:rPr>
                  </w:pPr>
                  <w:r>
                    <w:rPr>
                      <w:color w:val="auto"/>
                      <w:sz w:val="21"/>
                      <w:szCs w:val="21"/>
                    </w:rPr>
                    <w:t>683</w:t>
                  </w:r>
                </w:p>
              </w:tc>
              <w:tc>
                <w:tcPr>
                  <w:tcW w:w="708" w:type="dxa"/>
                  <w:vAlign w:val="center"/>
                </w:tcPr>
                <w:p w14:paraId="32527780">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6BD4F832">
                  <w:pPr>
                    <w:adjustRightInd w:val="0"/>
                    <w:snapToGrid w:val="0"/>
                    <w:spacing w:line="240" w:lineRule="auto"/>
                    <w:ind w:firstLine="0" w:firstLineChars="0"/>
                    <w:jc w:val="center"/>
                    <w:rPr>
                      <w:color w:val="auto"/>
                      <w:sz w:val="21"/>
                      <w:szCs w:val="21"/>
                    </w:rPr>
                  </w:pPr>
                  <w:r>
                    <w:rPr>
                      <w:color w:val="auto"/>
                      <w:sz w:val="21"/>
                      <w:szCs w:val="21"/>
                    </w:rPr>
                    <w:t>约245人</w:t>
                  </w:r>
                </w:p>
              </w:tc>
              <w:tc>
                <w:tcPr>
                  <w:tcW w:w="653" w:type="dxa"/>
                  <w:vMerge w:val="restart"/>
                  <w:vAlign w:val="center"/>
                </w:tcPr>
                <w:p w14:paraId="30718536">
                  <w:pPr>
                    <w:adjustRightInd w:val="0"/>
                    <w:snapToGrid w:val="0"/>
                    <w:spacing w:line="240" w:lineRule="auto"/>
                    <w:ind w:firstLine="0" w:firstLineChars="0"/>
                    <w:jc w:val="center"/>
                    <w:rPr>
                      <w:color w:val="auto"/>
                      <w:sz w:val="21"/>
                      <w:szCs w:val="21"/>
                    </w:rPr>
                  </w:pPr>
                  <w:r>
                    <w:rPr>
                      <w:color w:val="auto"/>
                      <w:sz w:val="21"/>
                      <w:szCs w:val="21"/>
                    </w:rPr>
                    <w:t>大气环境：二类功能区</w:t>
                  </w:r>
                </w:p>
              </w:tc>
              <w:tc>
                <w:tcPr>
                  <w:tcW w:w="851" w:type="dxa"/>
                  <w:vAlign w:val="center"/>
                </w:tcPr>
                <w:p w14:paraId="57902119">
                  <w:pPr>
                    <w:adjustRightInd w:val="0"/>
                    <w:snapToGrid w:val="0"/>
                    <w:spacing w:line="240" w:lineRule="auto"/>
                    <w:ind w:firstLine="0" w:firstLineChars="0"/>
                    <w:jc w:val="center"/>
                    <w:rPr>
                      <w:color w:val="auto"/>
                      <w:sz w:val="21"/>
                      <w:szCs w:val="21"/>
                    </w:rPr>
                  </w:pPr>
                  <w:r>
                    <w:rPr>
                      <w:color w:val="auto"/>
                      <w:sz w:val="21"/>
                      <w:szCs w:val="21"/>
                    </w:rPr>
                    <w:t>N</w:t>
                  </w:r>
                </w:p>
              </w:tc>
              <w:tc>
                <w:tcPr>
                  <w:tcW w:w="1062" w:type="dxa"/>
                  <w:vAlign w:val="center"/>
                </w:tcPr>
                <w:p w14:paraId="4C2D1508">
                  <w:pPr>
                    <w:adjustRightInd w:val="0"/>
                    <w:snapToGrid w:val="0"/>
                    <w:spacing w:line="240" w:lineRule="auto"/>
                    <w:ind w:firstLine="0" w:firstLineChars="0"/>
                    <w:jc w:val="center"/>
                    <w:rPr>
                      <w:color w:val="auto"/>
                      <w:sz w:val="21"/>
                      <w:szCs w:val="21"/>
                    </w:rPr>
                  </w:pPr>
                  <w:r>
                    <w:rPr>
                      <w:color w:val="auto"/>
                      <w:sz w:val="21"/>
                      <w:szCs w:val="21"/>
                    </w:rPr>
                    <w:t>518</w:t>
                  </w:r>
                </w:p>
              </w:tc>
            </w:tr>
            <w:tr w14:paraId="5BB6A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5E3387E">
                  <w:pPr>
                    <w:adjustRightInd w:val="0"/>
                    <w:snapToGrid w:val="0"/>
                    <w:spacing w:line="240" w:lineRule="auto"/>
                    <w:ind w:firstLine="0" w:firstLineChars="0"/>
                    <w:jc w:val="center"/>
                    <w:rPr>
                      <w:color w:val="auto"/>
                      <w:sz w:val="21"/>
                      <w:szCs w:val="21"/>
                    </w:rPr>
                  </w:pPr>
                  <w:r>
                    <w:rPr>
                      <w:color w:val="auto"/>
                      <w:sz w:val="21"/>
                      <w:szCs w:val="21"/>
                    </w:rPr>
                    <w:t>2</w:t>
                  </w:r>
                </w:p>
              </w:tc>
              <w:tc>
                <w:tcPr>
                  <w:tcW w:w="1276" w:type="dxa"/>
                  <w:vAlign w:val="center"/>
                </w:tcPr>
                <w:p w14:paraId="4AA722D4">
                  <w:pPr>
                    <w:adjustRightInd w:val="0"/>
                    <w:snapToGrid w:val="0"/>
                    <w:spacing w:line="240" w:lineRule="auto"/>
                    <w:ind w:firstLine="0" w:firstLineChars="0"/>
                    <w:jc w:val="center"/>
                    <w:rPr>
                      <w:color w:val="auto"/>
                      <w:sz w:val="21"/>
                      <w:szCs w:val="21"/>
                    </w:rPr>
                  </w:pPr>
                  <w:r>
                    <w:rPr>
                      <w:color w:val="auto"/>
                      <w:sz w:val="21"/>
                      <w:szCs w:val="21"/>
                    </w:rPr>
                    <w:t>河咀小学</w:t>
                  </w:r>
                </w:p>
              </w:tc>
              <w:tc>
                <w:tcPr>
                  <w:tcW w:w="709" w:type="dxa"/>
                  <w:vAlign w:val="center"/>
                </w:tcPr>
                <w:p w14:paraId="5A934800">
                  <w:pPr>
                    <w:adjustRightInd w:val="0"/>
                    <w:snapToGrid w:val="0"/>
                    <w:spacing w:line="240" w:lineRule="auto"/>
                    <w:ind w:firstLine="0" w:firstLineChars="0"/>
                    <w:jc w:val="center"/>
                    <w:rPr>
                      <w:color w:val="auto"/>
                      <w:sz w:val="21"/>
                      <w:szCs w:val="21"/>
                    </w:rPr>
                  </w:pPr>
                  <w:r>
                    <w:rPr>
                      <w:color w:val="auto"/>
                      <w:sz w:val="21"/>
                      <w:szCs w:val="21"/>
                    </w:rPr>
                    <w:t>84</w:t>
                  </w:r>
                </w:p>
              </w:tc>
              <w:tc>
                <w:tcPr>
                  <w:tcW w:w="709" w:type="dxa"/>
                  <w:vAlign w:val="center"/>
                </w:tcPr>
                <w:p w14:paraId="383A156D">
                  <w:pPr>
                    <w:adjustRightInd w:val="0"/>
                    <w:snapToGrid w:val="0"/>
                    <w:spacing w:line="240" w:lineRule="auto"/>
                    <w:ind w:firstLine="0" w:firstLineChars="0"/>
                    <w:jc w:val="center"/>
                    <w:rPr>
                      <w:color w:val="auto"/>
                      <w:sz w:val="21"/>
                      <w:szCs w:val="21"/>
                    </w:rPr>
                  </w:pPr>
                  <w:r>
                    <w:rPr>
                      <w:color w:val="auto"/>
                      <w:sz w:val="21"/>
                      <w:szCs w:val="21"/>
                    </w:rPr>
                    <w:t>511</w:t>
                  </w:r>
                </w:p>
              </w:tc>
              <w:tc>
                <w:tcPr>
                  <w:tcW w:w="708" w:type="dxa"/>
                  <w:vAlign w:val="center"/>
                </w:tcPr>
                <w:p w14:paraId="1B9DDA15">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5B19F264">
                  <w:pPr>
                    <w:adjustRightInd w:val="0"/>
                    <w:snapToGrid w:val="0"/>
                    <w:spacing w:line="240" w:lineRule="auto"/>
                    <w:ind w:firstLine="0" w:firstLineChars="0"/>
                    <w:jc w:val="center"/>
                    <w:rPr>
                      <w:color w:val="auto"/>
                      <w:sz w:val="21"/>
                      <w:szCs w:val="21"/>
                    </w:rPr>
                  </w:pPr>
                  <w:r>
                    <w:rPr>
                      <w:color w:val="auto"/>
                      <w:sz w:val="21"/>
                      <w:szCs w:val="21"/>
                    </w:rPr>
                    <w:t>约300人</w:t>
                  </w:r>
                </w:p>
              </w:tc>
              <w:tc>
                <w:tcPr>
                  <w:tcW w:w="653" w:type="dxa"/>
                  <w:vMerge w:val="continue"/>
                  <w:vAlign w:val="center"/>
                </w:tcPr>
                <w:p w14:paraId="5FEDB032">
                  <w:pPr>
                    <w:adjustRightInd w:val="0"/>
                    <w:snapToGrid w:val="0"/>
                    <w:spacing w:line="240" w:lineRule="auto"/>
                    <w:ind w:firstLine="0" w:firstLineChars="0"/>
                    <w:jc w:val="center"/>
                    <w:rPr>
                      <w:color w:val="auto"/>
                      <w:sz w:val="21"/>
                      <w:szCs w:val="21"/>
                    </w:rPr>
                  </w:pPr>
                </w:p>
              </w:tc>
              <w:tc>
                <w:tcPr>
                  <w:tcW w:w="851" w:type="dxa"/>
                  <w:vAlign w:val="center"/>
                </w:tcPr>
                <w:p w14:paraId="20D6EF7D">
                  <w:pPr>
                    <w:adjustRightInd w:val="0"/>
                    <w:snapToGrid w:val="0"/>
                    <w:spacing w:line="240" w:lineRule="auto"/>
                    <w:ind w:firstLine="0" w:firstLineChars="0"/>
                    <w:jc w:val="center"/>
                    <w:rPr>
                      <w:color w:val="auto"/>
                      <w:sz w:val="21"/>
                      <w:szCs w:val="21"/>
                    </w:rPr>
                  </w:pPr>
                  <w:r>
                    <w:rPr>
                      <w:color w:val="auto"/>
                      <w:sz w:val="21"/>
                      <w:szCs w:val="21"/>
                    </w:rPr>
                    <w:t>N</w:t>
                  </w:r>
                </w:p>
              </w:tc>
              <w:tc>
                <w:tcPr>
                  <w:tcW w:w="1062" w:type="dxa"/>
                  <w:vAlign w:val="center"/>
                </w:tcPr>
                <w:p w14:paraId="71D5B0C4">
                  <w:pPr>
                    <w:adjustRightInd w:val="0"/>
                    <w:snapToGrid w:val="0"/>
                    <w:spacing w:line="240" w:lineRule="auto"/>
                    <w:ind w:firstLine="0" w:firstLineChars="0"/>
                    <w:jc w:val="center"/>
                    <w:rPr>
                      <w:color w:val="auto"/>
                      <w:sz w:val="21"/>
                      <w:szCs w:val="21"/>
                    </w:rPr>
                  </w:pPr>
                  <w:r>
                    <w:rPr>
                      <w:color w:val="auto"/>
                      <w:sz w:val="21"/>
                      <w:szCs w:val="21"/>
                    </w:rPr>
                    <w:t>378</w:t>
                  </w:r>
                </w:p>
              </w:tc>
            </w:tr>
            <w:tr w14:paraId="705F0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13714A53">
                  <w:pPr>
                    <w:adjustRightInd w:val="0"/>
                    <w:snapToGrid w:val="0"/>
                    <w:spacing w:line="240" w:lineRule="auto"/>
                    <w:ind w:firstLine="0" w:firstLineChars="0"/>
                    <w:jc w:val="center"/>
                    <w:rPr>
                      <w:color w:val="auto"/>
                      <w:sz w:val="21"/>
                      <w:szCs w:val="21"/>
                    </w:rPr>
                  </w:pPr>
                  <w:r>
                    <w:rPr>
                      <w:color w:val="auto"/>
                      <w:sz w:val="21"/>
                      <w:szCs w:val="21"/>
                    </w:rPr>
                    <w:t>3</w:t>
                  </w:r>
                </w:p>
              </w:tc>
              <w:tc>
                <w:tcPr>
                  <w:tcW w:w="1276" w:type="dxa"/>
                  <w:vAlign w:val="center"/>
                </w:tcPr>
                <w:p w14:paraId="688B5C6C">
                  <w:pPr>
                    <w:adjustRightInd w:val="0"/>
                    <w:snapToGrid w:val="0"/>
                    <w:spacing w:line="240" w:lineRule="auto"/>
                    <w:ind w:firstLine="0" w:firstLineChars="0"/>
                    <w:jc w:val="center"/>
                    <w:rPr>
                      <w:color w:val="auto"/>
                      <w:sz w:val="21"/>
                      <w:szCs w:val="21"/>
                    </w:rPr>
                  </w:pPr>
                  <w:r>
                    <w:rPr>
                      <w:color w:val="auto"/>
                      <w:sz w:val="21"/>
                      <w:szCs w:val="21"/>
                    </w:rPr>
                    <w:t>散户</w:t>
                  </w:r>
                </w:p>
              </w:tc>
              <w:tc>
                <w:tcPr>
                  <w:tcW w:w="709" w:type="dxa"/>
                  <w:vAlign w:val="center"/>
                </w:tcPr>
                <w:p w14:paraId="529A128F">
                  <w:pPr>
                    <w:adjustRightInd w:val="0"/>
                    <w:snapToGrid w:val="0"/>
                    <w:spacing w:line="240" w:lineRule="auto"/>
                    <w:ind w:firstLine="0" w:firstLineChars="0"/>
                    <w:jc w:val="center"/>
                    <w:rPr>
                      <w:color w:val="auto"/>
                      <w:sz w:val="21"/>
                      <w:szCs w:val="21"/>
                    </w:rPr>
                  </w:pPr>
                  <w:r>
                    <w:rPr>
                      <w:color w:val="auto"/>
                      <w:sz w:val="21"/>
                      <w:szCs w:val="21"/>
                    </w:rPr>
                    <w:t>45</w:t>
                  </w:r>
                </w:p>
              </w:tc>
              <w:tc>
                <w:tcPr>
                  <w:tcW w:w="709" w:type="dxa"/>
                  <w:vAlign w:val="center"/>
                </w:tcPr>
                <w:p w14:paraId="2BF6E86C">
                  <w:pPr>
                    <w:adjustRightInd w:val="0"/>
                    <w:snapToGrid w:val="0"/>
                    <w:spacing w:line="240" w:lineRule="auto"/>
                    <w:ind w:firstLine="0" w:firstLineChars="0"/>
                    <w:jc w:val="center"/>
                    <w:rPr>
                      <w:color w:val="auto"/>
                      <w:sz w:val="21"/>
                      <w:szCs w:val="21"/>
                    </w:rPr>
                  </w:pPr>
                  <w:r>
                    <w:rPr>
                      <w:color w:val="auto"/>
                      <w:sz w:val="21"/>
                      <w:szCs w:val="21"/>
                    </w:rPr>
                    <w:t>110</w:t>
                  </w:r>
                </w:p>
              </w:tc>
              <w:tc>
                <w:tcPr>
                  <w:tcW w:w="708" w:type="dxa"/>
                  <w:vAlign w:val="center"/>
                </w:tcPr>
                <w:p w14:paraId="39E799C5">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552E1058">
                  <w:pPr>
                    <w:adjustRightInd w:val="0"/>
                    <w:snapToGrid w:val="0"/>
                    <w:spacing w:line="240" w:lineRule="auto"/>
                    <w:ind w:firstLine="0" w:firstLineChars="0"/>
                    <w:jc w:val="center"/>
                    <w:rPr>
                      <w:color w:val="auto"/>
                      <w:sz w:val="21"/>
                      <w:szCs w:val="21"/>
                    </w:rPr>
                  </w:pPr>
                  <w:r>
                    <w:rPr>
                      <w:color w:val="auto"/>
                      <w:sz w:val="21"/>
                      <w:szCs w:val="21"/>
                    </w:rPr>
                    <w:t>约3人</w:t>
                  </w:r>
                </w:p>
              </w:tc>
              <w:tc>
                <w:tcPr>
                  <w:tcW w:w="653" w:type="dxa"/>
                  <w:vMerge w:val="continue"/>
                  <w:vAlign w:val="center"/>
                </w:tcPr>
                <w:p w14:paraId="4B6AF427">
                  <w:pPr>
                    <w:adjustRightInd w:val="0"/>
                    <w:snapToGrid w:val="0"/>
                    <w:spacing w:line="240" w:lineRule="auto"/>
                    <w:ind w:firstLine="0" w:firstLineChars="0"/>
                    <w:jc w:val="center"/>
                    <w:rPr>
                      <w:color w:val="auto"/>
                      <w:sz w:val="21"/>
                      <w:szCs w:val="21"/>
                    </w:rPr>
                  </w:pPr>
                </w:p>
              </w:tc>
              <w:tc>
                <w:tcPr>
                  <w:tcW w:w="851" w:type="dxa"/>
                  <w:vAlign w:val="center"/>
                </w:tcPr>
                <w:p w14:paraId="7855CDBE">
                  <w:pPr>
                    <w:adjustRightInd w:val="0"/>
                    <w:snapToGrid w:val="0"/>
                    <w:spacing w:line="240" w:lineRule="auto"/>
                    <w:ind w:firstLine="0" w:firstLineChars="0"/>
                    <w:jc w:val="center"/>
                    <w:rPr>
                      <w:color w:val="auto"/>
                      <w:sz w:val="21"/>
                      <w:szCs w:val="21"/>
                    </w:rPr>
                  </w:pPr>
                  <w:r>
                    <w:rPr>
                      <w:color w:val="auto"/>
                      <w:sz w:val="21"/>
                      <w:szCs w:val="21"/>
                    </w:rPr>
                    <w:t>N</w:t>
                  </w:r>
                </w:p>
              </w:tc>
              <w:tc>
                <w:tcPr>
                  <w:tcW w:w="1062" w:type="dxa"/>
                  <w:vAlign w:val="center"/>
                </w:tcPr>
                <w:p w14:paraId="21D37C7D">
                  <w:pPr>
                    <w:adjustRightInd w:val="0"/>
                    <w:snapToGrid w:val="0"/>
                    <w:spacing w:line="240" w:lineRule="auto"/>
                    <w:ind w:firstLine="0" w:firstLineChars="0"/>
                    <w:jc w:val="center"/>
                    <w:rPr>
                      <w:color w:val="auto"/>
                      <w:sz w:val="21"/>
                      <w:szCs w:val="21"/>
                    </w:rPr>
                  </w:pPr>
                  <w:r>
                    <w:rPr>
                      <w:color w:val="auto"/>
                      <w:sz w:val="21"/>
                      <w:szCs w:val="21"/>
                    </w:rPr>
                    <w:t>12</w:t>
                  </w:r>
                </w:p>
              </w:tc>
            </w:tr>
            <w:tr w14:paraId="62E99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67" w:type="dxa"/>
                  <w:vAlign w:val="center"/>
                </w:tcPr>
                <w:p w14:paraId="705DEAF2">
                  <w:pPr>
                    <w:adjustRightInd w:val="0"/>
                    <w:snapToGrid w:val="0"/>
                    <w:spacing w:line="240" w:lineRule="auto"/>
                    <w:ind w:firstLine="0" w:firstLineChars="0"/>
                    <w:jc w:val="center"/>
                    <w:rPr>
                      <w:color w:val="auto"/>
                      <w:sz w:val="21"/>
                      <w:szCs w:val="21"/>
                    </w:rPr>
                  </w:pPr>
                  <w:r>
                    <w:rPr>
                      <w:color w:val="auto"/>
                      <w:sz w:val="21"/>
                      <w:szCs w:val="21"/>
                    </w:rPr>
                    <w:t>4</w:t>
                  </w:r>
                </w:p>
              </w:tc>
              <w:tc>
                <w:tcPr>
                  <w:tcW w:w="1276" w:type="dxa"/>
                  <w:vAlign w:val="center"/>
                </w:tcPr>
                <w:p w14:paraId="4C188EA9">
                  <w:pPr>
                    <w:adjustRightInd w:val="0"/>
                    <w:snapToGrid w:val="0"/>
                    <w:spacing w:line="240" w:lineRule="auto"/>
                    <w:ind w:firstLine="0" w:firstLineChars="0"/>
                    <w:jc w:val="center"/>
                    <w:rPr>
                      <w:color w:val="auto"/>
                      <w:sz w:val="21"/>
                      <w:szCs w:val="21"/>
                    </w:rPr>
                  </w:pPr>
                  <w:r>
                    <w:rPr>
                      <w:color w:val="auto"/>
                      <w:sz w:val="21"/>
                      <w:szCs w:val="21"/>
                    </w:rPr>
                    <w:t>小大庄</w:t>
                  </w:r>
                </w:p>
              </w:tc>
              <w:tc>
                <w:tcPr>
                  <w:tcW w:w="709" w:type="dxa"/>
                  <w:vAlign w:val="center"/>
                </w:tcPr>
                <w:p w14:paraId="16134CBA">
                  <w:pPr>
                    <w:adjustRightInd w:val="0"/>
                    <w:snapToGrid w:val="0"/>
                    <w:spacing w:line="240" w:lineRule="auto"/>
                    <w:ind w:firstLine="0" w:firstLineChars="0"/>
                    <w:jc w:val="center"/>
                    <w:rPr>
                      <w:color w:val="auto"/>
                      <w:sz w:val="21"/>
                      <w:szCs w:val="21"/>
                    </w:rPr>
                  </w:pPr>
                  <w:r>
                    <w:rPr>
                      <w:color w:val="auto"/>
                      <w:sz w:val="21"/>
                      <w:szCs w:val="21"/>
                    </w:rPr>
                    <w:t>74</w:t>
                  </w:r>
                </w:p>
              </w:tc>
              <w:tc>
                <w:tcPr>
                  <w:tcW w:w="709" w:type="dxa"/>
                  <w:vAlign w:val="center"/>
                </w:tcPr>
                <w:p w14:paraId="0EA5C4A3">
                  <w:pPr>
                    <w:adjustRightInd w:val="0"/>
                    <w:snapToGrid w:val="0"/>
                    <w:spacing w:line="240" w:lineRule="auto"/>
                    <w:ind w:firstLine="0" w:firstLineChars="0"/>
                    <w:jc w:val="center"/>
                    <w:rPr>
                      <w:color w:val="auto"/>
                      <w:sz w:val="21"/>
                      <w:szCs w:val="21"/>
                    </w:rPr>
                  </w:pPr>
                  <w:r>
                    <w:rPr>
                      <w:color w:val="auto"/>
                      <w:sz w:val="21"/>
                      <w:szCs w:val="21"/>
                    </w:rPr>
                    <w:t>-73</w:t>
                  </w:r>
                </w:p>
              </w:tc>
              <w:tc>
                <w:tcPr>
                  <w:tcW w:w="708" w:type="dxa"/>
                  <w:vAlign w:val="center"/>
                </w:tcPr>
                <w:p w14:paraId="17C1A02E">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4CB4CF57">
                  <w:pPr>
                    <w:adjustRightInd w:val="0"/>
                    <w:snapToGrid w:val="0"/>
                    <w:spacing w:line="240" w:lineRule="auto"/>
                    <w:ind w:firstLine="0" w:firstLineChars="0"/>
                    <w:jc w:val="center"/>
                    <w:rPr>
                      <w:color w:val="auto"/>
                      <w:sz w:val="21"/>
                      <w:szCs w:val="21"/>
                    </w:rPr>
                  </w:pPr>
                  <w:r>
                    <w:rPr>
                      <w:color w:val="auto"/>
                      <w:sz w:val="21"/>
                      <w:szCs w:val="21"/>
                    </w:rPr>
                    <w:t>约525人</w:t>
                  </w:r>
                </w:p>
              </w:tc>
              <w:tc>
                <w:tcPr>
                  <w:tcW w:w="653" w:type="dxa"/>
                  <w:vMerge w:val="continue"/>
                  <w:vAlign w:val="center"/>
                </w:tcPr>
                <w:p w14:paraId="46EBEEDC">
                  <w:pPr>
                    <w:adjustRightInd w:val="0"/>
                    <w:snapToGrid w:val="0"/>
                    <w:spacing w:line="240" w:lineRule="auto"/>
                    <w:ind w:firstLine="0" w:firstLineChars="0"/>
                    <w:jc w:val="center"/>
                    <w:rPr>
                      <w:color w:val="auto"/>
                      <w:sz w:val="21"/>
                      <w:szCs w:val="21"/>
                    </w:rPr>
                  </w:pPr>
                </w:p>
              </w:tc>
              <w:tc>
                <w:tcPr>
                  <w:tcW w:w="851" w:type="dxa"/>
                  <w:vAlign w:val="center"/>
                </w:tcPr>
                <w:p w14:paraId="4EF031FA">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61A0E328">
                  <w:pPr>
                    <w:adjustRightInd w:val="0"/>
                    <w:snapToGrid w:val="0"/>
                    <w:spacing w:line="240" w:lineRule="auto"/>
                    <w:ind w:firstLine="0" w:firstLineChars="0"/>
                    <w:jc w:val="center"/>
                    <w:rPr>
                      <w:color w:val="auto"/>
                      <w:sz w:val="21"/>
                      <w:szCs w:val="21"/>
                    </w:rPr>
                  </w:pPr>
                  <w:r>
                    <w:rPr>
                      <w:color w:val="auto"/>
                      <w:sz w:val="21"/>
                      <w:szCs w:val="21"/>
                    </w:rPr>
                    <w:t>40</w:t>
                  </w:r>
                </w:p>
              </w:tc>
            </w:tr>
            <w:tr w14:paraId="52CF4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809949B">
                  <w:pPr>
                    <w:adjustRightInd w:val="0"/>
                    <w:snapToGrid w:val="0"/>
                    <w:spacing w:line="240" w:lineRule="auto"/>
                    <w:ind w:firstLine="0" w:firstLineChars="0"/>
                    <w:jc w:val="center"/>
                    <w:rPr>
                      <w:color w:val="auto"/>
                      <w:sz w:val="21"/>
                      <w:szCs w:val="21"/>
                    </w:rPr>
                  </w:pPr>
                  <w:r>
                    <w:rPr>
                      <w:color w:val="auto"/>
                      <w:sz w:val="21"/>
                      <w:szCs w:val="21"/>
                    </w:rPr>
                    <w:t>5</w:t>
                  </w:r>
                </w:p>
              </w:tc>
              <w:tc>
                <w:tcPr>
                  <w:tcW w:w="1276" w:type="dxa"/>
                  <w:vAlign w:val="center"/>
                </w:tcPr>
                <w:p w14:paraId="4709C3ED">
                  <w:pPr>
                    <w:adjustRightInd w:val="0"/>
                    <w:snapToGrid w:val="0"/>
                    <w:spacing w:line="240" w:lineRule="auto"/>
                    <w:ind w:firstLine="0" w:firstLineChars="0"/>
                    <w:jc w:val="center"/>
                    <w:rPr>
                      <w:color w:val="auto"/>
                      <w:sz w:val="21"/>
                      <w:szCs w:val="21"/>
                    </w:rPr>
                  </w:pPr>
                  <w:r>
                    <w:rPr>
                      <w:color w:val="auto"/>
                      <w:sz w:val="21"/>
                      <w:szCs w:val="21"/>
                    </w:rPr>
                    <w:t>大庄小学</w:t>
                  </w:r>
                </w:p>
              </w:tc>
              <w:tc>
                <w:tcPr>
                  <w:tcW w:w="709" w:type="dxa"/>
                  <w:vAlign w:val="center"/>
                </w:tcPr>
                <w:p w14:paraId="660B7B2E">
                  <w:pPr>
                    <w:adjustRightInd w:val="0"/>
                    <w:snapToGrid w:val="0"/>
                    <w:spacing w:line="240" w:lineRule="auto"/>
                    <w:ind w:firstLine="0" w:firstLineChars="0"/>
                    <w:jc w:val="center"/>
                    <w:rPr>
                      <w:color w:val="auto"/>
                      <w:sz w:val="21"/>
                      <w:szCs w:val="21"/>
                    </w:rPr>
                  </w:pPr>
                  <w:r>
                    <w:rPr>
                      <w:color w:val="auto"/>
                      <w:sz w:val="21"/>
                      <w:szCs w:val="21"/>
                    </w:rPr>
                    <w:t>271</w:t>
                  </w:r>
                </w:p>
              </w:tc>
              <w:tc>
                <w:tcPr>
                  <w:tcW w:w="709" w:type="dxa"/>
                  <w:vAlign w:val="center"/>
                </w:tcPr>
                <w:p w14:paraId="7AC4FE79">
                  <w:pPr>
                    <w:adjustRightInd w:val="0"/>
                    <w:snapToGrid w:val="0"/>
                    <w:spacing w:line="240" w:lineRule="auto"/>
                    <w:ind w:firstLine="0" w:firstLineChars="0"/>
                    <w:jc w:val="center"/>
                    <w:rPr>
                      <w:color w:val="auto"/>
                      <w:sz w:val="21"/>
                      <w:szCs w:val="21"/>
                    </w:rPr>
                  </w:pPr>
                  <w:r>
                    <w:rPr>
                      <w:color w:val="auto"/>
                      <w:sz w:val="21"/>
                      <w:szCs w:val="21"/>
                    </w:rPr>
                    <w:t>-450</w:t>
                  </w:r>
                </w:p>
              </w:tc>
              <w:tc>
                <w:tcPr>
                  <w:tcW w:w="708" w:type="dxa"/>
                  <w:vAlign w:val="center"/>
                </w:tcPr>
                <w:p w14:paraId="6B163D30">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3CA3D051">
                  <w:pPr>
                    <w:adjustRightInd w:val="0"/>
                    <w:snapToGrid w:val="0"/>
                    <w:spacing w:line="240" w:lineRule="auto"/>
                    <w:ind w:firstLine="0" w:firstLineChars="0"/>
                    <w:jc w:val="center"/>
                    <w:rPr>
                      <w:color w:val="auto"/>
                      <w:sz w:val="21"/>
                      <w:szCs w:val="21"/>
                    </w:rPr>
                  </w:pPr>
                  <w:r>
                    <w:rPr>
                      <w:color w:val="auto"/>
                      <w:sz w:val="21"/>
                      <w:szCs w:val="21"/>
                    </w:rPr>
                    <w:t>约300人</w:t>
                  </w:r>
                </w:p>
              </w:tc>
              <w:tc>
                <w:tcPr>
                  <w:tcW w:w="653" w:type="dxa"/>
                  <w:vMerge w:val="continue"/>
                  <w:vAlign w:val="center"/>
                </w:tcPr>
                <w:p w14:paraId="59617B5C">
                  <w:pPr>
                    <w:adjustRightInd w:val="0"/>
                    <w:snapToGrid w:val="0"/>
                    <w:spacing w:line="240" w:lineRule="auto"/>
                    <w:ind w:firstLine="0" w:firstLineChars="0"/>
                    <w:jc w:val="center"/>
                    <w:rPr>
                      <w:color w:val="auto"/>
                      <w:sz w:val="21"/>
                      <w:szCs w:val="21"/>
                    </w:rPr>
                  </w:pPr>
                </w:p>
              </w:tc>
              <w:tc>
                <w:tcPr>
                  <w:tcW w:w="851" w:type="dxa"/>
                  <w:vAlign w:val="center"/>
                </w:tcPr>
                <w:p w14:paraId="06A2EBE8">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066E1BB5">
                  <w:pPr>
                    <w:adjustRightInd w:val="0"/>
                    <w:snapToGrid w:val="0"/>
                    <w:spacing w:line="240" w:lineRule="auto"/>
                    <w:ind w:firstLine="0" w:firstLineChars="0"/>
                    <w:jc w:val="center"/>
                    <w:rPr>
                      <w:color w:val="auto"/>
                      <w:sz w:val="21"/>
                      <w:szCs w:val="21"/>
                    </w:rPr>
                  </w:pPr>
                  <w:r>
                    <w:rPr>
                      <w:color w:val="auto"/>
                      <w:sz w:val="21"/>
                      <w:szCs w:val="21"/>
                    </w:rPr>
                    <w:t>441</w:t>
                  </w:r>
                </w:p>
              </w:tc>
            </w:tr>
            <w:tr w14:paraId="1C228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DC0C579">
                  <w:pPr>
                    <w:adjustRightInd w:val="0"/>
                    <w:snapToGrid w:val="0"/>
                    <w:spacing w:line="240" w:lineRule="auto"/>
                    <w:ind w:firstLine="0" w:firstLineChars="0"/>
                    <w:jc w:val="center"/>
                    <w:rPr>
                      <w:color w:val="auto"/>
                      <w:sz w:val="21"/>
                      <w:szCs w:val="21"/>
                    </w:rPr>
                  </w:pPr>
                  <w:r>
                    <w:rPr>
                      <w:color w:val="auto"/>
                      <w:sz w:val="21"/>
                      <w:szCs w:val="21"/>
                    </w:rPr>
                    <w:t>6</w:t>
                  </w:r>
                </w:p>
              </w:tc>
              <w:tc>
                <w:tcPr>
                  <w:tcW w:w="1276" w:type="dxa"/>
                  <w:vAlign w:val="center"/>
                </w:tcPr>
                <w:p w14:paraId="2AEAD878">
                  <w:pPr>
                    <w:adjustRightInd w:val="0"/>
                    <w:snapToGrid w:val="0"/>
                    <w:spacing w:line="240" w:lineRule="auto"/>
                    <w:ind w:firstLine="0" w:firstLineChars="0"/>
                    <w:jc w:val="center"/>
                    <w:rPr>
                      <w:color w:val="auto"/>
                      <w:sz w:val="21"/>
                      <w:szCs w:val="21"/>
                    </w:rPr>
                  </w:pPr>
                  <w:r>
                    <w:rPr>
                      <w:color w:val="auto"/>
                      <w:sz w:val="21"/>
                      <w:szCs w:val="21"/>
                    </w:rPr>
                    <w:t>大庄村</w:t>
                  </w:r>
                </w:p>
              </w:tc>
              <w:tc>
                <w:tcPr>
                  <w:tcW w:w="709" w:type="dxa"/>
                  <w:vAlign w:val="center"/>
                </w:tcPr>
                <w:p w14:paraId="0C33EECB">
                  <w:pPr>
                    <w:adjustRightInd w:val="0"/>
                    <w:snapToGrid w:val="0"/>
                    <w:spacing w:line="240" w:lineRule="auto"/>
                    <w:ind w:firstLine="0" w:firstLineChars="0"/>
                    <w:jc w:val="center"/>
                    <w:rPr>
                      <w:color w:val="auto"/>
                      <w:sz w:val="21"/>
                      <w:szCs w:val="21"/>
                    </w:rPr>
                  </w:pPr>
                  <w:r>
                    <w:rPr>
                      <w:color w:val="auto"/>
                      <w:sz w:val="21"/>
                      <w:szCs w:val="21"/>
                    </w:rPr>
                    <w:t>268</w:t>
                  </w:r>
                </w:p>
              </w:tc>
              <w:tc>
                <w:tcPr>
                  <w:tcW w:w="709" w:type="dxa"/>
                  <w:vAlign w:val="center"/>
                </w:tcPr>
                <w:p w14:paraId="56BE44C0">
                  <w:pPr>
                    <w:adjustRightInd w:val="0"/>
                    <w:snapToGrid w:val="0"/>
                    <w:spacing w:line="240" w:lineRule="auto"/>
                    <w:ind w:firstLine="0" w:firstLineChars="0"/>
                    <w:jc w:val="center"/>
                    <w:rPr>
                      <w:color w:val="auto"/>
                      <w:sz w:val="21"/>
                      <w:szCs w:val="21"/>
                    </w:rPr>
                  </w:pPr>
                  <w:r>
                    <w:rPr>
                      <w:color w:val="auto"/>
                      <w:sz w:val="21"/>
                      <w:szCs w:val="21"/>
                    </w:rPr>
                    <w:t>505</w:t>
                  </w:r>
                </w:p>
              </w:tc>
              <w:tc>
                <w:tcPr>
                  <w:tcW w:w="708" w:type="dxa"/>
                  <w:vAlign w:val="center"/>
                </w:tcPr>
                <w:p w14:paraId="4ED91E9F">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6FB11027">
                  <w:pPr>
                    <w:adjustRightInd w:val="0"/>
                    <w:snapToGrid w:val="0"/>
                    <w:spacing w:line="240" w:lineRule="auto"/>
                    <w:ind w:firstLine="0" w:firstLineChars="0"/>
                    <w:jc w:val="center"/>
                    <w:rPr>
                      <w:color w:val="auto"/>
                      <w:sz w:val="21"/>
                      <w:szCs w:val="21"/>
                    </w:rPr>
                  </w:pPr>
                  <w:r>
                    <w:rPr>
                      <w:color w:val="auto"/>
                      <w:sz w:val="21"/>
                      <w:szCs w:val="21"/>
                    </w:rPr>
                    <w:t>约220人</w:t>
                  </w:r>
                </w:p>
              </w:tc>
              <w:tc>
                <w:tcPr>
                  <w:tcW w:w="653" w:type="dxa"/>
                  <w:vMerge w:val="continue"/>
                  <w:vAlign w:val="center"/>
                </w:tcPr>
                <w:p w14:paraId="15F7CA67">
                  <w:pPr>
                    <w:adjustRightInd w:val="0"/>
                    <w:snapToGrid w:val="0"/>
                    <w:spacing w:line="240" w:lineRule="auto"/>
                    <w:ind w:firstLine="0" w:firstLineChars="0"/>
                    <w:jc w:val="center"/>
                    <w:rPr>
                      <w:color w:val="auto"/>
                      <w:sz w:val="21"/>
                      <w:szCs w:val="21"/>
                    </w:rPr>
                  </w:pPr>
                </w:p>
              </w:tc>
              <w:tc>
                <w:tcPr>
                  <w:tcW w:w="851" w:type="dxa"/>
                  <w:vAlign w:val="center"/>
                </w:tcPr>
                <w:p w14:paraId="3516232D">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51086AD9">
                  <w:pPr>
                    <w:adjustRightInd w:val="0"/>
                    <w:snapToGrid w:val="0"/>
                    <w:spacing w:line="240" w:lineRule="auto"/>
                    <w:ind w:firstLine="0" w:firstLineChars="0"/>
                    <w:jc w:val="center"/>
                    <w:rPr>
                      <w:color w:val="auto"/>
                      <w:sz w:val="21"/>
                      <w:szCs w:val="21"/>
                    </w:rPr>
                  </w:pPr>
                  <w:r>
                    <w:rPr>
                      <w:color w:val="auto"/>
                      <w:sz w:val="21"/>
                      <w:szCs w:val="21"/>
                    </w:rPr>
                    <w:t>492</w:t>
                  </w:r>
                </w:p>
              </w:tc>
            </w:tr>
            <w:tr w14:paraId="3007E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3EC783F7">
                  <w:pPr>
                    <w:adjustRightInd w:val="0"/>
                    <w:snapToGrid w:val="0"/>
                    <w:spacing w:line="240" w:lineRule="auto"/>
                    <w:ind w:firstLine="0" w:firstLineChars="0"/>
                    <w:jc w:val="center"/>
                    <w:rPr>
                      <w:color w:val="auto"/>
                      <w:sz w:val="21"/>
                      <w:szCs w:val="21"/>
                    </w:rPr>
                  </w:pPr>
                  <w:r>
                    <w:rPr>
                      <w:color w:val="auto"/>
                      <w:sz w:val="21"/>
                      <w:szCs w:val="21"/>
                    </w:rPr>
                    <w:t>7</w:t>
                  </w:r>
                </w:p>
              </w:tc>
              <w:tc>
                <w:tcPr>
                  <w:tcW w:w="1276" w:type="dxa"/>
                  <w:vAlign w:val="center"/>
                </w:tcPr>
                <w:p w14:paraId="0E7180E0">
                  <w:pPr>
                    <w:adjustRightInd w:val="0"/>
                    <w:snapToGrid w:val="0"/>
                    <w:spacing w:line="240" w:lineRule="auto"/>
                    <w:ind w:firstLine="0" w:firstLineChars="0"/>
                    <w:jc w:val="center"/>
                    <w:rPr>
                      <w:color w:val="auto"/>
                      <w:sz w:val="21"/>
                      <w:szCs w:val="21"/>
                    </w:rPr>
                  </w:pPr>
                  <w:r>
                    <w:rPr>
                      <w:color w:val="auto"/>
                      <w:sz w:val="21"/>
                      <w:szCs w:val="21"/>
                    </w:rPr>
                    <w:t>居民区</w:t>
                  </w:r>
                </w:p>
              </w:tc>
              <w:tc>
                <w:tcPr>
                  <w:tcW w:w="709" w:type="dxa"/>
                  <w:vAlign w:val="center"/>
                </w:tcPr>
                <w:p w14:paraId="1ADD686C">
                  <w:pPr>
                    <w:adjustRightInd w:val="0"/>
                    <w:snapToGrid w:val="0"/>
                    <w:spacing w:line="240" w:lineRule="auto"/>
                    <w:ind w:firstLine="0" w:firstLineChars="0"/>
                    <w:jc w:val="center"/>
                    <w:rPr>
                      <w:color w:val="auto"/>
                      <w:sz w:val="21"/>
                      <w:szCs w:val="21"/>
                    </w:rPr>
                  </w:pPr>
                  <w:r>
                    <w:rPr>
                      <w:color w:val="auto"/>
                      <w:sz w:val="21"/>
                      <w:szCs w:val="21"/>
                    </w:rPr>
                    <w:t>-23</w:t>
                  </w:r>
                </w:p>
              </w:tc>
              <w:tc>
                <w:tcPr>
                  <w:tcW w:w="709" w:type="dxa"/>
                  <w:vAlign w:val="center"/>
                </w:tcPr>
                <w:p w14:paraId="3330F5CF">
                  <w:pPr>
                    <w:adjustRightInd w:val="0"/>
                    <w:snapToGrid w:val="0"/>
                    <w:spacing w:line="240" w:lineRule="auto"/>
                    <w:ind w:firstLine="0" w:firstLineChars="0"/>
                    <w:jc w:val="center"/>
                    <w:rPr>
                      <w:color w:val="auto"/>
                      <w:sz w:val="21"/>
                      <w:szCs w:val="21"/>
                    </w:rPr>
                  </w:pPr>
                  <w:r>
                    <w:rPr>
                      <w:color w:val="auto"/>
                      <w:sz w:val="21"/>
                      <w:szCs w:val="21"/>
                    </w:rPr>
                    <w:t>-147</w:t>
                  </w:r>
                </w:p>
              </w:tc>
              <w:tc>
                <w:tcPr>
                  <w:tcW w:w="708" w:type="dxa"/>
                  <w:vAlign w:val="center"/>
                </w:tcPr>
                <w:p w14:paraId="67EFF53C">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72988D01">
                  <w:pPr>
                    <w:adjustRightInd w:val="0"/>
                    <w:snapToGrid w:val="0"/>
                    <w:spacing w:line="240" w:lineRule="auto"/>
                    <w:ind w:firstLine="0" w:firstLineChars="0"/>
                    <w:jc w:val="center"/>
                    <w:rPr>
                      <w:color w:val="auto"/>
                      <w:sz w:val="21"/>
                      <w:szCs w:val="21"/>
                    </w:rPr>
                  </w:pPr>
                  <w:r>
                    <w:rPr>
                      <w:color w:val="auto"/>
                      <w:sz w:val="21"/>
                      <w:szCs w:val="21"/>
                    </w:rPr>
                    <w:t>约150人</w:t>
                  </w:r>
                </w:p>
              </w:tc>
              <w:tc>
                <w:tcPr>
                  <w:tcW w:w="653" w:type="dxa"/>
                  <w:vMerge w:val="continue"/>
                  <w:vAlign w:val="center"/>
                </w:tcPr>
                <w:p w14:paraId="2A08FF8A">
                  <w:pPr>
                    <w:adjustRightInd w:val="0"/>
                    <w:snapToGrid w:val="0"/>
                    <w:spacing w:line="240" w:lineRule="auto"/>
                    <w:ind w:firstLine="0" w:firstLineChars="0"/>
                    <w:jc w:val="center"/>
                    <w:rPr>
                      <w:color w:val="auto"/>
                      <w:sz w:val="21"/>
                      <w:szCs w:val="21"/>
                    </w:rPr>
                  </w:pPr>
                </w:p>
              </w:tc>
              <w:tc>
                <w:tcPr>
                  <w:tcW w:w="851" w:type="dxa"/>
                  <w:vAlign w:val="center"/>
                </w:tcPr>
                <w:p w14:paraId="6400C452">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4EB74283">
                  <w:pPr>
                    <w:adjustRightInd w:val="0"/>
                    <w:snapToGrid w:val="0"/>
                    <w:spacing w:line="240" w:lineRule="auto"/>
                    <w:ind w:firstLine="0" w:firstLineChars="0"/>
                    <w:jc w:val="center"/>
                    <w:rPr>
                      <w:color w:val="auto"/>
                      <w:sz w:val="21"/>
                      <w:szCs w:val="21"/>
                    </w:rPr>
                  </w:pPr>
                  <w:r>
                    <w:rPr>
                      <w:color w:val="auto"/>
                      <w:sz w:val="21"/>
                      <w:szCs w:val="21"/>
                    </w:rPr>
                    <w:t>18</w:t>
                  </w:r>
                </w:p>
              </w:tc>
            </w:tr>
            <w:tr w14:paraId="30A3C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7D2B2094">
                  <w:pPr>
                    <w:adjustRightInd w:val="0"/>
                    <w:snapToGrid w:val="0"/>
                    <w:spacing w:line="240" w:lineRule="auto"/>
                    <w:ind w:firstLine="0" w:firstLineChars="0"/>
                    <w:jc w:val="center"/>
                    <w:rPr>
                      <w:color w:val="auto"/>
                      <w:sz w:val="21"/>
                      <w:szCs w:val="21"/>
                    </w:rPr>
                  </w:pPr>
                  <w:r>
                    <w:rPr>
                      <w:color w:val="auto"/>
                      <w:sz w:val="21"/>
                      <w:szCs w:val="21"/>
                    </w:rPr>
                    <w:t>8</w:t>
                  </w:r>
                </w:p>
              </w:tc>
              <w:tc>
                <w:tcPr>
                  <w:tcW w:w="1276" w:type="dxa"/>
                  <w:vAlign w:val="center"/>
                </w:tcPr>
                <w:p w14:paraId="2B18E940">
                  <w:pPr>
                    <w:adjustRightInd w:val="0"/>
                    <w:snapToGrid w:val="0"/>
                    <w:spacing w:line="240" w:lineRule="auto"/>
                    <w:ind w:firstLine="0" w:firstLineChars="0"/>
                    <w:jc w:val="center"/>
                    <w:rPr>
                      <w:color w:val="auto"/>
                      <w:sz w:val="21"/>
                      <w:szCs w:val="21"/>
                    </w:rPr>
                  </w:pPr>
                  <w:r>
                    <w:rPr>
                      <w:color w:val="auto"/>
                      <w:sz w:val="21"/>
                      <w:szCs w:val="21"/>
                    </w:rPr>
                    <w:t>江川区林业与草原局</w:t>
                  </w:r>
                </w:p>
              </w:tc>
              <w:tc>
                <w:tcPr>
                  <w:tcW w:w="709" w:type="dxa"/>
                  <w:vAlign w:val="center"/>
                </w:tcPr>
                <w:p w14:paraId="1D2348C0">
                  <w:pPr>
                    <w:adjustRightInd w:val="0"/>
                    <w:snapToGrid w:val="0"/>
                    <w:spacing w:line="240" w:lineRule="auto"/>
                    <w:ind w:firstLine="0" w:firstLineChars="0"/>
                    <w:jc w:val="center"/>
                    <w:rPr>
                      <w:color w:val="auto"/>
                      <w:sz w:val="21"/>
                      <w:szCs w:val="21"/>
                    </w:rPr>
                  </w:pPr>
                  <w:r>
                    <w:rPr>
                      <w:color w:val="auto"/>
                      <w:sz w:val="21"/>
                      <w:szCs w:val="21"/>
                    </w:rPr>
                    <w:t>-28</w:t>
                  </w:r>
                </w:p>
              </w:tc>
              <w:tc>
                <w:tcPr>
                  <w:tcW w:w="709" w:type="dxa"/>
                  <w:vAlign w:val="center"/>
                </w:tcPr>
                <w:p w14:paraId="702AE44A">
                  <w:pPr>
                    <w:adjustRightInd w:val="0"/>
                    <w:snapToGrid w:val="0"/>
                    <w:spacing w:line="240" w:lineRule="auto"/>
                    <w:ind w:firstLine="0" w:firstLineChars="0"/>
                    <w:jc w:val="center"/>
                    <w:rPr>
                      <w:color w:val="auto"/>
                      <w:sz w:val="21"/>
                      <w:szCs w:val="21"/>
                    </w:rPr>
                  </w:pPr>
                  <w:r>
                    <w:rPr>
                      <w:color w:val="auto"/>
                      <w:sz w:val="21"/>
                      <w:szCs w:val="21"/>
                    </w:rPr>
                    <w:t>-210</w:t>
                  </w:r>
                </w:p>
              </w:tc>
              <w:tc>
                <w:tcPr>
                  <w:tcW w:w="708" w:type="dxa"/>
                  <w:vAlign w:val="center"/>
                </w:tcPr>
                <w:p w14:paraId="6E34D271">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09B303CB">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7BCFF3F9">
                  <w:pPr>
                    <w:adjustRightInd w:val="0"/>
                    <w:snapToGrid w:val="0"/>
                    <w:spacing w:line="240" w:lineRule="auto"/>
                    <w:ind w:firstLine="0" w:firstLineChars="0"/>
                    <w:jc w:val="center"/>
                    <w:rPr>
                      <w:color w:val="auto"/>
                      <w:sz w:val="21"/>
                      <w:szCs w:val="21"/>
                    </w:rPr>
                  </w:pPr>
                </w:p>
              </w:tc>
              <w:tc>
                <w:tcPr>
                  <w:tcW w:w="851" w:type="dxa"/>
                  <w:vAlign w:val="center"/>
                </w:tcPr>
                <w:p w14:paraId="250FE772">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487CCD76">
                  <w:pPr>
                    <w:adjustRightInd w:val="0"/>
                    <w:snapToGrid w:val="0"/>
                    <w:spacing w:line="240" w:lineRule="auto"/>
                    <w:ind w:firstLine="0" w:firstLineChars="0"/>
                    <w:jc w:val="center"/>
                    <w:rPr>
                      <w:color w:val="auto"/>
                      <w:sz w:val="21"/>
                      <w:szCs w:val="21"/>
                    </w:rPr>
                  </w:pPr>
                  <w:r>
                    <w:rPr>
                      <w:color w:val="auto"/>
                      <w:sz w:val="21"/>
                      <w:szCs w:val="21"/>
                    </w:rPr>
                    <w:t>83</w:t>
                  </w:r>
                </w:p>
              </w:tc>
            </w:tr>
            <w:tr w14:paraId="23C5F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46ECA386">
                  <w:pPr>
                    <w:adjustRightInd w:val="0"/>
                    <w:snapToGrid w:val="0"/>
                    <w:spacing w:line="240" w:lineRule="auto"/>
                    <w:ind w:firstLine="0" w:firstLineChars="0"/>
                    <w:jc w:val="center"/>
                    <w:rPr>
                      <w:color w:val="auto"/>
                      <w:sz w:val="21"/>
                      <w:szCs w:val="21"/>
                    </w:rPr>
                  </w:pPr>
                  <w:r>
                    <w:rPr>
                      <w:color w:val="auto"/>
                      <w:sz w:val="21"/>
                      <w:szCs w:val="21"/>
                    </w:rPr>
                    <w:t>9</w:t>
                  </w:r>
                </w:p>
              </w:tc>
              <w:tc>
                <w:tcPr>
                  <w:tcW w:w="1276" w:type="dxa"/>
                  <w:vAlign w:val="center"/>
                </w:tcPr>
                <w:p w14:paraId="0B2808B7">
                  <w:pPr>
                    <w:adjustRightInd w:val="0"/>
                    <w:snapToGrid w:val="0"/>
                    <w:spacing w:line="240" w:lineRule="auto"/>
                    <w:ind w:firstLine="0" w:firstLineChars="0"/>
                    <w:jc w:val="center"/>
                    <w:rPr>
                      <w:color w:val="auto"/>
                      <w:sz w:val="21"/>
                      <w:szCs w:val="21"/>
                    </w:rPr>
                  </w:pPr>
                  <w:r>
                    <w:rPr>
                      <w:color w:val="auto"/>
                      <w:sz w:val="21"/>
                      <w:szCs w:val="21"/>
                    </w:rPr>
                    <w:t>江川县商业小区</w:t>
                  </w:r>
                </w:p>
              </w:tc>
              <w:tc>
                <w:tcPr>
                  <w:tcW w:w="709" w:type="dxa"/>
                  <w:vAlign w:val="center"/>
                </w:tcPr>
                <w:p w14:paraId="6CDC6100">
                  <w:pPr>
                    <w:adjustRightInd w:val="0"/>
                    <w:snapToGrid w:val="0"/>
                    <w:spacing w:line="240" w:lineRule="auto"/>
                    <w:ind w:firstLine="0" w:firstLineChars="0"/>
                    <w:jc w:val="center"/>
                    <w:rPr>
                      <w:color w:val="auto"/>
                      <w:sz w:val="21"/>
                      <w:szCs w:val="21"/>
                    </w:rPr>
                  </w:pPr>
                  <w:r>
                    <w:rPr>
                      <w:color w:val="auto"/>
                      <w:sz w:val="21"/>
                      <w:szCs w:val="21"/>
                    </w:rPr>
                    <w:t>-129</w:t>
                  </w:r>
                </w:p>
              </w:tc>
              <w:tc>
                <w:tcPr>
                  <w:tcW w:w="709" w:type="dxa"/>
                  <w:vAlign w:val="center"/>
                </w:tcPr>
                <w:p w14:paraId="514EDE70">
                  <w:pPr>
                    <w:adjustRightInd w:val="0"/>
                    <w:snapToGrid w:val="0"/>
                    <w:spacing w:line="240" w:lineRule="auto"/>
                    <w:ind w:firstLine="0" w:firstLineChars="0"/>
                    <w:jc w:val="center"/>
                    <w:rPr>
                      <w:color w:val="auto"/>
                      <w:sz w:val="21"/>
                      <w:szCs w:val="21"/>
                    </w:rPr>
                  </w:pPr>
                  <w:r>
                    <w:rPr>
                      <w:color w:val="auto"/>
                      <w:sz w:val="21"/>
                      <w:szCs w:val="21"/>
                    </w:rPr>
                    <w:t>-109</w:t>
                  </w:r>
                </w:p>
              </w:tc>
              <w:tc>
                <w:tcPr>
                  <w:tcW w:w="708" w:type="dxa"/>
                  <w:vAlign w:val="center"/>
                </w:tcPr>
                <w:p w14:paraId="07D356E3">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28CA8B4">
                  <w:pPr>
                    <w:adjustRightInd w:val="0"/>
                    <w:snapToGrid w:val="0"/>
                    <w:spacing w:line="240" w:lineRule="auto"/>
                    <w:ind w:firstLine="0" w:firstLineChars="0"/>
                    <w:jc w:val="center"/>
                    <w:rPr>
                      <w:color w:val="auto"/>
                      <w:sz w:val="21"/>
                      <w:szCs w:val="21"/>
                    </w:rPr>
                  </w:pPr>
                  <w:r>
                    <w:rPr>
                      <w:color w:val="auto"/>
                      <w:sz w:val="21"/>
                      <w:szCs w:val="21"/>
                    </w:rPr>
                    <w:t>约450人</w:t>
                  </w:r>
                </w:p>
              </w:tc>
              <w:tc>
                <w:tcPr>
                  <w:tcW w:w="653" w:type="dxa"/>
                  <w:vMerge w:val="continue"/>
                  <w:vAlign w:val="center"/>
                </w:tcPr>
                <w:p w14:paraId="5154F02C">
                  <w:pPr>
                    <w:adjustRightInd w:val="0"/>
                    <w:snapToGrid w:val="0"/>
                    <w:spacing w:line="240" w:lineRule="auto"/>
                    <w:ind w:firstLine="0" w:firstLineChars="0"/>
                    <w:jc w:val="center"/>
                    <w:rPr>
                      <w:color w:val="auto"/>
                      <w:sz w:val="21"/>
                      <w:szCs w:val="21"/>
                    </w:rPr>
                  </w:pPr>
                </w:p>
              </w:tc>
              <w:tc>
                <w:tcPr>
                  <w:tcW w:w="851" w:type="dxa"/>
                  <w:vAlign w:val="center"/>
                </w:tcPr>
                <w:p w14:paraId="65C37BE2">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04F1BE96">
                  <w:pPr>
                    <w:adjustRightInd w:val="0"/>
                    <w:snapToGrid w:val="0"/>
                    <w:spacing w:line="240" w:lineRule="auto"/>
                    <w:ind w:firstLine="0" w:firstLineChars="0"/>
                    <w:jc w:val="center"/>
                    <w:rPr>
                      <w:color w:val="auto"/>
                      <w:sz w:val="21"/>
                      <w:szCs w:val="21"/>
                    </w:rPr>
                  </w:pPr>
                  <w:r>
                    <w:rPr>
                      <w:color w:val="auto"/>
                      <w:sz w:val="21"/>
                      <w:szCs w:val="21"/>
                    </w:rPr>
                    <w:t>18</w:t>
                  </w:r>
                </w:p>
              </w:tc>
            </w:tr>
            <w:tr w14:paraId="0C3B5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10744EE">
                  <w:pPr>
                    <w:adjustRightInd w:val="0"/>
                    <w:snapToGrid w:val="0"/>
                    <w:spacing w:line="240" w:lineRule="auto"/>
                    <w:ind w:firstLine="0" w:firstLineChars="0"/>
                    <w:jc w:val="center"/>
                    <w:rPr>
                      <w:color w:val="auto"/>
                      <w:sz w:val="21"/>
                      <w:szCs w:val="21"/>
                    </w:rPr>
                  </w:pPr>
                  <w:r>
                    <w:rPr>
                      <w:color w:val="auto"/>
                      <w:sz w:val="21"/>
                      <w:szCs w:val="21"/>
                    </w:rPr>
                    <w:t>10</w:t>
                  </w:r>
                </w:p>
              </w:tc>
              <w:tc>
                <w:tcPr>
                  <w:tcW w:w="1276" w:type="dxa"/>
                  <w:vAlign w:val="center"/>
                </w:tcPr>
                <w:p w14:paraId="465D39C9">
                  <w:pPr>
                    <w:adjustRightInd w:val="0"/>
                    <w:snapToGrid w:val="0"/>
                    <w:spacing w:line="240" w:lineRule="auto"/>
                    <w:ind w:firstLine="0" w:firstLineChars="0"/>
                    <w:jc w:val="center"/>
                    <w:rPr>
                      <w:color w:val="auto"/>
                      <w:sz w:val="21"/>
                      <w:szCs w:val="21"/>
                    </w:rPr>
                  </w:pPr>
                  <w:r>
                    <w:rPr>
                      <w:color w:val="auto"/>
                      <w:sz w:val="21"/>
                      <w:szCs w:val="21"/>
                    </w:rPr>
                    <w:t>江川区社会保险局</w:t>
                  </w:r>
                </w:p>
              </w:tc>
              <w:tc>
                <w:tcPr>
                  <w:tcW w:w="709" w:type="dxa"/>
                  <w:vAlign w:val="center"/>
                </w:tcPr>
                <w:p w14:paraId="47437BA1">
                  <w:pPr>
                    <w:adjustRightInd w:val="0"/>
                    <w:snapToGrid w:val="0"/>
                    <w:spacing w:line="240" w:lineRule="auto"/>
                    <w:ind w:firstLine="0" w:firstLineChars="0"/>
                    <w:jc w:val="center"/>
                    <w:rPr>
                      <w:color w:val="auto"/>
                      <w:sz w:val="21"/>
                      <w:szCs w:val="21"/>
                    </w:rPr>
                  </w:pPr>
                  <w:r>
                    <w:rPr>
                      <w:color w:val="auto"/>
                      <w:sz w:val="21"/>
                      <w:szCs w:val="21"/>
                    </w:rPr>
                    <w:t>-208</w:t>
                  </w:r>
                </w:p>
              </w:tc>
              <w:tc>
                <w:tcPr>
                  <w:tcW w:w="709" w:type="dxa"/>
                  <w:vAlign w:val="center"/>
                </w:tcPr>
                <w:p w14:paraId="2F58403A">
                  <w:pPr>
                    <w:adjustRightInd w:val="0"/>
                    <w:snapToGrid w:val="0"/>
                    <w:spacing w:line="240" w:lineRule="auto"/>
                    <w:ind w:firstLine="0" w:firstLineChars="0"/>
                    <w:jc w:val="center"/>
                    <w:rPr>
                      <w:color w:val="auto"/>
                      <w:sz w:val="21"/>
                      <w:szCs w:val="21"/>
                    </w:rPr>
                  </w:pPr>
                  <w:r>
                    <w:rPr>
                      <w:color w:val="auto"/>
                      <w:sz w:val="21"/>
                      <w:szCs w:val="21"/>
                    </w:rPr>
                    <w:t>-263</w:t>
                  </w:r>
                </w:p>
              </w:tc>
              <w:tc>
                <w:tcPr>
                  <w:tcW w:w="708" w:type="dxa"/>
                  <w:vAlign w:val="center"/>
                </w:tcPr>
                <w:p w14:paraId="541C8B58">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15E54434">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7F5E7727">
                  <w:pPr>
                    <w:adjustRightInd w:val="0"/>
                    <w:snapToGrid w:val="0"/>
                    <w:spacing w:line="240" w:lineRule="auto"/>
                    <w:ind w:firstLine="0" w:firstLineChars="0"/>
                    <w:jc w:val="center"/>
                    <w:rPr>
                      <w:color w:val="auto"/>
                      <w:sz w:val="21"/>
                      <w:szCs w:val="21"/>
                    </w:rPr>
                  </w:pPr>
                </w:p>
              </w:tc>
              <w:tc>
                <w:tcPr>
                  <w:tcW w:w="851" w:type="dxa"/>
                  <w:vAlign w:val="center"/>
                </w:tcPr>
                <w:p w14:paraId="494D2C8E">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0E75C9DC">
                  <w:pPr>
                    <w:adjustRightInd w:val="0"/>
                    <w:snapToGrid w:val="0"/>
                    <w:spacing w:line="240" w:lineRule="auto"/>
                    <w:ind w:firstLine="0" w:firstLineChars="0"/>
                    <w:jc w:val="center"/>
                    <w:rPr>
                      <w:color w:val="auto"/>
                      <w:sz w:val="21"/>
                      <w:szCs w:val="21"/>
                    </w:rPr>
                  </w:pPr>
                  <w:r>
                    <w:rPr>
                      <w:color w:val="auto"/>
                      <w:sz w:val="21"/>
                      <w:szCs w:val="21"/>
                    </w:rPr>
                    <w:t>210</w:t>
                  </w:r>
                </w:p>
              </w:tc>
            </w:tr>
            <w:tr w14:paraId="297CB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3EB42C50">
                  <w:pPr>
                    <w:adjustRightInd w:val="0"/>
                    <w:snapToGrid w:val="0"/>
                    <w:spacing w:line="240" w:lineRule="auto"/>
                    <w:ind w:firstLine="0" w:firstLineChars="0"/>
                    <w:jc w:val="center"/>
                    <w:rPr>
                      <w:color w:val="auto"/>
                      <w:sz w:val="21"/>
                      <w:szCs w:val="21"/>
                    </w:rPr>
                  </w:pPr>
                  <w:r>
                    <w:rPr>
                      <w:color w:val="auto"/>
                      <w:sz w:val="21"/>
                      <w:szCs w:val="21"/>
                    </w:rPr>
                    <w:t>11</w:t>
                  </w:r>
                </w:p>
              </w:tc>
              <w:tc>
                <w:tcPr>
                  <w:tcW w:w="1276" w:type="dxa"/>
                  <w:vAlign w:val="center"/>
                </w:tcPr>
                <w:p w14:paraId="061B8F49">
                  <w:pPr>
                    <w:adjustRightInd w:val="0"/>
                    <w:snapToGrid w:val="0"/>
                    <w:spacing w:line="240" w:lineRule="auto"/>
                    <w:ind w:firstLine="0" w:firstLineChars="0"/>
                    <w:jc w:val="center"/>
                    <w:rPr>
                      <w:color w:val="auto"/>
                      <w:sz w:val="21"/>
                      <w:szCs w:val="21"/>
                    </w:rPr>
                  </w:pPr>
                  <w:r>
                    <w:rPr>
                      <w:color w:val="auto"/>
                      <w:sz w:val="21"/>
                      <w:szCs w:val="21"/>
                    </w:rPr>
                    <w:t>江川区广电局</w:t>
                  </w:r>
                </w:p>
              </w:tc>
              <w:tc>
                <w:tcPr>
                  <w:tcW w:w="709" w:type="dxa"/>
                  <w:vAlign w:val="center"/>
                </w:tcPr>
                <w:p w14:paraId="645D260A">
                  <w:pPr>
                    <w:adjustRightInd w:val="0"/>
                    <w:snapToGrid w:val="0"/>
                    <w:spacing w:line="240" w:lineRule="auto"/>
                    <w:ind w:firstLine="0" w:firstLineChars="0"/>
                    <w:jc w:val="center"/>
                    <w:rPr>
                      <w:color w:val="auto"/>
                      <w:sz w:val="21"/>
                      <w:szCs w:val="21"/>
                    </w:rPr>
                  </w:pPr>
                  <w:r>
                    <w:rPr>
                      <w:color w:val="auto"/>
                      <w:sz w:val="21"/>
                      <w:szCs w:val="21"/>
                    </w:rPr>
                    <w:t>-45</w:t>
                  </w:r>
                </w:p>
              </w:tc>
              <w:tc>
                <w:tcPr>
                  <w:tcW w:w="709" w:type="dxa"/>
                  <w:vAlign w:val="center"/>
                </w:tcPr>
                <w:p w14:paraId="1DCDD5E6">
                  <w:pPr>
                    <w:adjustRightInd w:val="0"/>
                    <w:snapToGrid w:val="0"/>
                    <w:spacing w:line="240" w:lineRule="auto"/>
                    <w:ind w:firstLine="0" w:firstLineChars="0"/>
                    <w:jc w:val="center"/>
                    <w:rPr>
                      <w:color w:val="auto"/>
                      <w:sz w:val="21"/>
                      <w:szCs w:val="21"/>
                    </w:rPr>
                  </w:pPr>
                  <w:r>
                    <w:rPr>
                      <w:color w:val="auto"/>
                      <w:sz w:val="21"/>
                      <w:szCs w:val="21"/>
                    </w:rPr>
                    <w:t>-316</w:t>
                  </w:r>
                </w:p>
              </w:tc>
              <w:tc>
                <w:tcPr>
                  <w:tcW w:w="708" w:type="dxa"/>
                  <w:vAlign w:val="center"/>
                </w:tcPr>
                <w:p w14:paraId="1E9C4C7C">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6A681D92">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0B4F839C">
                  <w:pPr>
                    <w:adjustRightInd w:val="0"/>
                    <w:snapToGrid w:val="0"/>
                    <w:spacing w:line="240" w:lineRule="auto"/>
                    <w:ind w:firstLine="0" w:firstLineChars="0"/>
                    <w:jc w:val="center"/>
                    <w:rPr>
                      <w:color w:val="auto"/>
                      <w:sz w:val="21"/>
                      <w:szCs w:val="21"/>
                    </w:rPr>
                  </w:pPr>
                </w:p>
              </w:tc>
              <w:tc>
                <w:tcPr>
                  <w:tcW w:w="851" w:type="dxa"/>
                  <w:vAlign w:val="center"/>
                </w:tcPr>
                <w:p w14:paraId="0839190A">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316251B2">
                  <w:pPr>
                    <w:adjustRightInd w:val="0"/>
                    <w:snapToGrid w:val="0"/>
                    <w:spacing w:line="240" w:lineRule="auto"/>
                    <w:ind w:firstLine="0" w:firstLineChars="0"/>
                    <w:jc w:val="center"/>
                    <w:rPr>
                      <w:color w:val="auto"/>
                      <w:sz w:val="21"/>
                      <w:szCs w:val="21"/>
                    </w:rPr>
                  </w:pPr>
                  <w:r>
                    <w:rPr>
                      <w:color w:val="auto"/>
                      <w:sz w:val="21"/>
                      <w:szCs w:val="21"/>
                    </w:rPr>
                    <w:t>171</w:t>
                  </w:r>
                </w:p>
              </w:tc>
            </w:tr>
            <w:tr w14:paraId="312ED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EEBCD08">
                  <w:pPr>
                    <w:adjustRightInd w:val="0"/>
                    <w:snapToGrid w:val="0"/>
                    <w:spacing w:line="240" w:lineRule="auto"/>
                    <w:ind w:firstLine="0" w:firstLineChars="0"/>
                    <w:jc w:val="center"/>
                    <w:rPr>
                      <w:color w:val="auto"/>
                      <w:sz w:val="21"/>
                      <w:szCs w:val="21"/>
                    </w:rPr>
                  </w:pPr>
                  <w:r>
                    <w:rPr>
                      <w:color w:val="auto"/>
                      <w:sz w:val="21"/>
                      <w:szCs w:val="21"/>
                    </w:rPr>
                    <w:t>12</w:t>
                  </w:r>
                </w:p>
              </w:tc>
              <w:tc>
                <w:tcPr>
                  <w:tcW w:w="1276" w:type="dxa"/>
                  <w:vAlign w:val="center"/>
                </w:tcPr>
                <w:p w14:paraId="2955C43B">
                  <w:pPr>
                    <w:adjustRightInd w:val="0"/>
                    <w:snapToGrid w:val="0"/>
                    <w:spacing w:line="240" w:lineRule="auto"/>
                    <w:ind w:firstLine="0" w:firstLineChars="0"/>
                    <w:jc w:val="center"/>
                    <w:rPr>
                      <w:color w:val="auto"/>
                      <w:sz w:val="21"/>
                      <w:szCs w:val="21"/>
                    </w:rPr>
                  </w:pPr>
                  <w:r>
                    <w:rPr>
                      <w:color w:val="auto"/>
                      <w:sz w:val="21"/>
                      <w:szCs w:val="21"/>
                    </w:rPr>
                    <w:t>江川区财政局</w:t>
                  </w:r>
                </w:p>
              </w:tc>
              <w:tc>
                <w:tcPr>
                  <w:tcW w:w="709" w:type="dxa"/>
                  <w:vAlign w:val="center"/>
                </w:tcPr>
                <w:p w14:paraId="49A091F1">
                  <w:pPr>
                    <w:adjustRightInd w:val="0"/>
                    <w:snapToGrid w:val="0"/>
                    <w:spacing w:line="240" w:lineRule="auto"/>
                    <w:ind w:firstLine="0" w:firstLineChars="0"/>
                    <w:jc w:val="center"/>
                    <w:rPr>
                      <w:color w:val="auto"/>
                      <w:sz w:val="21"/>
                      <w:szCs w:val="21"/>
                    </w:rPr>
                  </w:pPr>
                  <w:r>
                    <w:rPr>
                      <w:color w:val="auto"/>
                      <w:sz w:val="21"/>
                      <w:szCs w:val="21"/>
                    </w:rPr>
                    <w:t>-143</w:t>
                  </w:r>
                </w:p>
              </w:tc>
              <w:tc>
                <w:tcPr>
                  <w:tcW w:w="709" w:type="dxa"/>
                  <w:vAlign w:val="center"/>
                </w:tcPr>
                <w:p w14:paraId="7CB9A0D3">
                  <w:pPr>
                    <w:adjustRightInd w:val="0"/>
                    <w:snapToGrid w:val="0"/>
                    <w:spacing w:line="240" w:lineRule="auto"/>
                    <w:ind w:firstLine="0" w:firstLineChars="0"/>
                    <w:jc w:val="center"/>
                    <w:rPr>
                      <w:color w:val="auto"/>
                      <w:sz w:val="21"/>
                      <w:szCs w:val="21"/>
                    </w:rPr>
                  </w:pPr>
                  <w:r>
                    <w:rPr>
                      <w:color w:val="auto"/>
                      <w:sz w:val="21"/>
                      <w:szCs w:val="21"/>
                    </w:rPr>
                    <w:t>-258</w:t>
                  </w:r>
                </w:p>
              </w:tc>
              <w:tc>
                <w:tcPr>
                  <w:tcW w:w="708" w:type="dxa"/>
                  <w:vAlign w:val="center"/>
                </w:tcPr>
                <w:p w14:paraId="46EDC35A">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5D14EB1B">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011CB943">
                  <w:pPr>
                    <w:adjustRightInd w:val="0"/>
                    <w:snapToGrid w:val="0"/>
                    <w:spacing w:line="240" w:lineRule="auto"/>
                    <w:ind w:firstLine="0" w:firstLineChars="0"/>
                    <w:jc w:val="center"/>
                    <w:rPr>
                      <w:color w:val="auto"/>
                      <w:sz w:val="21"/>
                      <w:szCs w:val="21"/>
                    </w:rPr>
                  </w:pPr>
                </w:p>
              </w:tc>
              <w:tc>
                <w:tcPr>
                  <w:tcW w:w="851" w:type="dxa"/>
                  <w:vAlign w:val="center"/>
                </w:tcPr>
                <w:p w14:paraId="5C3D9A7C">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8028561">
                  <w:pPr>
                    <w:adjustRightInd w:val="0"/>
                    <w:snapToGrid w:val="0"/>
                    <w:spacing w:line="240" w:lineRule="auto"/>
                    <w:ind w:firstLine="0" w:firstLineChars="0"/>
                    <w:jc w:val="center"/>
                    <w:rPr>
                      <w:color w:val="auto"/>
                      <w:sz w:val="21"/>
                      <w:szCs w:val="21"/>
                    </w:rPr>
                  </w:pPr>
                  <w:r>
                    <w:rPr>
                      <w:color w:val="auto"/>
                      <w:sz w:val="21"/>
                      <w:szCs w:val="21"/>
                    </w:rPr>
                    <w:t>163</w:t>
                  </w:r>
                </w:p>
              </w:tc>
            </w:tr>
            <w:tr w14:paraId="369CE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F5CC2DD">
                  <w:pPr>
                    <w:adjustRightInd w:val="0"/>
                    <w:snapToGrid w:val="0"/>
                    <w:spacing w:line="240" w:lineRule="auto"/>
                    <w:ind w:firstLine="0" w:firstLineChars="0"/>
                    <w:jc w:val="center"/>
                    <w:rPr>
                      <w:color w:val="auto"/>
                      <w:sz w:val="21"/>
                      <w:szCs w:val="21"/>
                    </w:rPr>
                  </w:pPr>
                  <w:r>
                    <w:rPr>
                      <w:color w:val="auto"/>
                      <w:sz w:val="21"/>
                      <w:szCs w:val="21"/>
                    </w:rPr>
                    <w:t>13</w:t>
                  </w:r>
                </w:p>
              </w:tc>
              <w:tc>
                <w:tcPr>
                  <w:tcW w:w="1276" w:type="dxa"/>
                  <w:vAlign w:val="center"/>
                </w:tcPr>
                <w:p w14:paraId="44400D50">
                  <w:pPr>
                    <w:adjustRightInd w:val="0"/>
                    <w:snapToGrid w:val="0"/>
                    <w:spacing w:line="240" w:lineRule="auto"/>
                    <w:ind w:firstLine="0" w:firstLineChars="0"/>
                    <w:jc w:val="center"/>
                    <w:rPr>
                      <w:color w:val="auto"/>
                      <w:sz w:val="21"/>
                      <w:szCs w:val="21"/>
                    </w:rPr>
                  </w:pPr>
                  <w:r>
                    <w:rPr>
                      <w:color w:val="auto"/>
                      <w:sz w:val="21"/>
                      <w:szCs w:val="21"/>
                    </w:rPr>
                    <w:t>玉溪市税务局第三稽查局</w:t>
                  </w:r>
                </w:p>
              </w:tc>
              <w:tc>
                <w:tcPr>
                  <w:tcW w:w="709" w:type="dxa"/>
                  <w:vAlign w:val="center"/>
                </w:tcPr>
                <w:p w14:paraId="31B74B20">
                  <w:pPr>
                    <w:adjustRightInd w:val="0"/>
                    <w:snapToGrid w:val="0"/>
                    <w:spacing w:line="240" w:lineRule="auto"/>
                    <w:ind w:firstLine="0" w:firstLineChars="0"/>
                    <w:jc w:val="center"/>
                    <w:rPr>
                      <w:color w:val="auto"/>
                      <w:sz w:val="21"/>
                      <w:szCs w:val="21"/>
                    </w:rPr>
                  </w:pPr>
                  <w:r>
                    <w:rPr>
                      <w:color w:val="auto"/>
                      <w:sz w:val="21"/>
                      <w:szCs w:val="21"/>
                    </w:rPr>
                    <w:t>-234</w:t>
                  </w:r>
                </w:p>
              </w:tc>
              <w:tc>
                <w:tcPr>
                  <w:tcW w:w="709" w:type="dxa"/>
                  <w:vAlign w:val="center"/>
                </w:tcPr>
                <w:p w14:paraId="662E34FD">
                  <w:pPr>
                    <w:adjustRightInd w:val="0"/>
                    <w:snapToGrid w:val="0"/>
                    <w:spacing w:line="240" w:lineRule="auto"/>
                    <w:ind w:firstLine="0" w:firstLineChars="0"/>
                    <w:jc w:val="center"/>
                    <w:rPr>
                      <w:color w:val="auto"/>
                      <w:sz w:val="21"/>
                      <w:szCs w:val="21"/>
                    </w:rPr>
                  </w:pPr>
                  <w:r>
                    <w:rPr>
                      <w:color w:val="auto"/>
                      <w:sz w:val="21"/>
                      <w:szCs w:val="21"/>
                    </w:rPr>
                    <w:t>-445</w:t>
                  </w:r>
                </w:p>
              </w:tc>
              <w:tc>
                <w:tcPr>
                  <w:tcW w:w="708" w:type="dxa"/>
                  <w:vAlign w:val="center"/>
                </w:tcPr>
                <w:p w14:paraId="5993DFA2">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08CECAC7">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21FCB14D">
                  <w:pPr>
                    <w:adjustRightInd w:val="0"/>
                    <w:snapToGrid w:val="0"/>
                    <w:spacing w:line="240" w:lineRule="auto"/>
                    <w:ind w:firstLine="0" w:firstLineChars="0"/>
                    <w:jc w:val="center"/>
                    <w:rPr>
                      <w:color w:val="auto"/>
                      <w:sz w:val="21"/>
                      <w:szCs w:val="21"/>
                    </w:rPr>
                  </w:pPr>
                </w:p>
              </w:tc>
              <w:tc>
                <w:tcPr>
                  <w:tcW w:w="851" w:type="dxa"/>
                  <w:vAlign w:val="center"/>
                </w:tcPr>
                <w:p w14:paraId="4523D645">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1E8CEA3F">
                  <w:pPr>
                    <w:adjustRightInd w:val="0"/>
                    <w:snapToGrid w:val="0"/>
                    <w:spacing w:line="240" w:lineRule="auto"/>
                    <w:ind w:firstLine="0" w:firstLineChars="0"/>
                    <w:jc w:val="center"/>
                    <w:rPr>
                      <w:color w:val="auto"/>
                      <w:sz w:val="21"/>
                      <w:szCs w:val="21"/>
                    </w:rPr>
                  </w:pPr>
                  <w:r>
                    <w:rPr>
                      <w:color w:val="auto"/>
                      <w:sz w:val="21"/>
                      <w:szCs w:val="21"/>
                    </w:rPr>
                    <w:t>405</w:t>
                  </w:r>
                </w:p>
              </w:tc>
            </w:tr>
            <w:tr w14:paraId="6E863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1807FF6">
                  <w:pPr>
                    <w:adjustRightInd w:val="0"/>
                    <w:snapToGrid w:val="0"/>
                    <w:spacing w:line="240" w:lineRule="auto"/>
                    <w:ind w:firstLine="0" w:firstLineChars="0"/>
                    <w:jc w:val="center"/>
                    <w:rPr>
                      <w:color w:val="auto"/>
                      <w:sz w:val="21"/>
                      <w:szCs w:val="21"/>
                    </w:rPr>
                  </w:pPr>
                  <w:r>
                    <w:rPr>
                      <w:color w:val="auto"/>
                      <w:sz w:val="21"/>
                      <w:szCs w:val="21"/>
                    </w:rPr>
                    <w:t>14</w:t>
                  </w:r>
                </w:p>
              </w:tc>
              <w:tc>
                <w:tcPr>
                  <w:tcW w:w="1276" w:type="dxa"/>
                  <w:vAlign w:val="center"/>
                </w:tcPr>
                <w:p w14:paraId="3407BA8A">
                  <w:pPr>
                    <w:adjustRightInd w:val="0"/>
                    <w:snapToGrid w:val="0"/>
                    <w:spacing w:line="240" w:lineRule="auto"/>
                    <w:ind w:firstLine="0" w:firstLineChars="0"/>
                    <w:jc w:val="center"/>
                    <w:rPr>
                      <w:color w:val="auto"/>
                      <w:sz w:val="21"/>
                      <w:szCs w:val="21"/>
                    </w:rPr>
                  </w:pPr>
                  <w:r>
                    <w:rPr>
                      <w:color w:val="auto"/>
                      <w:sz w:val="21"/>
                      <w:szCs w:val="21"/>
                    </w:rPr>
                    <w:t>江川区疾控中心</w:t>
                  </w:r>
                </w:p>
              </w:tc>
              <w:tc>
                <w:tcPr>
                  <w:tcW w:w="709" w:type="dxa"/>
                  <w:vAlign w:val="center"/>
                </w:tcPr>
                <w:p w14:paraId="557BB97F">
                  <w:pPr>
                    <w:adjustRightInd w:val="0"/>
                    <w:snapToGrid w:val="0"/>
                    <w:spacing w:line="240" w:lineRule="auto"/>
                    <w:ind w:firstLine="0" w:firstLineChars="0"/>
                    <w:jc w:val="center"/>
                    <w:rPr>
                      <w:color w:val="auto"/>
                      <w:sz w:val="21"/>
                      <w:szCs w:val="21"/>
                    </w:rPr>
                  </w:pPr>
                  <w:r>
                    <w:rPr>
                      <w:color w:val="auto"/>
                      <w:sz w:val="21"/>
                      <w:szCs w:val="21"/>
                    </w:rPr>
                    <w:t>-100</w:t>
                  </w:r>
                </w:p>
              </w:tc>
              <w:tc>
                <w:tcPr>
                  <w:tcW w:w="709" w:type="dxa"/>
                  <w:vAlign w:val="center"/>
                </w:tcPr>
                <w:p w14:paraId="61AD2CFF">
                  <w:pPr>
                    <w:adjustRightInd w:val="0"/>
                    <w:snapToGrid w:val="0"/>
                    <w:spacing w:line="240" w:lineRule="auto"/>
                    <w:ind w:firstLine="0" w:firstLineChars="0"/>
                    <w:jc w:val="center"/>
                    <w:rPr>
                      <w:color w:val="auto"/>
                      <w:sz w:val="21"/>
                      <w:szCs w:val="21"/>
                    </w:rPr>
                  </w:pPr>
                  <w:r>
                    <w:rPr>
                      <w:color w:val="auto"/>
                      <w:sz w:val="21"/>
                      <w:szCs w:val="21"/>
                    </w:rPr>
                    <w:t>-434</w:t>
                  </w:r>
                </w:p>
              </w:tc>
              <w:tc>
                <w:tcPr>
                  <w:tcW w:w="708" w:type="dxa"/>
                  <w:vAlign w:val="center"/>
                </w:tcPr>
                <w:p w14:paraId="6CE4EDAB">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079F4B57">
                  <w:pPr>
                    <w:adjustRightInd w:val="0"/>
                    <w:snapToGrid w:val="0"/>
                    <w:spacing w:line="240" w:lineRule="auto"/>
                    <w:ind w:firstLine="0" w:firstLineChars="0"/>
                    <w:jc w:val="center"/>
                    <w:rPr>
                      <w:color w:val="auto"/>
                      <w:sz w:val="21"/>
                      <w:szCs w:val="21"/>
                    </w:rPr>
                  </w:pPr>
                  <w:r>
                    <w:rPr>
                      <w:color w:val="auto"/>
                      <w:sz w:val="21"/>
                      <w:szCs w:val="21"/>
                    </w:rPr>
                    <w:t>约50人</w:t>
                  </w:r>
                </w:p>
              </w:tc>
              <w:tc>
                <w:tcPr>
                  <w:tcW w:w="653" w:type="dxa"/>
                  <w:vMerge w:val="continue"/>
                  <w:vAlign w:val="center"/>
                </w:tcPr>
                <w:p w14:paraId="7B40002B">
                  <w:pPr>
                    <w:adjustRightInd w:val="0"/>
                    <w:snapToGrid w:val="0"/>
                    <w:spacing w:line="240" w:lineRule="auto"/>
                    <w:ind w:firstLine="0" w:firstLineChars="0"/>
                    <w:jc w:val="center"/>
                    <w:rPr>
                      <w:color w:val="auto"/>
                      <w:sz w:val="21"/>
                      <w:szCs w:val="21"/>
                    </w:rPr>
                  </w:pPr>
                </w:p>
              </w:tc>
              <w:tc>
                <w:tcPr>
                  <w:tcW w:w="851" w:type="dxa"/>
                  <w:vAlign w:val="center"/>
                </w:tcPr>
                <w:p w14:paraId="6E45B89F">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2E7A0134">
                  <w:pPr>
                    <w:adjustRightInd w:val="0"/>
                    <w:snapToGrid w:val="0"/>
                    <w:spacing w:line="240" w:lineRule="auto"/>
                    <w:ind w:firstLine="0" w:firstLineChars="0"/>
                    <w:jc w:val="center"/>
                    <w:rPr>
                      <w:color w:val="auto"/>
                      <w:sz w:val="21"/>
                      <w:szCs w:val="21"/>
                    </w:rPr>
                  </w:pPr>
                  <w:r>
                    <w:rPr>
                      <w:color w:val="auto"/>
                      <w:sz w:val="21"/>
                      <w:szCs w:val="21"/>
                    </w:rPr>
                    <w:t>293</w:t>
                  </w:r>
                </w:p>
              </w:tc>
            </w:tr>
            <w:tr w14:paraId="70692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46AD4AF9">
                  <w:pPr>
                    <w:adjustRightInd w:val="0"/>
                    <w:snapToGrid w:val="0"/>
                    <w:spacing w:line="240" w:lineRule="auto"/>
                    <w:ind w:firstLine="0" w:firstLineChars="0"/>
                    <w:jc w:val="center"/>
                    <w:rPr>
                      <w:color w:val="auto"/>
                      <w:sz w:val="21"/>
                      <w:szCs w:val="21"/>
                    </w:rPr>
                  </w:pPr>
                  <w:r>
                    <w:rPr>
                      <w:color w:val="auto"/>
                      <w:sz w:val="21"/>
                      <w:szCs w:val="21"/>
                    </w:rPr>
                    <w:t>15</w:t>
                  </w:r>
                </w:p>
              </w:tc>
              <w:tc>
                <w:tcPr>
                  <w:tcW w:w="1276" w:type="dxa"/>
                  <w:vAlign w:val="center"/>
                </w:tcPr>
                <w:p w14:paraId="38823D1E">
                  <w:pPr>
                    <w:adjustRightInd w:val="0"/>
                    <w:snapToGrid w:val="0"/>
                    <w:spacing w:line="240" w:lineRule="auto"/>
                    <w:ind w:firstLine="0" w:firstLineChars="0"/>
                    <w:jc w:val="center"/>
                    <w:rPr>
                      <w:color w:val="auto"/>
                      <w:sz w:val="21"/>
                      <w:szCs w:val="21"/>
                    </w:rPr>
                  </w:pPr>
                  <w:r>
                    <w:rPr>
                      <w:color w:val="auto"/>
                      <w:sz w:val="21"/>
                      <w:szCs w:val="21"/>
                    </w:rPr>
                    <w:t>童星幼儿园</w:t>
                  </w:r>
                </w:p>
              </w:tc>
              <w:tc>
                <w:tcPr>
                  <w:tcW w:w="709" w:type="dxa"/>
                  <w:vAlign w:val="center"/>
                </w:tcPr>
                <w:p w14:paraId="1FA450EF">
                  <w:pPr>
                    <w:adjustRightInd w:val="0"/>
                    <w:snapToGrid w:val="0"/>
                    <w:spacing w:line="240" w:lineRule="auto"/>
                    <w:ind w:firstLine="0" w:firstLineChars="0"/>
                    <w:jc w:val="center"/>
                    <w:rPr>
                      <w:color w:val="auto"/>
                      <w:sz w:val="21"/>
                      <w:szCs w:val="21"/>
                    </w:rPr>
                  </w:pPr>
                  <w:r>
                    <w:rPr>
                      <w:color w:val="auto"/>
                      <w:sz w:val="21"/>
                      <w:szCs w:val="21"/>
                    </w:rPr>
                    <w:t>-39</w:t>
                  </w:r>
                </w:p>
              </w:tc>
              <w:tc>
                <w:tcPr>
                  <w:tcW w:w="709" w:type="dxa"/>
                  <w:vAlign w:val="center"/>
                </w:tcPr>
                <w:p w14:paraId="7D8761A9">
                  <w:pPr>
                    <w:adjustRightInd w:val="0"/>
                    <w:snapToGrid w:val="0"/>
                    <w:spacing w:line="240" w:lineRule="auto"/>
                    <w:ind w:firstLine="0" w:firstLineChars="0"/>
                    <w:jc w:val="center"/>
                    <w:rPr>
                      <w:color w:val="auto"/>
                      <w:sz w:val="21"/>
                      <w:szCs w:val="21"/>
                    </w:rPr>
                  </w:pPr>
                  <w:r>
                    <w:rPr>
                      <w:color w:val="auto"/>
                      <w:sz w:val="21"/>
                      <w:szCs w:val="21"/>
                    </w:rPr>
                    <w:t>-434</w:t>
                  </w:r>
                </w:p>
              </w:tc>
              <w:tc>
                <w:tcPr>
                  <w:tcW w:w="708" w:type="dxa"/>
                  <w:vAlign w:val="center"/>
                </w:tcPr>
                <w:p w14:paraId="61F44520">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14988CF2">
                  <w:pPr>
                    <w:adjustRightInd w:val="0"/>
                    <w:snapToGrid w:val="0"/>
                    <w:spacing w:line="240" w:lineRule="auto"/>
                    <w:ind w:firstLine="0" w:firstLineChars="0"/>
                    <w:jc w:val="center"/>
                    <w:rPr>
                      <w:color w:val="auto"/>
                      <w:sz w:val="21"/>
                      <w:szCs w:val="21"/>
                    </w:rPr>
                  </w:pPr>
                  <w:r>
                    <w:rPr>
                      <w:color w:val="auto"/>
                      <w:sz w:val="21"/>
                      <w:szCs w:val="21"/>
                    </w:rPr>
                    <w:t>约150人</w:t>
                  </w:r>
                </w:p>
              </w:tc>
              <w:tc>
                <w:tcPr>
                  <w:tcW w:w="653" w:type="dxa"/>
                  <w:vMerge w:val="continue"/>
                  <w:vAlign w:val="center"/>
                </w:tcPr>
                <w:p w14:paraId="1E23DD35">
                  <w:pPr>
                    <w:adjustRightInd w:val="0"/>
                    <w:snapToGrid w:val="0"/>
                    <w:spacing w:line="240" w:lineRule="auto"/>
                    <w:ind w:firstLine="0" w:firstLineChars="0"/>
                    <w:jc w:val="center"/>
                    <w:rPr>
                      <w:color w:val="auto"/>
                      <w:sz w:val="21"/>
                      <w:szCs w:val="21"/>
                    </w:rPr>
                  </w:pPr>
                </w:p>
              </w:tc>
              <w:tc>
                <w:tcPr>
                  <w:tcW w:w="851" w:type="dxa"/>
                  <w:vAlign w:val="center"/>
                </w:tcPr>
                <w:p w14:paraId="12A4343F">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8911F7C">
                  <w:pPr>
                    <w:adjustRightInd w:val="0"/>
                    <w:snapToGrid w:val="0"/>
                    <w:spacing w:line="240" w:lineRule="auto"/>
                    <w:ind w:firstLine="0" w:firstLineChars="0"/>
                    <w:jc w:val="center"/>
                    <w:rPr>
                      <w:color w:val="auto"/>
                      <w:sz w:val="21"/>
                      <w:szCs w:val="21"/>
                    </w:rPr>
                  </w:pPr>
                  <w:r>
                    <w:rPr>
                      <w:color w:val="auto"/>
                      <w:sz w:val="21"/>
                      <w:szCs w:val="21"/>
                    </w:rPr>
                    <w:t>292</w:t>
                  </w:r>
                </w:p>
              </w:tc>
            </w:tr>
            <w:tr w14:paraId="4198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0C909513">
                  <w:pPr>
                    <w:adjustRightInd w:val="0"/>
                    <w:snapToGrid w:val="0"/>
                    <w:spacing w:line="240" w:lineRule="auto"/>
                    <w:ind w:firstLine="0" w:firstLineChars="0"/>
                    <w:jc w:val="center"/>
                    <w:rPr>
                      <w:color w:val="auto"/>
                      <w:sz w:val="21"/>
                      <w:szCs w:val="21"/>
                    </w:rPr>
                  </w:pPr>
                  <w:r>
                    <w:rPr>
                      <w:color w:val="auto"/>
                      <w:sz w:val="21"/>
                      <w:szCs w:val="21"/>
                    </w:rPr>
                    <w:t>16</w:t>
                  </w:r>
                </w:p>
              </w:tc>
              <w:tc>
                <w:tcPr>
                  <w:tcW w:w="1276" w:type="dxa"/>
                  <w:vAlign w:val="center"/>
                </w:tcPr>
                <w:p w14:paraId="0557BE31">
                  <w:pPr>
                    <w:adjustRightInd w:val="0"/>
                    <w:snapToGrid w:val="0"/>
                    <w:spacing w:line="240" w:lineRule="auto"/>
                    <w:ind w:firstLine="0" w:firstLineChars="0"/>
                    <w:jc w:val="center"/>
                    <w:rPr>
                      <w:color w:val="auto"/>
                      <w:sz w:val="21"/>
                      <w:szCs w:val="21"/>
                    </w:rPr>
                  </w:pPr>
                  <w:r>
                    <w:rPr>
                      <w:color w:val="auto"/>
                      <w:sz w:val="21"/>
                      <w:szCs w:val="21"/>
                    </w:rPr>
                    <w:t>江川区司法局</w:t>
                  </w:r>
                </w:p>
              </w:tc>
              <w:tc>
                <w:tcPr>
                  <w:tcW w:w="709" w:type="dxa"/>
                  <w:vAlign w:val="center"/>
                </w:tcPr>
                <w:p w14:paraId="3D7D2245">
                  <w:pPr>
                    <w:adjustRightInd w:val="0"/>
                    <w:snapToGrid w:val="0"/>
                    <w:spacing w:line="240" w:lineRule="auto"/>
                    <w:ind w:firstLine="0" w:firstLineChars="0"/>
                    <w:jc w:val="center"/>
                    <w:rPr>
                      <w:color w:val="auto"/>
                      <w:sz w:val="21"/>
                      <w:szCs w:val="21"/>
                    </w:rPr>
                  </w:pPr>
                  <w:r>
                    <w:rPr>
                      <w:color w:val="auto"/>
                      <w:sz w:val="21"/>
                      <w:szCs w:val="21"/>
                    </w:rPr>
                    <w:t>-206</w:t>
                  </w:r>
                </w:p>
              </w:tc>
              <w:tc>
                <w:tcPr>
                  <w:tcW w:w="709" w:type="dxa"/>
                  <w:vAlign w:val="center"/>
                </w:tcPr>
                <w:p w14:paraId="2A57DA68">
                  <w:pPr>
                    <w:adjustRightInd w:val="0"/>
                    <w:snapToGrid w:val="0"/>
                    <w:spacing w:line="240" w:lineRule="auto"/>
                    <w:ind w:firstLine="0" w:firstLineChars="0"/>
                    <w:jc w:val="center"/>
                    <w:rPr>
                      <w:color w:val="auto"/>
                      <w:sz w:val="21"/>
                      <w:szCs w:val="21"/>
                    </w:rPr>
                  </w:pPr>
                  <w:r>
                    <w:rPr>
                      <w:color w:val="auto"/>
                      <w:sz w:val="21"/>
                      <w:szCs w:val="21"/>
                    </w:rPr>
                    <w:t>-464</w:t>
                  </w:r>
                </w:p>
              </w:tc>
              <w:tc>
                <w:tcPr>
                  <w:tcW w:w="708" w:type="dxa"/>
                  <w:vAlign w:val="center"/>
                </w:tcPr>
                <w:p w14:paraId="2CA1CD63">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24E5ED63">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4CCCA67C">
                  <w:pPr>
                    <w:adjustRightInd w:val="0"/>
                    <w:snapToGrid w:val="0"/>
                    <w:spacing w:line="240" w:lineRule="auto"/>
                    <w:ind w:firstLine="0" w:firstLineChars="0"/>
                    <w:jc w:val="center"/>
                    <w:rPr>
                      <w:color w:val="auto"/>
                      <w:sz w:val="21"/>
                      <w:szCs w:val="21"/>
                    </w:rPr>
                  </w:pPr>
                </w:p>
              </w:tc>
              <w:tc>
                <w:tcPr>
                  <w:tcW w:w="851" w:type="dxa"/>
                  <w:vAlign w:val="center"/>
                </w:tcPr>
                <w:p w14:paraId="6A88A40E">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C5072A5">
                  <w:pPr>
                    <w:adjustRightInd w:val="0"/>
                    <w:snapToGrid w:val="0"/>
                    <w:spacing w:line="240" w:lineRule="auto"/>
                    <w:ind w:firstLine="0" w:firstLineChars="0"/>
                    <w:jc w:val="center"/>
                    <w:rPr>
                      <w:color w:val="auto"/>
                      <w:sz w:val="21"/>
                      <w:szCs w:val="21"/>
                    </w:rPr>
                  </w:pPr>
                  <w:r>
                    <w:rPr>
                      <w:color w:val="auto"/>
                      <w:sz w:val="21"/>
                      <w:szCs w:val="21"/>
                    </w:rPr>
                    <w:t>363</w:t>
                  </w:r>
                </w:p>
              </w:tc>
            </w:tr>
            <w:tr w14:paraId="055D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30AC2D02">
                  <w:pPr>
                    <w:adjustRightInd w:val="0"/>
                    <w:snapToGrid w:val="0"/>
                    <w:spacing w:line="240" w:lineRule="auto"/>
                    <w:ind w:firstLine="0" w:firstLineChars="0"/>
                    <w:jc w:val="center"/>
                    <w:rPr>
                      <w:color w:val="auto"/>
                      <w:sz w:val="21"/>
                      <w:szCs w:val="21"/>
                    </w:rPr>
                  </w:pPr>
                  <w:r>
                    <w:rPr>
                      <w:color w:val="auto"/>
                      <w:sz w:val="21"/>
                      <w:szCs w:val="21"/>
                    </w:rPr>
                    <w:t>17</w:t>
                  </w:r>
                </w:p>
              </w:tc>
              <w:tc>
                <w:tcPr>
                  <w:tcW w:w="1276" w:type="dxa"/>
                  <w:vAlign w:val="center"/>
                </w:tcPr>
                <w:p w14:paraId="0268093C">
                  <w:pPr>
                    <w:adjustRightInd w:val="0"/>
                    <w:snapToGrid w:val="0"/>
                    <w:spacing w:line="240" w:lineRule="auto"/>
                    <w:ind w:firstLine="0" w:firstLineChars="0"/>
                    <w:jc w:val="center"/>
                    <w:rPr>
                      <w:color w:val="auto"/>
                      <w:sz w:val="21"/>
                      <w:szCs w:val="21"/>
                    </w:rPr>
                  </w:pPr>
                  <w:r>
                    <w:rPr>
                      <w:color w:val="auto"/>
                      <w:sz w:val="21"/>
                      <w:szCs w:val="21"/>
                    </w:rPr>
                    <w:t>大街镇小学</w:t>
                  </w:r>
                </w:p>
              </w:tc>
              <w:tc>
                <w:tcPr>
                  <w:tcW w:w="709" w:type="dxa"/>
                  <w:vAlign w:val="center"/>
                </w:tcPr>
                <w:p w14:paraId="47B5C25E">
                  <w:pPr>
                    <w:adjustRightInd w:val="0"/>
                    <w:snapToGrid w:val="0"/>
                    <w:spacing w:line="240" w:lineRule="auto"/>
                    <w:ind w:firstLine="0" w:firstLineChars="0"/>
                    <w:jc w:val="center"/>
                    <w:rPr>
                      <w:color w:val="auto"/>
                      <w:sz w:val="21"/>
                      <w:szCs w:val="21"/>
                    </w:rPr>
                  </w:pPr>
                  <w:r>
                    <w:rPr>
                      <w:color w:val="auto"/>
                      <w:sz w:val="21"/>
                      <w:szCs w:val="21"/>
                    </w:rPr>
                    <w:t>-170</w:t>
                  </w:r>
                </w:p>
              </w:tc>
              <w:tc>
                <w:tcPr>
                  <w:tcW w:w="709" w:type="dxa"/>
                  <w:vAlign w:val="center"/>
                </w:tcPr>
                <w:p w14:paraId="23B3C3E8">
                  <w:pPr>
                    <w:adjustRightInd w:val="0"/>
                    <w:snapToGrid w:val="0"/>
                    <w:spacing w:line="240" w:lineRule="auto"/>
                    <w:ind w:firstLine="0" w:firstLineChars="0"/>
                    <w:jc w:val="center"/>
                    <w:rPr>
                      <w:color w:val="auto"/>
                      <w:sz w:val="21"/>
                      <w:szCs w:val="21"/>
                    </w:rPr>
                  </w:pPr>
                  <w:r>
                    <w:rPr>
                      <w:color w:val="auto"/>
                      <w:sz w:val="21"/>
                      <w:szCs w:val="21"/>
                    </w:rPr>
                    <w:t>564</w:t>
                  </w:r>
                </w:p>
              </w:tc>
              <w:tc>
                <w:tcPr>
                  <w:tcW w:w="708" w:type="dxa"/>
                  <w:vAlign w:val="center"/>
                </w:tcPr>
                <w:p w14:paraId="5B1B10B5">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7FCFC797">
                  <w:pPr>
                    <w:adjustRightInd w:val="0"/>
                    <w:snapToGrid w:val="0"/>
                    <w:spacing w:line="240" w:lineRule="auto"/>
                    <w:ind w:firstLine="0" w:firstLineChars="0"/>
                    <w:jc w:val="center"/>
                    <w:rPr>
                      <w:color w:val="auto"/>
                      <w:sz w:val="21"/>
                      <w:szCs w:val="21"/>
                    </w:rPr>
                  </w:pPr>
                  <w:r>
                    <w:rPr>
                      <w:color w:val="auto"/>
                      <w:sz w:val="21"/>
                      <w:szCs w:val="21"/>
                    </w:rPr>
                    <w:t>约300人</w:t>
                  </w:r>
                </w:p>
              </w:tc>
              <w:tc>
                <w:tcPr>
                  <w:tcW w:w="653" w:type="dxa"/>
                  <w:vMerge w:val="continue"/>
                  <w:vAlign w:val="center"/>
                </w:tcPr>
                <w:p w14:paraId="7A2FBE37">
                  <w:pPr>
                    <w:adjustRightInd w:val="0"/>
                    <w:snapToGrid w:val="0"/>
                    <w:spacing w:line="240" w:lineRule="auto"/>
                    <w:ind w:firstLine="0" w:firstLineChars="0"/>
                    <w:jc w:val="center"/>
                    <w:rPr>
                      <w:color w:val="auto"/>
                      <w:sz w:val="21"/>
                      <w:szCs w:val="21"/>
                    </w:rPr>
                  </w:pPr>
                </w:p>
              </w:tc>
              <w:tc>
                <w:tcPr>
                  <w:tcW w:w="851" w:type="dxa"/>
                  <w:vAlign w:val="center"/>
                </w:tcPr>
                <w:p w14:paraId="4C8C17F9">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C32655A">
                  <w:pPr>
                    <w:adjustRightInd w:val="0"/>
                    <w:snapToGrid w:val="0"/>
                    <w:spacing w:line="240" w:lineRule="auto"/>
                    <w:ind w:firstLine="0" w:firstLineChars="0"/>
                    <w:jc w:val="center"/>
                    <w:rPr>
                      <w:color w:val="auto"/>
                      <w:sz w:val="21"/>
                      <w:szCs w:val="21"/>
                    </w:rPr>
                  </w:pPr>
                  <w:r>
                    <w:rPr>
                      <w:color w:val="auto"/>
                      <w:sz w:val="21"/>
                      <w:szCs w:val="21"/>
                    </w:rPr>
                    <w:t>468</w:t>
                  </w:r>
                </w:p>
              </w:tc>
            </w:tr>
            <w:tr w14:paraId="4525F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4DC769D8">
                  <w:pPr>
                    <w:adjustRightInd w:val="0"/>
                    <w:snapToGrid w:val="0"/>
                    <w:spacing w:line="240" w:lineRule="auto"/>
                    <w:ind w:firstLine="0" w:firstLineChars="0"/>
                    <w:jc w:val="center"/>
                    <w:rPr>
                      <w:color w:val="auto"/>
                      <w:sz w:val="21"/>
                      <w:szCs w:val="21"/>
                    </w:rPr>
                  </w:pPr>
                  <w:r>
                    <w:rPr>
                      <w:color w:val="auto"/>
                      <w:sz w:val="21"/>
                      <w:szCs w:val="21"/>
                    </w:rPr>
                    <w:t>18</w:t>
                  </w:r>
                </w:p>
              </w:tc>
              <w:tc>
                <w:tcPr>
                  <w:tcW w:w="1276" w:type="dxa"/>
                  <w:vAlign w:val="center"/>
                </w:tcPr>
                <w:p w14:paraId="17623CC5">
                  <w:pPr>
                    <w:adjustRightInd w:val="0"/>
                    <w:snapToGrid w:val="0"/>
                    <w:spacing w:line="240" w:lineRule="auto"/>
                    <w:ind w:firstLine="0" w:firstLineChars="0"/>
                    <w:jc w:val="center"/>
                    <w:rPr>
                      <w:color w:val="auto"/>
                      <w:sz w:val="21"/>
                      <w:szCs w:val="21"/>
                    </w:rPr>
                  </w:pPr>
                  <w:r>
                    <w:rPr>
                      <w:color w:val="auto"/>
                      <w:sz w:val="21"/>
                      <w:szCs w:val="21"/>
                    </w:rPr>
                    <w:t>江川区复烤厂生活区</w:t>
                  </w:r>
                </w:p>
              </w:tc>
              <w:tc>
                <w:tcPr>
                  <w:tcW w:w="709" w:type="dxa"/>
                  <w:vAlign w:val="center"/>
                </w:tcPr>
                <w:p w14:paraId="685F8F4A">
                  <w:pPr>
                    <w:adjustRightInd w:val="0"/>
                    <w:snapToGrid w:val="0"/>
                    <w:spacing w:line="240" w:lineRule="auto"/>
                    <w:ind w:firstLine="0" w:firstLineChars="0"/>
                    <w:jc w:val="center"/>
                    <w:rPr>
                      <w:color w:val="auto"/>
                      <w:sz w:val="21"/>
                      <w:szCs w:val="21"/>
                    </w:rPr>
                  </w:pPr>
                  <w:r>
                    <w:rPr>
                      <w:color w:val="auto"/>
                      <w:sz w:val="21"/>
                      <w:szCs w:val="21"/>
                    </w:rPr>
                    <w:t>0</w:t>
                  </w:r>
                </w:p>
              </w:tc>
              <w:tc>
                <w:tcPr>
                  <w:tcW w:w="709" w:type="dxa"/>
                  <w:vAlign w:val="center"/>
                </w:tcPr>
                <w:p w14:paraId="4CC6AAA4">
                  <w:pPr>
                    <w:adjustRightInd w:val="0"/>
                    <w:snapToGrid w:val="0"/>
                    <w:spacing w:line="240" w:lineRule="auto"/>
                    <w:ind w:firstLine="0" w:firstLineChars="0"/>
                    <w:jc w:val="center"/>
                    <w:rPr>
                      <w:color w:val="auto"/>
                      <w:sz w:val="21"/>
                      <w:szCs w:val="21"/>
                    </w:rPr>
                  </w:pPr>
                  <w:r>
                    <w:rPr>
                      <w:color w:val="auto"/>
                      <w:sz w:val="21"/>
                      <w:szCs w:val="21"/>
                    </w:rPr>
                    <w:t>-536</w:t>
                  </w:r>
                </w:p>
              </w:tc>
              <w:tc>
                <w:tcPr>
                  <w:tcW w:w="708" w:type="dxa"/>
                  <w:vAlign w:val="center"/>
                </w:tcPr>
                <w:p w14:paraId="3BB761E5">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753989EF">
                  <w:pPr>
                    <w:adjustRightInd w:val="0"/>
                    <w:snapToGrid w:val="0"/>
                    <w:spacing w:line="240" w:lineRule="auto"/>
                    <w:ind w:firstLine="0" w:firstLineChars="0"/>
                    <w:jc w:val="center"/>
                    <w:rPr>
                      <w:color w:val="auto"/>
                      <w:sz w:val="21"/>
                      <w:szCs w:val="21"/>
                    </w:rPr>
                  </w:pPr>
                  <w:r>
                    <w:rPr>
                      <w:color w:val="auto"/>
                      <w:sz w:val="21"/>
                      <w:szCs w:val="21"/>
                    </w:rPr>
                    <w:t>约200人</w:t>
                  </w:r>
                </w:p>
              </w:tc>
              <w:tc>
                <w:tcPr>
                  <w:tcW w:w="653" w:type="dxa"/>
                  <w:vMerge w:val="continue"/>
                  <w:vAlign w:val="center"/>
                </w:tcPr>
                <w:p w14:paraId="2C7172BD">
                  <w:pPr>
                    <w:adjustRightInd w:val="0"/>
                    <w:snapToGrid w:val="0"/>
                    <w:spacing w:line="240" w:lineRule="auto"/>
                    <w:ind w:firstLine="0" w:firstLineChars="0"/>
                    <w:jc w:val="center"/>
                    <w:rPr>
                      <w:color w:val="auto"/>
                      <w:sz w:val="21"/>
                      <w:szCs w:val="21"/>
                    </w:rPr>
                  </w:pPr>
                </w:p>
              </w:tc>
              <w:tc>
                <w:tcPr>
                  <w:tcW w:w="851" w:type="dxa"/>
                  <w:vAlign w:val="center"/>
                </w:tcPr>
                <w:p w14:paraId="5BAD753B">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AC423DD">
                  <w:pPr>
                    <w:adjustRightInd w:val="0"/>
                    <w:snapToGrid w:val="0"/>
                    <w:spacing w:line="240" w:lineRule="auto"/>
                    <w:ind w:firstLine="0" w:firstLineChars="0"/>
                    <w:jc w:val="center"/>
                    <w:rPr>
                      <w:color w:val="auto"/>
                      <w:sz w:val="21"/>
                      <w:szCs w:val="21"/>
                    </w:rPr>
                  </w:pPr>
                  <w:r>
                    <w:rPr>
                      <w:color w:val="auto"/>
                      <w:sz w:val="21"/>
                      <w:szCs w:val="21"/>
                    </w:rPr>
                    <w:t>401</w:t>
                  </w:r>
                </w:p>
              </w:tc>
            </w:tr>
            <w:tr w14:paraId="41EB7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4664640">
                  <w:pPr>
                    <w:adjustRightInd w:val="0"/>
                    <w:snapToGrid w:val="0"/>
                    <w:spacing w:line="240" w:lineRule="auto"/>
                    <w:ind w:firstLine="0" w:firstLineChars="0"/>
                    <w:jc w:val="center"/>
                    <w:rPr>
                      <w:color w:val="auto"/>
                      <w:sz w:val="21"/>
                      <w:szCs w:val="21"/>
                    </w:rPr>
                  </w:pPr>
                  <w:r>
                    <w:rPr>
                      <w:color w:val="auto"/>
                      <w:sz w:val="21"/>
                      <w:szCs w:val="21"/>
                    </w:rPr>
                    <w:t>19</w:t>
                  </w:r>
                </w:p>
              </w:tc>
              <w:tc>
                <w:tcPr>
                  <w:tcW w:w="1276" w:type="dxa"/>
                  <w:vAlign w:val="center"/>
                </w:tcPr>
                <w:p w14:paraId="0C6E7A99">
                  <w:pPr>
                    <w:adjustRightInd w:val="0"/>
                    <w:snapToGrid w:val="0"/>
                    <w:spacing w:line="240" w:lineRule="auto"/>
                    <w:ind w:firstLine="0" w:firstLineChars="0"/>
                    <w:jc w:val="center"/>
                    <w:rPr>
                      <w:color w:val="auto"/>
                      <w:sz w:val="21"/>
                      <w:szCs w:val="21"/>
                    </w:rPr>
                  </w:pPr>
                  <w:r>
                    <w:rPr>
                      <w:color w:val="auto"/>
                      <w:sz w:val="21"/>
                      <w:szCs w:val="21"/>
                    </w:rPr>
                    <w:t>江川区市场监督局</w:t>
                  </w:r>
                </w:p>
              </w:tc>
              <w:tc>
                <w:tcPr>
                  <w:tcW w:w="709" w:type="dxa"/>
                  <w:vAlign w:val="center"/>
                </w:tcPr>
                <w:p w14:paraId="54D17CF0">
                  <w:pPr>
                    <w:adjustRightInd w:val="0"/>
                    <w:snapToGrid w:val="0"/>
                    <w:spacing w:line="240" w:lineRule="auto"/>
                    <w:ind w:firstLine="0" w:firstLineChars="0"/>
                    <w:jc w:val="center"/>
                    <w:rPr>
                      <w:color w:val="auto"/>
                      <w:sz w:val="21"/>
                      <w:szCs w:val="21"/>
                    </w:rPr>
                  </w:pPr>
                  <w:r>
                    <w:rPr>
                      <w:color w:val="auto"/>
                      <w:sz w:val="21"/>
                      <w:szCs w:val="21"/>
                    </w:rPr>
                    <w:t>-303</w:t>
                  </w:r>
                </w:p>
              </w:tc>
              <w:tc>
                <w:tcPr>
                  <w:tcW w:w="709" w:type="dxa"/>
                  <w:vAlign w:val="center"/>
                </w:tcPr>
                <w:p w14:paraId="6DE4D28F">
                  <w:pPr>
                    <w:adjustRightInd w:val="0"/>
                    <w:snapToGrid w:val="0"/>
                    <w:spacing w:line="240" w:lineRule="auto"/>
                    <w:ind w:firstLine="0" w:firstLineChars="0"/>
                    <w:jc w:val="center"/>
                    <w:rPr>
                      <w:color w:val="auto"/>
                      <w:sz w:val="21"/>
                      <w:szCs w:val="21"/>
                    </w:rPr>
                  </w:pPr>
                  <w:r>
                    <w:rPr>
                      <w:color w:val="auto"/>
                      <w:sz w:val="21"/>
                      <w:szCs w:val="21"/>
                    </w:rPr>
                    <w:t>-470</w:t>
                  </w:r>
                </w:p>
              </w:tc>
              <w:tc>
                <w:tcPr>
                  <w:tcW w:w="708" w:type="dxa"/>
                  <w:vAlign w:val="center"/>
                </w:tcPr>
                <w:p w14:paraId="1F643A35">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38B2A8EE">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219F244A">
                  <w:pPr>
                    <w:adjustRightInd w:val="0"/>
                    <w:snapToGrid w:val="0"/>
                    <w:spacing w:line="240" w:lineRule="auto"/>
                    <w:ind w:firstLine="0" w:firstLineChars="0"/>
                    <w:jc w:val="center"/>
                    <w:rPr>
                      <w:color w:val="auto"/>
                      <w:sz w:val="21"/>
                      <w:szCs w:val="21"/>
                    </w:rPr>
                  </w:pPr>
                </w:p>
              </w:tc>
              <w:tc>
                <w:tcPr>
                  <w:tcW w:w="851" w:type="dxa"/>
                  <w:vAlign w:val="center"/>
                </w:tcPr>
                <w:p w14:paraId="0D64B4AB">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CD803CB">
                  <w:pPr>
                    <w:adjustRightInd w:val="0"/>
                    <w:snapToGrid w:val="0"/>
                    <w:spacing w:line="240" w:lineRule="auto"/>
                    <w:ind w:firstLine="0" w:firstLineChars="0"/>
                    <w:jc w:val="center"/>
                    <w:rPr>
                      <w:color w:val="auto"/>
                      <w:sz w:val="21"/>
                      <w:szCs w:val="21"/>
                    </w:rPr>
                  </w:pPr>
                  <w:r>
                    <w:rPr>
                      <w:color w:val="auto"/>
                      <w:sz w:val="21"/>
                      <w:szCs w:val="21"/>
                    </w:rPr>
                    <w:t>421</w:t>
                  </w:r>
                </w:p>
              </w:tc>
            </w:tr>
            <w:tr w14:paraId="2FCF7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D118412">
                  <w:pPr>
                    <w:adjustRightInd w:val="0"/>
                    <w:snapToGrid w:val="0"/>
                    <w:spacing w:line="240" w:lineRule="auto"/>
                    <w:ind w:firstLine="0" w:firstLineChars="0"/>
                    <w:jc w:val="center"/>
                    <w:rPr>
                      <w:color w:val="auto"/>
                      <w:sz w:val="21"/>
                      <w:szCs w:val="21"/>
                    </w:rPr>
                  </w:pPr>
                  <w:r>
                    <w:rPr>
                      <w:color w:val="auto"/>
                      <w:sz w:val="21"/>
                      <w:szCs w:val="21"/>
                    </w:rPr>
                    <w:t>20</w:t>
                  </w:r>
                </w:p>
              </w:tc>
              <w:tc>
                <w:tcPr>
                  <w:tcW w:w="1276" w:type="dxa"/>
                  <w:vAlign w:val="center"/>
                </w:tcPr>
                <w:p w14:paraId="01585556">
                  <w:pPr>
                    <w:adjustRightInd w:val="0"/>
                    <w:snapToGrid w:val="0"/>
                    <w:spacing w:line="240" w:lineRule="auto"/>
                    <w:ind w:firstLine="0" w:firstLineChars="0"/>
                    <w:jc w:val="center"/>
                    <w:rPr>
                      <w:color w:val="auto"/>
                      <w:sz w:val="21"/>
                      <w:szCs w:val="21"/>
                    </w:rPr>
                  </w:pPr>
                  <w:r>
                    <w:rPr>
                      <w:color w:val="auto"/>
                      <w:sz w:val="21"/>
                      <w:szCs w:val="21"/>
                    </w:rPr>
                    <w:t>下营</w:t>
                  </w:r>
                </w:p>
              </w:tc>
              <w:tc>
                <w:tcPr>
                  <w:tcW w:w="709" w:type="dxa"/>
                  <w:vAlign w:val="center"/>
                </w:tcPr>
                <w:p w14:paraId="000EF29E">
                  <w:pPr>
                    <w:adjustRightInd w:val="0"/>
                    <w:snapToGrid w:val="0"/>
                    <w:spacing w:line="240" w:lineRule="auto"/>
                    <w:ind w:firstLine="0" w:firstLineChars="0"/>
                    <w:jc w:val="center"/>
                    <w:rPr>
                      <w:color w:val="auto"/>
                      <w:sz w:val="21"/>
                      <w:szCs w:val="21"/>
                    </w:rPr>
                  </w:pPr>
                  <w:r>
                    <w:rPr>
                      <w:color w:val="auto"/>
                      <w:sz w:val="21"/>
                      <w:szCs w:val="21"/>
                    </w:rPr>
                    <w:t>-385</w:t>
                  </w:r>
                </w:p>
              </w:tc>
              <w:tc>
                <w:tcPr>
                  <w:tcW w:w="709" w:type="dxa"/>
                  <w:vAlign w:val="center"/>
                </w:tcPr>
                <w:p w14:paraId="261303A2">
                  <w:pPr>
                    <w:adjustRightInd w:val="0"/>
                    <w:snapToGrid w:val="0"/>
                    <w:spacing w:line="240" w:lineRule="auto"/>
                    <w:ind w:firstLine="0" w:firstLineChars="0"/>
                    <w:jc w:val="center"/>
                    <w:rPr>
                      <w:color w:val="auto"/>
                      <w:sz w:val="21"/>
                      <w:szCs w:val="21"/>
                    </w:rPr>
                  </w:pPr>
                  <w:r>
                    <w:rPr>
                      <w:color w:val="auto"/>
                      <w:sz w:val="21"/>
                      <w:szCs w:val="21"/>
                    </w:rPr>
                    <w:t>-208</w:t>
                  </w:r>
                </w:p>
              </w:tc>
              <w:tc>
                <w:tcPr>
                  <w:tcW w:w="708" w:type="dxa"/>
                  <w:vAlign w:val="center"/>
                </w:tcPr>
                <w:p w14:paraId="424A1020">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74FBECC">
                  <w:pPr>
                    <w:adjustRightInd w:val="0"/>
                    <w:snapToGrid w:val="0"/>
                    <w:spacing w:line="240" w:lineRule="auto"/>
                    <w:ind w:firstLine="0" w:firstLineChars="0"/>
                    <w:jc w:val="center"/>
                    <w:rPr>
                      <w:color w:val="auto"/>
                      <w:sz w:val="21"/>
                      <w:szCs w:val="21"/>
                    </w:rPr>
                  </w:pPr>
                  <w:r>
                    <w:rPr>
                      <w:color w:val="auto"/>
                      <w:sz w:val="21"/>
                      <w:szCs w:val="21"/>
                    </w:rPr>
                    <w:t>约150人</w:t>
                  </w:r>
                </w:p>
              </w:tc>
              <w:tc>
                <w:tcPr>
                  <w:tcW w:w="653" w:type="dxa"/>
                  <w:vMerge w:val="continue"/>
                  <w:vAlign w:val="center"/>
                </w:tcPr>
                <w:p w14:paraId="72FA0E35">
                  <w:pPr>
                    <w:adjustRightInd w:val="0"/>
                    <w:snapToGrid w:val="0"/>
                    <w:spacing w:line="240" w:lineRule="auto"/>
                    <w:ind w:firstLine="0" w:firstLineChars="0"/>
                    <w:jc w:val="center"/>
                    <w:rPr>
                      <w:color w:val="auto"/>
                      <w:sz w:val="21"/>
                      <w:szCs w:val="21"/>
                    </w:rPr>
                  </w:pPr>
                </w:p>
              </w:tc>
              <w:tc>
                <w:tcPr>
                  <w:tcW w:w="851" w:type="dxa"/>
                  <w:vAlign w:val="center"/>
                </w:tcPr>
                <w:p w14:paraId="58EB980F">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26A69E9D">
                  <w:pPr>
                    <w:adjustRightInd w:val="0"/>
                    <w:snapToGrid w:val="0"/>
                    <w:spacing w:line="240" w:lineRule="auto"/>
                    <w:ind w:firstLine="0" w:firstLineChars="0"/>
                    <w:jc w:val="center"/>
                    <w:rPr>
                      <w:color w:val="auto"/>
                      <w:sz w:val="21"/>
                      <w:szCs w:val="21"/>
                    </w:rPr>
                  </w:pPr>
                  <w:r>
                    <w:rPr>
                      <w:color w:val="auto"/>
                      <w:sz w:val="21"/>
                      <w:szCs w:val="21"/>
                    </w:rPr>
                    <w:t>305</w:t>
                  </w:r>
                </w:p>
              </w:tc>
            </w:tr>
            <w:tr w14:paraId="7DB04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1F4963DB">
                  <w:pPr>
                    <w:adjustRightInd w:val="0"/>
                    <w:snapToGrid w:val="0"/>
                    <w:spacing w:line="240" w:lineRule="auto"/>
                    <w:ind w:firstLine="0" w:firstLineChars="0"/>
                    <w:jc w:val="center"/>
                    <w:rPr>
                      <w:color w:val="auto"/>
                      <w:sz w:val="21"/>
                      <w:szCs w:val="21"/>
                    </w:rPr>
                  </w:pPr>
                  <w:r>
                    <w:rPr>
                      <w:color w:val="auto"/>
                      <w:sz w:val="21"/>
                      <w:szCs w:val="21"/>
                    </w:rPr>
                    <w:t>21</w:t>
                  </w:r>
                </w:p>
              </w:tc>
              <w:tc>
                <w:tcPr>
                  <w:tcW w:w="1276" w:type="dxa"/>
                  <w:vAlign w:val="center"/>
                </w:tcPr>
                <w:p w14:paraId="38FA56DF">
                  <w:pPr>
                    <w:adjustRightInd w:val="0"/>
                    <w:snapToGrid w:val="0"/>
                    <w:spacing w:line="240" w:lineRule="auto"/>
                    <w:ind w:firstLine="0" w:firstLineChars="0"/>
                    <w:jc w:val="center"/>
                    <w:rPr>
                      <w:color w:val="auto"/>
                      <w:sz w:val="21"/>
                      <w:szCs w:val="21"/>
                    </w:rPr>
                  </w:pPr>
                  <w:r>
                    <w:rPr>
                      <w:color w:val="auto"/>
                      <w:sz w:val="21"/>
                      <w:szCs w:val="21"/>
                    </w:rPr>
                    <w:t>星云街道办</w:t>
                  </w:r>
                </w:p>
              </w:tc>
              <w:tc>
                <w:tcPr>
                  <w:tcW w:w="709" w:type="dxa"/>
                  <w:vAlign w:val="center"/>
                </w:tcPr>
                <w:p w14:paraId="0FD0241C">
                  <w:pPr>
                    <w:adjustRightInd w:val="0"/>
                    <w:snapToGrid w:val="0"/>
                    <w:spacing w:line="240" w:lineRule="auto"/>
                    <w:ind w:firstLine="0" w:firstLineChars="0"/>
                    <w:jc w:val="center"/>
                    <w:rPr>
                      <w:color w:val="auto"/>
                      <w:sz w:val="21"/>
                      <w:szCs w:val="21"/>
                    </w:rPr>
                  </w:pPr>
                  <w:r>
                    <w:rPr>
                      <w:color w:val="auto"/>
                      <w:sz w:val="21"/>
                      <w:szCs w:val="21"/>
                    </w:rPr>
                    <w:t>-284</w:t>
                  </w:r>
                </w:p>
              </w:tc>
              <w:tc>
                <w:tcPr>
                  <w:tcW w:w="709" w:type="dxa"/>
                  <w:vAlign w:val="center"/>
                </w:tcPr>
                <w:p w14:paraId="5DA7DBF0">
                  <w:pPr>
                    <w:adjustRightInd w:val="0"/>
                    <w:snapToGrid w:val="0"/>
                    <w:spacing w:line="240" w:lineRule="auto"/>
                    <w:ind w:firstLine="0" w:firstLineChars="0"/>
                    <w:jc w:val="center"/>
                    <w:rPr>
                      <w:color w:val="auto"/>
                      <w:sz w:val="21"/>
                      <w:szCs w:val="21"/>
                    </w:rPr>
                  </w:pPr>
                  <w:r>
                    <w:rPr>
                      <w:color w:val="auto"/>
                      <w:sz w:val="21"/>
                      <w:szCs w:val="21"/>
                    </w:rPr>
                    <w:t>-393</w:t>
                  </w:r>
                </w:p>
              </w:tc>
              <w:tc>
                <w:tcPr>
                  <w:tcW w:w="708" w:type="dxa"/>
                  <w:vAlign w:val="center"/>
                </w:tcPr>
                <w:p w14:paraId="07AB59C6">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1A323862">
                  <w:pPr>
                    <w:adjustRightInd w:val="0"/>
                    <w:snapToGrid w:val="0"/>
                    <w:spacing w:line="240" w:lineRule="auto"/>
                    <w:ind w:firstLine="0" w:firstLineChars="0"/>
                    <w:jc w:val="center"/>
                    <w:rPr>
                      <w:color w:val="auto"/>
                      <w:sz w:val="21"/>
                      <w:szCs w:val="21"/>
                    </w:rPr>
                  </w:pPr>
                  <w:r>
                    <w:rPr>
                      <w:color w:val="auto"/>
                      <w:sz w:val="21"/>
                      <w:szCs w:val="21"/>
                    </w:rPr>
                    <w:t>约30人</w:t>
                  </w:r>
                </w:p>
              </w:tc>
              <w:tc>
                <w:tcPr>
                  <w:tcW w:w="653" w:type="dxa"/>
                  <w:vMerge w:val="continue"/>
                  <w:vAlign w:val="center"/>
                </w:tcPr>
                <w:p w14:paraId="6FC8DDF4">
                  <w:pPr>
                    <w:adjustRightInd w:val="0"/>
                    <w:snapToGrid w:val="0"/>
                    <w:spacing w:line="240" w:lineRule="auto"/>
                    <w:ind w:firstLine="0" w:firstLineChars="0"/>
                    <w:jc w:val="center"/>
                    <w:rPr>
                      <w:color w:val="auto"/>
                      <w:sz w:val="21"/>
                      <w:szCs w:val="21"/>
                    </w:rPr>
                  </w:pPr>
                </w:p>
              </w:tc>
              <w:tc>
                <w:tcPr>
                  <w:tcW w:w="851" w:type="dxa"/>
                  <w:vAlign w:val="center"/>
                </w:tcPr>
                <w:p w14:paraId="0CBC3958">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7019A751">
                  <w:pPr>
                    <w:adjustRightInd w:val="0"/>
                    <w:snapToGrid w:val="0"/>
                    <w:spacing w:line="240" w:lineRule="auto"/>
                    <w:ind w:firstLine="0" w:firstLineChars="0"/>
                    <w:jc w:val="center"/>
                    <w:rPr>
                      <w:color w:val="auto"/>
                      <w:sz w:val="21"/>
                      <w:szCs w:val="21"/>
                    </w:rPr>
                  </w:pPr>
                  <w:r>
                    <w:rPr>
                      <w:color w:val="auto"/>
                      <w:sz w:val="21"/>
                      <w:szCs w:val="21"/>
                    </w:rPr>
                    <w:t>346</w:t>
                  </w:r>
                </w:p>
              </w:tc>
            </w:tr>
            <w:tr w14:paraId="0E1F5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6D21789">
                  <w:pPr>
                    <w:adjustRightInd w:val="0"/>
                    <w:snapToGrid w:val="0"/>
                    <w:spacing w:line="240" w:lineRule="auto"/>
                    <w:ind w:firstLine="0" w:firstLineChars="0"/>
                    <w:jc w:val="center"/>
                    <w:rPr>
                      <w:color w:val="auto"/>
                      <w:sz w:val="21"/>
                      <w:szCs w:val="21"/>
                    </w:rPr>
                  </w:pPr>
                  <w:r>
                    <w:rPr>
                      <w:color w:val="auto"/>
                      <w:sz w:val="21"/>
                      <w:szCs w:val="21"/>
                    </w:rPr>
                    <w:t>22</w:t>
                  </w:r>
                </w:p>
              </w:tc>
              <w:tc>
                <w:tcPr>
                  <w:tcW w:w="1276" w:type="dxa"/>
                  <w:vAlign w:val="center"/>
                </w:tcPr>
                <w:p w14:paraId="4BE02290">
                  <w:pPr>
                    <w:adjustRightInd w:val="0"/>
                    <w:snapToGrid w:val="0"/>
                    <w:spacing w:line="240" w:lineRule="auto"/>
                    <w:ind w:firstLine="0" w:firstLineChars="0"/>
                    <w:jc w:val="center"/>
                    <w:rPr>
                      <w:color w:val="auto"/>
                      <w:sz w:val="21"/>
                      <w:szCs w:val="21"/>
                    </w:rPr>
                  </w:pPr>
                  <w:r>
                    <w:rPr>
                      <w:color w:val="auto"/>
                      <w:sz w:val="21"/>
                      <w:szCs w:val="21"/>
                    </w:rPr>
                    <w:t>大街镇居民</w:t>
                  </w:r>
                </w:p>
              </w:tc>
              <w:tc>
                <w:tcPr>
                  <w:tcW w:w="709" w:type="dxa"/>
                  <w:vAlign w:val="center"/>
                </w:tcPr>
                <w:p w14:paraId="278C18DE">
                  <w:pPr>
                    <w:adjustRightInd w:val="0"/>
                    <w:snapToGrid w:val="0"/>
                    <w:spacing w:line="240" w:lineRule="auto"/>
                    <w:ind w:firstLine="0" w:firstLineChars="0"/>
                    <w:jc w:val="center"/>
                    <w:rPr>
                      <w:color w:val="auto"/>
                      <w:sz w:val="21"/>
                      <w:szCs w:val="21"/>
                    </w:rPr>
                  </w:pPr>
                  <w:r>
                    <w:rPr>
                      <w:color w:val="auto"/>
                      <w:sz w:val="21"/>
                      <w:szCs w:val="21"/>
                    </w:rPr>
                    <w:t>-257</w:t>
                  </w:r>
                </w:p>
              </w:tc>
              <w:tc>
                <w:tcPr>
                  <w:tcW w:w="709" w:type="dxa"/>
                  <w:vAlign w:val="center"/>
                </w:tcPr>
                <w:p w14:paraId="4F80C379">
                  <w:pPr>
                    <w:adjustRightInd w:val="0"/>
                    <w:snapToGrid w:val="0"/>
                    <w:spacing w:line="240" w:lineRule="auto"/>
                    <w:ind w:firstLine="0" w:firstLineChars="0"/>
                    <w:jc w:val="center"/>
                    <w:rPr>
                      <w:color w:val="auto"/>
                      <w:sz w:val="21"/>
                      <w:szCs w:val="21"/>
                    </w:rPr>
                  </w:pPr>
                  <w:r>
                    <w:rPr>
                      <w:color w:val="auto"/>
                      <w:sz w:val="21"/>
                      <w:szCs w:val="21"/>
                    </w:rPr>
                    <w:t>-190</w:t>
                  </w:r>
                </w:p>
              </w:tc>
              <w:tc>
                <w:tcPr>
                  <w:tcW w:w="708" w:type="dxa"/>
                  <w:vAlign w:val="center"/>
                </w:tcPr>
                <w:p w14:paraId="678F8364">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30FB6257">
                  <w:pPr>
                    <w:adjustRightInd w:val="0"/>
                    <w:snapToGrid w:val="0"/>
                    <w:spacing w:line="240" w:lineRule="auto"/>
                    <w:ind w:firstLine="0" w:firstLineChars="0"/>
                    <w:jc w:val="center"/>
                    <w:rPr>
                      <w:color w:val="auto"/>
                      <w:sz w:val="21"/>
                      <w:szCs w:val="21"/>
                    </w:rPr>
                  </w:pPr>
                  <w:r>
                    <w:rPr>
                      <w:color w:val="auto"/>
                      <w:sz w:val="21"/>
                      <w:szCs w:val="21"/>
                    </w:rPr>
                    <w:t>约220人</w:t>
                  </w:r>
                </w:p>
              </w:tc>
              <w:tc>
                <w:tcPr>
                  <w:tcW w:w="653" w:type="dxa"/>
                  <w:vMerge w:val="continue"/>
                  <w:vAlign w:val="center"/>
                </w:tcPr>
                <w:p w14:paraId="78BCCE53">
                  <w:pPr>
                    <w:adjustRightInd w:val="0"/>
                    <w:snapToGrid w:val="0"/>
                    <w:spacing w:line="240" w:lineRule="auto"/>
                    <w:ind w:firstLine="0" w:firstLineChars="0"/>
                    <w:jc w:val="center"/>
                    <w:rPr>
                      <w:color w:val="auto"/>
                      <w:sz w:val="21"/>
                      <w:szCs w:val="21"/>
                    </w:rPr>
                  </w:pPr>
                </w:p>
              </w:tc>
              <w:tc>
                <w:tcPr>
                  <w:tcW w:w="851" w:type="dxa"/>
                  <w:vAlign w:val="center"/>
                </w:tcPr>
                <w:p w14:paraId="2B780510">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2329126E">
                  <w:pPr>
                    <w:adjustRightInd w:val="0"/>
                    <w:snapToGrid w:val="0"/>
                    <w:spacing w:line="240" w:lineRule="auto"/>
                    <w:ind w:firstLine="0" w:firstLineChars="0"/>
                    <w:jc w:val="center"/>
                    <w:rPr>
                      <w:color w:val="auto"/>
                      <w:sz w:val="21"/>
                      <w:szCs w:val="21"/>
                    </w:rPr>
                  </w:pPr>
                  <w:r>
                    <w:rPr>
                      <w:color w:val="auto"/>
                      <w:sz w:val="21"/>
                      <w:szCs w:val="21"/>
                    </w:rPr>
                    <w:t>188</w:t>
                  </w:r>
                </w:p>
              </w:tc>
            </w:tr>
            <w:tr w14:paraId="7D873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15B64F85">
                  <w:pPr>
                    <w:adjustRightInd w:val="0"/>
                    <w:snapToGrid w:val="0"/>
                    <w:spacing w:line="240" w:lineRule="auto"/>
                    <w:ind w:firstLine="0" w:firstLineChars="0"/>
                    <w:jc w:val="center"/>
                    <w:rPr>
                      <w:color w:val="auto"/>
                      <w:sz w:val="21"/>
                      <w:szCs w:val="21"/>
                    </w:rPr>
                  </w:pPr>
                  <w:r>
                    <w:rPr>
                      <w:color w:val="auto"/>
                      <w:sz w:val="21"/>
                      <w:szCs w:val="21"/>
                    </w:rPr>
                    <w:t>23</w:t>
                  </w:r>
                </w:p>
              </w:tc>
              <w:tc>
                <w:tcPr>
                  <w:tcW w:w="1276" w:type="dxa"/>
                  <w:vAlign w:val="center"/>
                </w:tcPr>
                <w:p w14:paraId="6BA6E703">
                  <w:pPr>
                    <w:adjustRightInd w:val="0"/>
                    <w:snapToGrid w:val="0"/>
                    <w:spacing w:line="240" w:lineRule="auto"/>
                    <w:ind w:firstLine="0" w:firstLineChars="0"/>
                    <w:jc w:val="center"/>
                    <w:rPr>
                      <w:color w:val="auto"/>
                      <w:sz w:val="21"/>
                      <w:szCs w:val="21"/>
                    </w:rPr>
                  </w:pPr>
                  <w:r>
                    <w:rPr>
                      <w:color w:val="auto"/>
                      <w:sz w:val="21"/>
                      <w:szCs w:val="21"/>
                    </w:rPr>
                    <w:t>下营</w:t>
                  </w:r>
                </w:p>
              </w:tc>
              <w:tc>
                <w:tcPr>
                  <w:tcW w:w="709" w:type="dxa"/>
                  <w:vAlign w:val="center"/>
                </w:tcPr>
                <w:p w14:paraId="3BE8A2AD">
                  <w:pPr>
                    <w:adjustRightInd w:val="0"/>
                    <w:snapToGrid w:val="0"/>
                    <w:spacing w:line="240" w:lineRule="auto"/>
                    <w:ind w:firstLine="0" w:firstLineChars="0"/>
                    <w:jc w:val="center"/>
                    <w:rPr>
                      <w:color w:val="auto"/>
                      <w:sz w:val="21"/>
                      <w:szCs w:val="21"/>
                    </w:rPr>
                  </w:pPr>
                  <w:r>
                    <w:rPr>
                      <w:color w:val="auto"/>
                      <w:sz w:val="21"/>
                      <w:szCs w:val="21"/>
                    </w:rPr>
                    <w:t>-400</w:t>
                  </w:r>
                </w:p>
              </w:tc>
              <w:tc>
                <w:tcPr>
                  <w:tcW w:w="709" w:type="dxa"/>
                  <w:vAlign w:val="center"/>
                </w:tcPr>
                <w:p w14:paraId="03922B91">
                  <w:pPr>
                    <w:adjustRightInd w:val="0"/>
                    <w:snapToGrid w:val="0"/>
                    <w:spacing w:line="240" w:lineRule="auto"/>
                    <w:ind w:firstLine="0" w:firstLineChars="0"/>
                    <w:jc w:val="center"/>
                    <w:rPr>
                      <w:color w:val="auto"/>
                      <w:sz w:val="21"/>
                      <w:szCs w:val="21"/>
                    </w:rPr>
                  </w:pPr>
                  <w:r>
                    <w:rPr>
                      <w:color w:val="auto"/>
                      <w:sz w:val="21"/>
                      <w:szCs w:val="21"/>
                    </w:rPr>
                    <w:t>-338</w:t>
                  </w:r>
                </w:p>
              </w:tc>
              <w:tc>
                <w:tcPr>
                  <w:tcW w:w="708" w:type="dxa"/>
                  <w:vAlign w:val="center"/>
                </w:tcPr>
                <w:p w14:paraId="002205FA">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4C94BF3A">
                  <w:pPr>
                    <w:adjustRightInd w:val="0"/>
                    <w:snapToGrid w:val="0"/>
                    <w:spacing w:line="240" w:lineRule="auto"/>
                    <w:ind w:firstLine="0" w:firstLineChars="0"/>
                    <w:jc w:val="center"/>
                    <w:rPr>
                      <w:color w:val="auto"/>
                      <w:sz w:val="21"/>
                      <w:szCs w:val="21"/>
                    </w:rPr>
                  </w:pPr>
                  <w:r>
                    <w:rPr>
                      <w:color w:val="auto"/>
                      <w:sz w:val="21"/>
                      <w:szCs w:val="21"/>
                    </w:rPr>
                    <w:t>约1000人</w:t>
                  </w:r>
                </w:p>
              </w:tc>
              <w:tc>
                <w:tcPr>
                  <w:tcW w:w="653" w:type="dxa"/>
                  <w:vMerge w:val="continue"/>
                  <w:vAlign w:val="center"/>
                </w:tcPr>
                <w:p w14:paraId="3DDE1181">
                  <w:pPr>
                    <w:adjustRightInd w:val="0"/>
                    <w:snapToGrid w:val="0"/>
                    <w:spacing w:line="240" w:lineRule="auto"/>
                    <w:ind w:firstLine="0" w:firstLineChars="0"/>
                    <w:jc w:val="center"/>
                    <w:rPr>
                      <w:color w:val="auto"/>
                      <w:sz w:val="21"/>
                      <w:szCs w:val="21"/>
                    </w:rPr>
                  </w:pPr>
                </w:p>
              </w:tc>
              <w:tc>
                <w:tcPr>
                  <w:tcW w:w="851" w:type="dxa"/>
                  <w:vAlign w:val="center"/>
                </w:tcPr>
                <w:p w14:paraId="25ED94F6">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0A741CE0">
                  <w:pPr>
                    <w:adjustRightInd w:val="0"/>
                    <w:snapToGrid w:val="0"/>
                    <w:spacing w:line="240" w:lineRule="auto"/>
                    <w:ind w:firstLine="0" w:firstLineChars="0"/>
                    <w:jc w:val="center"/>
                    <w:rPr>
                      <w:color w:val="auto"/>
                      <w:sz w:val="21"/>
                      <w:szCs w:val="21"/>
                    </w:rPr>
                  </w:pPr>
                  <w:r>
                    <w:rPr>
                      <w:color w:val="auto"/>
                      <w:sz w:val="21"/>
                      <w:szCs w:val="21"/>
                    </w:rPr>
                    <w:t>365</w:t>
                  </w:r>
                </w:p>
              </w:tc>
            </w:tr>
            <w:tr w14:paraId="620D0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62CEE5B6">
                  <w:pPr>
                    <w:adjustRightInd w:val="0"/>
                    <w:snapToGrid w:val="0"/>
                    <w:spacing w:line="240" w:lineRule="auto"/>
                    <w:ind w:firstLine="0" w:firstLineChars="0"/>
                    <w:jc w:val="center"/>
                    <w:rPr>
                      <w:color w:val="auto"/>
                      <w:sz w:val="21"/>
                      <w:szCs w:val="21"/>
                    </w:rPr>
                  </w:pPr>
                  <w:r>
                    <w:rPr>
                      <w:color w:val="auto"/>
                      <w:sz w:val="21"/>
                      <w:szCs w:val="21"/>
                    </w:rPr>
                    <w:t>24</w:t>
                  </w:r>
                </w:p>
              </w:tc>
              <w:tc>
                <w:tcPr>
                  <w:tcW w:w="1276" w:type="dxa"/>
                  <w:vAlign w:val="center"/>
                </w:tcPr>
                <w:p w14:paraId="2934AE3F">
                  <w:pPr>
                    <w:adjustRightInd w:val="0"/>
                    <w:snapToGrid w:val="0"/>
                    <w:spacing w:line="240" w:lineRule="auto"/>
                    <w:ind w:firstLine="0" w:firstLineChars="0"/>
                    <w:jc w:val="center"/>
                    <w:rPr>
                      <w:color w:val="auto"/>
                      <w:sz w:val="21"/>
                      <w:szCs w:val="21"/>
                    </w:rPr>
                  </w:pPr>
                  <w:r>
                    <w:rPr>
                      <w:color w:val="auto"/>
                      <w:sz w:val="21"/>
                      <w:szCs w:val="21"/>
                    </w:rPr>
                    <w:t>玉川幼儿园</w:t>
                  </w:r>
                </w:p>
              </w:tc>
              <w:tc>
                <w:tcPr>
                  <w:tcW w:w="709" w:type="dxa"/>
                  <w:vAlign w:val="center"/>
                </w:tcPr>
                <w:p w14:paraId="22BCC031">
                  <w:pPr>
                    <w:adjustRightInd w:val="0"/>
                    <w:snapToGrid w:val="0"/>
                    <w:spacing w:line="240" w:lineRule="auto"/>
                    <w:ind w:firstLine="0" w:firstLineChars="0"/>
                    <w:jc w:val="center"/>
                    <w:rPr>
                      <w:color w:val="auto"/>
                      <w:sz w:val="21"/>
                      <w:szCs w:val="21"/>
                    </w:rPr>
                  </w:pPr>
                  <w:r>
                    <w:rPr>
                      <w:color w:val="auto"/>
                      <w:sz w:val="21"/>
                      <w:szCs w:val="21"/>
                    </w:rPr>
                    <w:t>-503</w:t>
                  </w:r>
                </w:p>
              </w:tc>
              <w:tc>
                <w:tcPr>
                  <w:tcW w:w="709" w:type="dxa"/>
                  <w:vAlign w:val="center"/>
                </w:tcPr>
                <w:p w14:paraId="15C124B9">
                  <w:pPr>
                    <w:adjustRightInd w:val="0"/>
                    <w:snapToGrid w:val="0"/>
                    <w:spacing w:line="240" w:lineRule="auto"/>
                    <w:ind w:firstLine="0" w:firstLineChars="0"/>
                    <w:jc w:val="center"/>
                    <w:rPr>
                      <w:color w:val="auto"/>
                      <w:sz w:val="21"/>
                      <w:szCs w:val="21"/>
                    </w:rPr>
                  </w:pPr>
                  <w:r>
                    <w:rPr>
                      <w:color w:val="auto"/>
                      <w:sz w:val="21"/>
                      <w:szCs w:val="21"/>
                    </w:rPr>
                    <w:t>-160</w:t>
                  </w:r>
                </w:p>
              </w:tc>
              <w:tc>
                <w:tcPr>
                  <w:tcW w:w="708" w:type="dxa"/>
                  <w:vAlign w:val="center"/>
                </w:tcPr>
                <w:p w14:paraId="2C72D4D1">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64EFDB1C">
                  <w:pPr>
                    <w:adjustRightInd w:val="0"/>
                    <w:snapToGrid w:val="0"/>
                    <w:spacing w:line="240" w:lineRule="auto"/>
                    <w:ind w:firstLine="0" w:firstLineChars="0"/>
                    <w:jc w:val="center"/>
                    <w:rPr>
                      <w:color w:val="auto"/>
                      <w:sz w:val="21"/>
                      <w:szCs w:val="21"/>
                    </w:rPr>
                  </w:pPr>
                  <w:r>
                    <w:rPr>
                      <w:color w:val="auto"/>
                      <w:sz w:val="21"/>
                      <w:szCs w:val="21"/>
                    </w:rPr>
                    <w:t>约150人</w:t>
                  </w:r>
                </w:p>
              </w:tc>
              <w:tc>
                <w:tcPr>
                  <w:tcW w:w="653" w:type="dxa"/>
                  <w:vMerge w:val="continue"/>
                  <w:vAlign w:val="center"/>
                </w:tcPr>
                <w:p w14:paraId="00DCEF49">
                  <w:pPr>
                    <w:adjustRightInd w:val="0"/>
                    <w:snapToGrid w:val="0"/>
                    <w:spacing w:line="240" w:lineRule="auto"/>
                    <w:ind w:firstLine="0" w:firstLineChars="0"/>
                    <w:jc w:val="center"/>
                    <w:rPr>
                      <w:color w:val="auto"/>
                      <w:sz w:val="21"/>
                      <w:szCs w:val="21"/>
                    </w:rPr>
                  </w:pPr>
                </w:p>
              </w:tc>
              <w:tc>
                <w:tcPr>
                  <w:tcW w:w="851" w:type="dxa"/>
                  <w:vAlign w:val="center"/>
                </w:tcPr>
                <w:p w14:paraId="319633C0">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1E31E4CC">
                  <w:pPr>
                    <w:adjustRightInd w:val="0"/>
                    <w:snapToGrid w:val="0"/>
                    <w:spacing w:line="240" w:lineRule="auto"/>
                    <w:ind w:firstLine="0" w:firstLineChars="0"/>
                    <w:jc w:val="center"/>
                    <w:rPr>
                      <w:color w:val="auto"/>
                      <w:sz w:val="21"/>
                      <w:szCs w:val="21"/>
                    </w:rPr>
                  </w:pPr>
                  <w:r>
                    <w:rPr>
                      <w:color w:val="auto"/>
                      <w:sz w:val="21"/>
                      <w:szCs w:val="21"/>
                    </w:rPr>
                    <w:t>401</w:t>
                  </w:r>
                </w:p>
              </w:tc>
            </w:tr>
            <w:tr w14:paraId="0166C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780FEE32">
                  <w:pPr>
                    <w:adjustRightInd w:val="0"/>
                    <w:snapToGrid w:val="0"/>
                    <w:spacing w:line="240" w:lineRule="auto"/>
                    <w:ind w:firstLine="0" w:firstLineChars="0"/>
                    <w:jc w:val="center"/>
                    <w:rPr>
                      <w:color w:val="auto"/>
                      <w:sz w:val="21"/>
                      <w:szCs w:val="21"/>
                    </w:rPr>
                  </w:pPr>
                  <w:r>
                    <w:rPr>
                      <w:color w:val="auto"/>
                      <w:sz w:val="21"/>
                      <w:szCs w:val="21"/>
                    </w:rPr>
                    <w:t>25</w:t>
                  </w:r>
                </w:p>
              </w:tc>
              <w:tc>
                <w:tcPr>
                  <w:tcW w:w="1276" w:type="dxa"/>
                  <w:vAlign w:val="center"/>
                </w:tcPr>
                <w:p w14:paraId="344126BE">
                  <w:pPr>
                    <w:adjustRightInd w:val="0"/>
                    <w:snapToGrid w:val="0"/>
                    <w:spacing w:line="240" w:lineRule="auto"/>
                    <w:ind w:firstLine="0" w:firstLineChars="0"/>
                    <w:jc w:val="center"/>
                    <w:rPr>
                      <w:color w:val="auto"/>
                      <w:sz w:val="21"/>
                      <w:szCs w:val="21"/>
                    </w:rPr>
                  </w:pPr>
                  <w:r>
                    <w:rPr>
                      <w:color w:val="auto"/>
                      <w:sz w:val="21"/>
                      <w:szCs w:val="21"/>
                    </w:rPr>
                    <w:t>江川县旅游公司生活区</w:t>
                  </w:r>
                </w:p>
              </w:tc>
              <w:tc>
                <w:tcPr>
                  <w:tcW w:w="709" w:type="dxa"/>
                  <w:vAlign w:val="center"/>
                </w:tcPr>
                <w:p w14:paraId="71F58DE1">
                  <w:pPr>
                    <w:adjustRightInd w:val="0"/>
                    <w:snapToGrid w:val="0"/>
                    <w:spacing w:line="240" w:lineRule="auto"/>
                    <w:ind w:firstLine="0" w:firstLineChars="0"/>
                    <w:jc w:val="center"/>
                    <w:rPr>
                      <w:color w:val="auto"/>
                      <w:sz w:val="21"/>
                      <w:szCs w:val="21"/>
                    </w:rPr>
                  </w:pPr>
                  <w:r>
                    <w:rPr>
                      <w:color w:val="auto"/>
                      <w:sz w:val="21"/>
                      <w:szCs w:val="21"/>
                    </w:rPr>
                    <w:t>-207</w:t>
                  </w:r>
                </w:p>
              </w:tc>
              <w:tc>
                <w:tcPr>
                  <w:tcW w:w="709" w:type="dxa"/>
                  <w:vAlign w:val="center"/>
                </w:tcPr>
                <w:p w14:paraId="7F5575EE">
                  <w:pPr>
                    <w:adjustRightInd w:val="0"/>
                    <w:snapToGrid w:val="0"/>
                    <w:spacing w:line="240" w:lineRule="auto"/>
                    <w:ind w:firstLine="0" w:firstLineChars="0"/>
                    <w:jc w:val="center"/>
                    <w:rPr>
                      <w:color w:val="auto"/>
                      <w:sz w:val="21"/>
                      <w:szCs w:val="21"/>
                    </w:rPr>
                  </w:pPr>
                  <w:r>
                    <w:rPr>
                      <w:color w:val="auto"/>
                      <w:sz w:val="21"/>
                      <w:szCs w:val="21"/>
                    </w:rPr>
                    <w:t>-58</w:t>
                  </w:r>
                </w:p>
              </w:tc>
              <w:tc>
                <w:tcPr>
                  <w:tcW w:w="708" w:type="dxa"/>
                  <w:vAlign w:val="center"/>
                </w:tcPr>
                <w:p w14:paraId="39F80C4C">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2700CC2">
                  <w:pPr>
                    <w:adjustRightInd w:val="0"/>
                    <w:snapToGrid w:val="0"/>
                    <w:spacing w:line="240" w:lineRule="auto"/>
                    <w:ind w:firstLine="0" w:firstLineChars="0"/>
                    <w:jc w:val="center"/>
                    <w:rPr>
                      <w:color w:val="auto"/>
                      <w:sz w:val="21"/>
                      <w:szCs w:val="21"/>
                    </w:rPr>
                  </w:pPr>
                  <w:r>
                    <w:rPr>
                      <w:color w:val="auto"/>
                      <w:sz w:val="21"/>
                      <w:szCs w:val="21"/>
                    </w:rPr>
                    <w:t>约80人</w:t>
                  </w:r>
                </w:p>
              </w:tc>
              <w:tc>
                <w:tcPr>
                  <w:tcW w:w="653" w:type="dxa"/>
                  <w:vMerge w:val="continue"/>
                  <w:vAlign w:val="center"/>
                </w:tcPr>
                <w:p w14:paraId="1992BFA0">
                  <w:pPr>
                    <w:adjustRightInd w:val="0"/>
                    <w:snapToGrid w:val="0"/>
                    <w:spacing w:line="240" w:lineRule="auto"/>
                    <w:ind w:firstLine="0" w:firstLineChars="0"/>
                    <w:jc w:val="center"/>
                    <w:rPr>
                      <w:color w:val="auto"/>
                      <w:sz w:val="21"/>
                      <w:szCs w:val="21"/>
                    </w:rPr>
                  </w:pPr>
                </w:p>
              </w:tc>
              <w:tc>
                <w:tcPr>
                  <w:tcW w:w="851" w:type="dxa"/>
                  <w:vAlign w:val="center"/>
                </w:tcPr>
                <w:p w14:paraId="5FAA5C0B">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5179B5FF">
                  <w:pPr>
                    <w:adjustRightInd w:val="0"/>
                    <w:snapToGrid w:val="0"/>
                    <w:spacing w:line="240" w:lineRule="auto"/>
                    <w:ind w:firstLine="0" w:firstLineChars="0"/>
                    <w:jc w:val="center"/>
                    <w:rPr>
                      <w:color w:val="auto"/>
                      <w:sz w:val="21"/>
                      <w:szCs w:val="21"/>
                    </w:rPr>
                  </w:pPr>
                  <w:r>
                    <w:rPr>
                      <w:color w:val="auto"/>
                      <w:sz w:val="21"/>
                      <w:szCs w:val="21"/>
                    </w:rPr>
                    <w:t>112</w:t>
                  </w:r>
                </w:p>
              </w:tc>
            </w:tr>
            <w:tr w14:paraId="5CE9E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A6E4E5D">
                  <w:pPr>
                    <w:adjustRightInd w:val="0"/>
                    <w:snapToGrid w:val="0"/>
                    <w:spacing w:line="240" w:lineRule="auto"/>
                    <w:ind w:firstLine="0" w:firstLineChars="0"/>
                    <w:jc w:val="center"/>
                    <w:rPr>
                      <w:color w:val="auto"/>
                      <w:sz w:val="21"/>
                      <w:szCs w:val="21"/>
                    </w:rPr>
                  </w:pPr>
                  <w:r>
                    <w:rPr>
                      <w:color w:val="auto"/>
                      <w:sz w:val="21"/>
                      <w:szCs w:val="21"/>
                    </w:rPr>
                    <w:t>26</w:t>
                  </w:r>
                </w:p>
              </w:tc>
              <w:tc>
                <w:tcPr>
                  <w:tcW w:w="1276" w:type="dxa"/>
                  <w:vAlign w:val="center"/>
                </w:tcPr>
                <w:p w14:paraId="23A260A8">
                  <w:pPr>
                    <w:adjustRightInd w:val="0"/>
                    <w:snapToGrid w:val="0"/>
                    <w:spacing w:line="240" w:lineRule="auto"/>
                    <w:ind w:firstLine="0" w:firstLineChars="0"/>
                    <w:jc w:val="center"/>
                    <w:rPr>
                      <w:color w:val="auto"/>
                      <w:sz w:val="21"/>
                      <w:szCs w:val="21"/>
                    </w:rPr>
                  </w:pPr>
                  <w:r>
                    <w:rPr>
                      <w:color w:val="auto"/>
                      <w:sz w:val="21"/>
                      <w:szCs w:val="21"/>
                    </w:rPr>
                    <w:t>星云铭城</w:t>
                  </w:r>
                </w:p>
              </w:tc>
              <w:tc>
                <w:tcPr>
                  <w:tcW w:w="709" w:type="dxa"/>
                  <w:vAlign w:val="center"/>
                </w:tcPr>
                <w:p w14:paraId="6A963446">
                  <w:pPr>
                    <w:adjustRightInd w:val="0"/>
                    <w:snapToGrid w:val="0"/>
                    <w:spacing w:line="240" w:lineRule="auto"/>
                    <w:ind w:firstLine="0" w:firstLineChars="0"/>
                    <w:jc w:val="center"/>
                    <w:rPr>
                      <w:color w:val="auto"/>
                      <w:sz w:val="21"/>
                      <w:szCs w:val="21"/>
                    </w:rPr>
                  </w:pPr>
                  <w:r>
                    <w:rPr>
                      <w:color w:val="auto"/>
                      <w:sz w:val="21"/>
                      <w:szCs w:val="21"/>
                    </w:rPr>
                    <w:t>-357</w:t>
                  </w:r>
                </w:p>
              </w:tc>
              <w:tc>
                <w:tcPr>
                  <w:tcW w:w="709" w:type="dxa"/>
                  <w:vAlign w:val="center"/>
                </w:tcPr>
                <w:p w14:paraId="4F2833D0">
                  <w:pPr>
                    <w:adjustRightInd w:val="0"/>
                    <w:snapToGrid w:val="0"/>
                    <w:spacing w:line="240" w:lineRule="auto"/>
                    <w:ind w:firstLine="0" w:firstLineChars="0"/>
                    <w:jc w:val="center"/>
                    <w:rPr>
                      <w:color w:val="auto"/>
                      <w:sz w:val="21"/>
                      <w:szCs w:val="21"/>
                    </w:rPr>
                  </w:pPr>
                  <w:r>
                    <w:rPr>
                      <w:color w:val="auto"/>
                      <w:sz w:val="21"/>
                      <w:szCs w:val="21"/>
                    </w:rPr>
                    <w:t>0</w:t>
                  </w:r>
                </w:p>
              </w:tc>
              <w:tc>
                <w:tcPr>
                  <w:tcW w:w="708" w:type="dxa"/>
                  <w:vAlign w:val="center"/>
                </w:tcPr>
                <w:p w14:paraId="3A6F6443">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1341BC8">
                  <w:pPr>
                    <w:adjustRightInd w:val="0"/>
                    <w:snapToGrid w:val="0"/>
                    <w:spacing w:line="240" w:lineRule="auto"/>
                    <w:ind w:firstLine="0" w:firstLineChars="0"/>
                    <w:jc w:val="center"/>
                    <w:rPr>
                      <w:color w:val="auto"/>
                      <w:sz w:val="21"/>
                      <w:szCs w:val="21"/>
                    </w:rPr>
                  </w:pPr>
                  <w:r>
                    <w:rPr>
                      <w:color w:val="auto"/>
                      <w:sz w:val="21"/>
                      <w:szCs w:val="21"/>
                    </w:rPr>
                    <w:t>约2500人</w:t>
                  </w:r>
                </w:p>
              </w:tc>
              <w:tc>
                <w:tcPr>
                  <w:tcW w:w="653" w:type="dxa"/>
                  <w:vMerge w:val="continue"/>
                  <w:vAlign w:val="center"/>
                </w:tcPr>
                <w:p w14:paraId="100A238B">
                  <w:pPr>
                    <w:adjustRightInd w:val="0"/>
                    <w:snapToGrid w:val="0"/>
                    <w:spacing w:line="240" w:lineRule="auto"/>
                    <w:ind w:firstLine="0" w:firstLineChars="0"/>
                    <w:jc w:val="center"/>
                    <w:rPr>
                      <w:color w:val="auto"/>
                      <w:sz w:val="21"/>
                      <w:szCs w:val="21"/>
                    </w:rPr>
                  </w:pPr>
                </w:p>
              </w:tc>
              <w:tc>
                <w:tcPr>
                  <w:tcW w:w="851" w:type="dxa"/>
                  <w:vAlign w:val="center"/>
                </w:tcPr>
                <w:p w14:paraId="5A955D12">
                  <w:pPr>
                    <w:adjustRightInd w:val="0"/>
                    <w:snapToGrid w:val="0"/>
                    <w:spacing w:line="240" w:lineRule="auto"/>
                    <w:ind w:firstLine="0" w:firstLineChars="0"/>
                    <w:jc w:val="center"/>
                    <w:rPr>
                      <w:color w:val="auto"/>
                      <w:sz w:val="21"/>
                      <w:szCs w:val="21"/>
                    </w:rPr>
                  </w:pPr>
                  <w:r>
                    <w:rPr>
                      <w:color w:val="auto"/>
                      <w:sz w:val="21"/>
                      <w:szCs w:val="21"/>
                    </w:rPr>
                    <w:t>W</w:t>
                  </w:r>
                </w:p>
              </w:tc>
              <w:tc>
                <w:tcPr>
                  <w:tcW w:w="1062" w:type="dxa"/>
                  <w:vAlign w:val="center"/>
                </w:tcPr>
                <w:p w14:paraId="21061FB5">
                  <w:pPr>
                    <w:adjustRightInd w:val="0"/>
                    <w:snapToGrid w:val="0"/>
                    <w:spacing w:line="240" w:lineRule="auto"/>
                    <w:ind w:firstLine="0" w:firstLineChars="0"/>
                    <w:jc w:val="center"/>
                    <w:rPr>
                      <w:color w:val="auto"/>
                      <w:sz w:val="21"/>
                      <w:szCs w:val="21"/>
                    </w:rPr>
                  </w:pPr>
                  <w:r>
                    <w:rPr>
                      <w:color w:val="auto"/>
                      <w:sz w:val="21"/>
                      <w:szCs w:val="21"/>
                    </w:rPr>
                    <w:t>260</w:t>
                  </w:r>
                </w:p>
              </w:tc>
            </w:tr>
            <w:tr w14:paraId="686D7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7" w:type="dxa"/>
                  <w:gridSpan w:val="9"/>
                  <w:vAlign w:val="center"/>
                </w:tcPr>
                <w:p w14:paraId="2FED7F85">
                  <w:pPr>
                    <w:adjustRightInd w:val="0"/>
                    <w:snapToGrid w:val="0"/>
                    <w:spacing w:line="240" w:lineRule="auto"/>
                    <w:ind w:firstLine="0" w:firstLineChars="0"/>
                    <w:jc w:val="center"/>
                    <w:rPr>
                      <w:color w:val="auto"/>
                      <w:sz w:val="21"/>
                      <w:szCs w:val="21"/>
                    </w:rPr>
                  </w:pPr>
                  <w:r>
                    <w:rPr>
                      <w:color w:val="auto"/>
                      <w:sz w:val="21"/>
                      <w:szCs w:val="21"/>
                    </w:rPr>
                    <w:t>声环境</w:t>
                  </w:r>
                </w:p>
              </w:tc>
            </w:tr>
            <w:tr w14:paraId="77F35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041E6FCA">
                  <w:pPr>
                    <w:adjustRightInd w:val="0"/>
                    <w:snapToGrid w:val="0"/>
                    <w:spacing w:line="240" w:lineRule="auto"/>
                    <w:ind w:firstLine="0" w:firstLineChars="0"/>
                    <w:jc w:val="center"/>
                    <w:rPr>
                      <w:color w:val="auto"/>
                      <w:sz w:val="21"/>
                      <w:szCs w:val="21"/>
                    </w:rPr>
                  </w:pPr>
                  <w:r>
                    <w:rPr>
                      <w:color w:val="auto"/>
                      <w:sz w:val="21"/>
                      <w:szCs w:val="21"/>
                    </w:rPr>
                    <w:t>27</w:t>
                  </w:r>
                </w:p>
              </w:tc>
              <w:tc>
                <w:tcPr>
                  <w:tcW w:w="1276" w:type="dxa"/>
                  <w:vAlign w:val="center"/>
                </w:tcPr>
                <w:p w14:paraId="1527A56E">
                  <w:pPr>
                    <w:adjustRightInd w:val="0"/>
                    <w:snapToGrid w:val="0"/>
                    <w:spacing w:line="240" w:lineRule="auto"/>
                    <w:ind w:firstLine="0" w:firstLineChars="0"/>
                    <w:jc w:val="center"/>
                    <w:rPr>
                      <w:color w:val="auto"/>
                      <w:sz w:val="21"/>
                      <w:szCs w:val="21"/>
                    </w:rPr>
                  </w:pPr>
                  <w:r>
                    <w:rPr>
                      <w:color w:val="auto"/>
                      <w:sz w:val="21"/>
                      <w:szCs w:val="21"/>
                    </w:rPr>
                    <w:t>散户</w:t>
                  </w:r>
                </w:p>
              </w:tc>
              <w:tc>
                <w:tcPr>
                  <w:tcW w:w="709" w:type="dxa"/>
                  <w:vAlign w:val="center"/>
                </w:tcPr>
                <w:p w14:paraId="0EC1D8E6">
                  <w:pPr>
                    <w:adjustRightInd w:val="0"/>
                    <w:snapToGrid w:val="0"/>
                    <w:spacing w:line="240" w:lineRule="auto"/>
                    <w:ind w:firstLine="0" w:firstLineChars="0"/>
                    <w:jc w:val="center"/>
                    <w:rPr>
                      <w:color w:val="auto"/>
                      <w:sz w:val="21"/>
                      <w:szCs w:val="21"/>
                    </w:rPr>
                  </w:pPr>
                  <w:r>
                    <w:rPr>
                      <w:color w:val="auto"/>
                      <w:sz w:val="21"/>
                      <w:szCs w:val="21"/>
                    </w:rPr>
                    <w:t>45</w:t>
                  </w:r>
                </w:p>
              </w:tc>
              <w:tc>
                <w:tcPr>
                  <w:tcW w:w="709" w:type="dxa"/>
                  <w:vAlign w:val="center"/>
                </w:tcPr>
                <w:p w14:paraId="793DDF58">
                  <w:pPr>
                    <w:adjustRightInd w:val="0"/>
                    <w:snapToGrid w:val="0"/>
                    <w:spacing w:line="240" w:lineRule="auto"/>
                    <w:ind w:firstLine="0" w:firstLineChars="0"/>
                    <w:jc w:val="center"/>
                    <w:rPr>
                      <w:color w:val="auto"/>
                      <w:sz w:val="21"/>
                      <w:szCs w:val="21"/>
                    </w:rPr>
                  </w:pPr>
                  <w:r>
                    <w:rPr>
                      <w:color w:val="auto"/>
                      <w:sz w:val="21"/>
                      <w:szCs w:val="21"/>
                    </w:rPr>
                    <w:t>110</w:t>
                  </w:r>
                </w:p>
              </w:tc>
              <w:tc>
                <w:tcPr>
                  <w:tcW w:w="708" w:type="dxa"/>
                  <w:vAlign w:val="center"/>
                </w:tcPr>
                <w:p w14:paraId="751A919A">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25641B37">
                  <w:pPr>
                    <w:adjustRightInd w:val="0"/>
                    <w:snapToGrid w:val="0"/>
                    <w:spacing w:line="240" w:lineRule="auto"/>
                    <w:ind w:firstLine="0" w:firstLineChars="0"/>
                    <w:jc w:val="center"/>
                    <w:rPr>
                      <w:color w:val="auto"/>
                      <w:sz w:val="21"/>
                      <w:szCs w:val="21"/>
                    </w:rPr>
                  </w:pPr>
                  <w:r>
                    <w:rPr>
                      <w:color w:val="auto"/>
                      <w:sz w:val="21"/>
                      <w:szCs w:val="21"/>
                    </w:rPr>
                    <w:t>约3人</w:t>
                  </w:r>
                </w:p>
              </w:tc>
              <w:tc>
                <w:tcPr>
                  <w:tcW w:w="653" w:type="dxa"/>
                  <w:vMerge w:val="restart"/>
                  <w:vAlign w:val="center"/>
                </w:tcPr>
                <w:p w14:paraId="16F8413A">
                  <w:pPr>
                    <w:adjustRightInd w:val="0"/>
                    <w:snapToGrid w:val="0"/>
                    <w:spacing w:line="240" w:lineRule="auto"/>
                    <w:ind w:firstLine="0" w:firstLineChars="0"/>
                    <w:jc w:val="center"/>
                    <w:rPr>
                      <w:color w:val="auto"/>
                      <w:sz w:val="21"/>
                      <w:szCs w:val="21"/>
                    </w:rPr>
                  </w:pPr>
                  <w:r>
                    <w:rPr>
                      <w:color w:val="auto"/>
                      <w:sz w:val="21"/>
                      <w:szCs w:val="21"/>
                    </w:rPr>
                    <w:t>声环境：2类功能区</w:t>
                  </w:r>
                </w:p>
              </w:tc>
              <w:tc>
                <w:tcPr>
                  <w:tcW w:w="851" w:type="dxa"/>
                  <w:vAlign w:val="center"/>
                </w:tcPr>
                <w:p w14:paraId="63A5B9C4">
                  <w:pPr>
                    <w:adjustRightInd w:val="0"/>
                    <w:snapToGrid w:val="0"/>
                    <w:spacing w:line="240" w:lineRule="auto"/>
                    <w:ind w:firstLine="0" w:firstLineChars="0"/>
                    <w:jc w:val="center"/>
                    <w:rPr>
                      <w:color w:val="auto"/>
                      <w:sz w:val="21"/>
                      <w:szCs w:val="21"/>
                    </w:rPr>
                  </w:pPr>
                  <w:r>
                    <w:rPr>
                      <w:color w:val="auto"/>
                      <w:sz w:val="21"/>
                      <w:szCs w:val="21"/>
                    </w:rPr>
                    <w:t>N</w:t>
                  </w:r>
                </w:p>
              </w:tc>
              <w:tc>
                <w:tcPr>
                  <w:tcW w:w="1062" w:type="dxa"/>
                  <w:vAlign w:val="center"/>
                </w:tcPr>
                <w:p w14:paraId="248C7735">
                  <w:pPr>
                    <w:adjustRightInd w:val="0"/>
                    <w:snapToGrid w:val="0"/>
                    <w:spacing w:line="240" w:lineRule="auto"/>
                    <w:ind w:firstLine="0" w:firstLineChars="0"/>
                    <w:jc w:val="center"/>
                    <w:rPr>
                      <w:color w:val="auto"/>
                      <w:sz w:val="21"/>
                      <w:szCs w:val="21"/>
                    </w:rPr>
                  </w:pPr>
                  <w:r>
                    <w:rPr>
                      <w:color w:val="auto"/>
                      <w:sz w:val="21"/>
                      <w:szCs w:val="21"/>
                    </w:rPr>
                    <w:t>12</w:t>
                  </w:r>
                </w:p>
              </w:tc>
            </w:tr>
            <w:tr w14:paraId="5D8A0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1D3E8DE1">
                  <w:pPr>
                    <w:adjustRightInd w:val="0"/>
                    <w:snapToGrid w:val="0"/>
                    <w:spacing w:line="240" w:lineRule="auto"/>
                    <w:ind w:firstLine="0" w:firstLineChars="0"/>
                    <w:jc w:val="center"/>
                    <w:rPr>
                      <w:color w:val="auto"/>
                      <w:sz w:val="21"/>
                      <w:szCs w:val="21"/>
                    </w:rPr>
                  </w:pPr>
                  <w:r>
                    <w:rPr>
                      <w:color w:val="auto"/>
                      <w:sz w:val="21"/>
                      <w:szCs w:val="21"/>
                    </w:rPr>
                    <w:t>28</w:t>
                  </w:r>
                </w:p>
              </w:tc>
              <w:tc>
                <w:tcPr>
                  <w:tcW w:w="1276" w:type="dxa"/>
                  <w:vAlign w:val="center"/>
                </w:tcPr>
                <w:p w14:paraId="5399C32B">
                  <w:pPr>
                    <w:adjustRightInd w:val="0"/>
                    <w:snapToGrid w:val="0"/>
                    <w:spacing w:line="240" w:lineRule="auto"/>
                    <w:ind w:firstLine="0" w:firstLineChars="0"/>
                    <w:jc w:val="center"/>
                    <w:rPr>
                      <w:color w:val="auto"/>
                      <w:sz w:val="21"/>
                      <w:szCs w:val="21"/>
                    </w:rPr>
                  </w:pPr>
                  <w:r>
                    <w:rPr>
                      <w:color w:val="auto"/>
                      <w:sz w:val="21"/>
                      <w:szCs w:val="21"/>
                    </w:rPr>
                    <w:t>小大庄</w:t>
                  </w:r>
                </w:p>
              </w:tc>
              <w:tc>
                <w:tcPr>
                  <w:tcW w:w="709" w:type="dxa"/>
                  <w:vAlign w:val="center"/>
                </w:tcPr>
                <w:p w14:paraId="72D6A513">
                  <w:pPr>
                    <w:adjustRightInd w:val="0"/>
                    <w:snapToGrid w:val="0"/>
                    <w:spacing w:line="240" w:lineRule="auto"/>
                    <w:ind w:firstLine="0" w:firstLineChars="0"/>
                    <w:jc w:val="center"/>
                    <w:rPr>
                      <w:color w:val="auto"/>
                      <w:sz w:val="21"/>
                      <w:szCs w:val="21"/>
                    </w:rPr>
                  </w:pPr>
                  <w:r>
                    <w:rPr>
                      <w:color w:val="auto"/>
                      <w:sz w:val="21"/>
                      <w:szCs w:val="21"/>
                    </w:rPr>
                    <w:t>74</w:t>
                  </w:r>
                </w:p>
              </w:tc>
              <w:tc>
                <w:tcPr>
                  <w:tcW w:w="709" w:type="dxa"/>
                  <w:vAlign w:val="center"/>
                </w:tcPr>
                <w:p w14:paraId="188023B0">
                  <w:pPr>
                    <w:adjustRightInd w:val="0"/>
                    <w:snapToGrid w:val="0"/>
                    <w:spacing w:line="240" w:lineRule="auto"/>
                    <w:ind w:firstLine="0" w:firstLineChars="0"/>
                    <w:jc w:val="center"/>
                    <w:rPr>
                      <w:color w:val="auto"/>
                      <w:sz w:val="21"/>
                      <w:szCs w:val="21"/>
                    </w:rPr>
                  </w:pPr>
                  <w:r>
                    <w:rPr>
                      <w:color w:val="auto"/>
                      <w:sz w:val="21"/>
                      <w:szCs w:val="21"/>
                    </w:rPr>
                    <w:t>-73</w:t>
                  </w:r>
                </w:p>
              </w:tc>
              <w:tc>
                <w:tcPr>
                  <w:tcW w:w="708" w:type="dxa"/>
                  <w:vAlign w:val="center"/>
                </w:tcPr>
                <w:p w14:paraId="246E41A7">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2CB25F9C">
                  <w:pPr>
                    <w:adjustRightInd w:val="0"/>
                    <w:snapToGrid w:val="0"/>
                    <w:spacing w:line="240" w:lineRule="auto"/>
                    <w:ind w:firstLine="0" w:firstLineChars="0"/>
                    <w:jc w:val="center"/>
                    <w:rPr>
                      <w:color w:val="auto"/>
                      <w:sz w:val="21"/>
                      <w:szCs w:val="21"/>
                    </w:rPr>
                  </w:pPr>
                  <w:r>
                    <w:rPr>
                      <w:color w:val="auto"/>
                      <w:sz w:val="21"/>
                      <w:szCs w:val="21"/>
                    </w:rPr>
                    <w:t>约525人</w:t>
                  </w:r>
                </w:p>
              </w:tc>
              <w:tc>
                <w:tcPr>
                  <w:tcW w:w="653" w:type="dxa"/>
                  <w:vMerge w:val="continue"/>
                  <w:vAlign w:val="center"/>
                </w:tcPr>
                <w:p w14:paraId="539969BF">
                  <w:pPr>
                    <w:adjustRightInd w:val="0"/>
                    <w:snapToGrid w:val="0"/>
                    <w:spacing w:line="240" w:lineRule="auto"/>
                    <w:ind w:firstLine="0" w:firstLineChars="0"/>
                    <w:jc w:val="center"/>
                    <w:rPr>
                      <w:color w:val="auto"/>
                      <w:sz w:val="21"/>
                      <w:szCs w:val="21"/>
                    </w:rPr>
                  </w:pPr>
                </w:p>
              </w:tc>
              <w:tc>
                <w:tcPr>
                  <w:tcW w:w="851" w:type="dxa"/>
                  <w:vAlign w:val="center"/>
                </w:tcPr>
                <w:p w14:paraId="419754C8">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5260A395">
                  <w:pPr>
                    <w:adjustRightInd w:val="0"/>
                    <w:snapToGrid w:val="0"/>
                    <w:spacing w:line="240" w:lineRule="auto"/>
                    <w:ind w:firstLine="0" w:firstLineChars="0"/>
                    <w:jc w:val="center"/>
                    <w:rPr>
                      <w:color w:val="auto"/>
                      <w:sz w:val="21"/>
                      <w:szCs w:val="21"/>
                    </w:rPr>
                  </w:pPr>
                  <w:r>
                    <w:rPr>
                      <w:color w:val="auto"/>
                      <w:sz w:val="21"/>
                      <w:szCs w:val="21"/>
                    </w:rPr>
                    <w:t>40</w:t>
                  </w:r>
                </w:p>
              </w:tc>
            </w:tr>
            <w:tr w14:paraId="66B4D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0372CD0C">
                  <w:pPr>
                    <w:adjustRightInd w:val="0"/>
                    <w:snapToGrid w:val="0"/>
                    <w:spacing w:line="240" w:lineRule="auto"/>
                    <w:ind w:firstLine="0" w:firstLineChars="0"/>
                    <w:jc w:val="center"/>
                    <w:rPr>
                      <w:color w:val="auto"/>
                      <w:sz w:val="21"/>
                      <w:szCs w:val="21"/>
                    </w:rPr>
                  </w:pPr>
                  <w:r>
                    <w:rPr>
                      <w:color w:val="auto"/>
                      <w:sz w:val="21"/>
                      <w:szCs w:val="21"/>
                    </w:rPr>
                    <w:t>29</w:t>
                  </w:r>
                </w:p>
              </w:tc>
              <w:tc>
                <w:tcPr>
                  <w:tcW w:w="1276" w:type="dxa"/>
                  <w:vAlign w:val="center"/>
                </w:tcPr>
                <w:p w14:paraId="044389F8">
                  <w:pPr>
                    <w:adjustRightInd w:val="0"/>
                    <w:snapToGrid w:val="0"/>
                    <w:spacing w:line="240" w:lineRule="auto"/>
                    <w:ind w:firstLine="0" w:firstLineChars="0"/>
                    <w:jc w:val="center"/>
                    <w:rPr>
                      <w:color w:val="auto"/>
                      <w:sz w:val="21"/>
                      <w:szCs w:val="21"/>
                    </w:rPr>
                  </w:pPr>
                  <w:r>
                    <w:rPr>
                      <w:color w:val="auto"/>
                      <w:sz w:val="21"/>
                      <w:szCs w:val="21"/>
                    </w:rPr>
                    <w:t>居民区</w:t>
                  </w:r>
                </w:p>
              </w:tc>
              <w:tc>
                <w:tcPr>
                  <w:tcW w:w="709" w:type="dxa"/>
                  <w:vAlign w:val="center"/>
                </w:tcPr>
                <w:p w14:paraId="4835B22C">
                  <w:pPr>
                    <w:adjustRightInd w:val="0"/>
                    <w:snapToGrid w:val="0"/>
                    <w:spacing w:line="240" w:lineRule="auto"/>
                    <w:ind w:firstLine="0" w:firstLineChars="0"/>
                    <w:jc w:val="center"/>
                    <w:rPr>
                      <w:color w:val="auto"/>
                      <w:sz w:val="21"/>
                      <w:szCs w:val="21"/>
                    </w:rPr>
                  </w:pPr>
                  <w:r>
                    <w:rPr>
                      <w:color w:val="auto"/>
                      <w:sz w:val="21"/>
                      <w:szCs w:val="21"/>
                    </w:rPr>
                    <w:t>-23</w:t>
                  </w:r>
                </w:p>
              </w:tc>
              <w:tc>
                <w:tcPr>
                  <w:tcW w:w="709" w:type="dxa"/>
                  <w:vAlign w:val="center"/>
                </w:tcPr>
                <w:p w14:paraId="666D3399">
                  <w:pPr>
                    <w:adjustRightInd w:val="0"/>
                    <w:snapToGrid w:val="0"/>
                    <w:spacing w:line="240" w:lineRule="auto"/>
                    <w:ind w:firstLine="0" w:firstLineChars="0"/>
                    <w:jc w:val="center"/>
                    <w:rPr>
                      <w:color w:val="auto"/>
                      <w:sz w:val="21"/>
                      <w:szCs w:val="21"/>
                    </w:rPr>
                  </w:pPr>
                  <w:r>
                    <w:rPr>
                      <w:color w:val="auto"/>
                      <w:sz w:val="21"/>
                      <w:szCs w:val="21"/>
                    </w:rPr>
                    <w:t>-147</w:t>
                  </w:r>
                </w:p>
              </w:tc>
              <w:tc>
                <w:tcPr>
                  <w:tcW w:w="708" w:type="dxa"/>
                  <w:vAlign w:val="center"/>
                </w:tcPr>
                <w:p w14:paraId="55E83EF0">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3C768C94">
                  <w:pPr>
                    <w:adjustRightInd w:val="0"/>
                    <w:snapToGrid w:val="0"/>
                    <w:spacing w:line="240" w:lineRule="auto"/>
                    <w:ind w:firstLine="0" w:firstLineChars="0"/>
                    <w:jc w:val="center"/>
                    <w:rPr>
                      <w:color w:val="auto"/>
                      <w:sz w:val="21"/>
                      <w:szCs w:val="21"/>
                    </w:rPr>
                  </w:pPr>
                  <w:r>
                    <w:rPr>
                      <w:color w:val="auto"/>
                      <w:sz w:val="21"/>
                      <w:szCs w:val="21"/>
                    </w:rPr>
                    <w:t>约150人</w:t>
                  </w:r>
                </w:p>
              </w:tc>
              <w:tc>
                <w:tcPr>
                  <w:tcW w:w="653" w:type="dxa"/>
                  <w:vMerge w:val="continue"/>
                  <w:vAlign w:val="center"/>
                </w:tcPr>
                <w:p w14:paraId="4EA980E8">
                  <w:pPr>
                    <w:adjustRightInd w:val="0"/>
                    <w:snapToGrid w:val="0"/>
                    <w:spacing w:line="240" w:lineRule="auto"/>
                    <w:ind w:firstLine="0" w:firstLineChars="0"/>
                    <w:jc w:val="center"/>
                    <w:rPr>
                      <w:color w:val="auto"/>
                      <w:sz w:val="21"/>
                      <w:szCs w:val="21"/>
                    </w:rPr>
                  </w:pPr>
                </w:p>
              </w:tc>
              <w:tc>
                <w:tcPr>
                  <w:tcW w:w="851" w:type="dxa"/>
                  <w:vAlign w:val="center"/>
                </w:tcPr>
                <w:p w14:paraId="289359AD">
                  <w:pPr>
                    <w:adjustRightInd w:val="0"/>
                    <w:snapToGrid w:val="0"/>
                    <w:spacing w:line="240" w:lineRule="auto"/>
                    <w:ind w:firstLine="0" w:firstLineChars="0"/>
                    <w:jc w:val="center"/>
                    <w:rPr>
                      <w:color w:val="auto"/>
                      <w:sz w:val="21"/>
                      <w:szCs w:val="21"/>
                    </w:rPr>
                  </w:pPr>
                  <w:r>
                    <w:rPr>
                      <w:color w:val="auto"/>
                      <w:sz w:val="21"/>
                      <w:szCs w:val="21"/>
                    </w:rPr>
                    <w:t>S</w:t>
                  </w:r>
                </w:p>
              </w:tc>
              <w:tc>
                <w:tcPr>
                  <w:tcW w:w="1062" w:type="dxa"/>
                  <w:vAlign w:val="center"/>
                </w:tcPr>
                <w:p w14:paraId="667E75A7">
                  <w:pPr>
                    <w:adjustRightInd w:val="0"/>
                    <w:snapToGrid w:val="0"/>
                    <w:spacing w:line="240" w:lineRule="auto"/>
                    <w:ind w:firstLine="0" w:firstLineChars="0"/>
                    <w:jc w:val="center"/>
                    <w:rPr>
                      <w:color w:val="auto"/>
                      <w:sz w:val="21"/>
                      <w:szCs w:val="21"/>
                    </w:rPr>
                  </w:pPr>
                  <w:r>
                    <w:rPr>
                      <w:color w:val="auto"/>
                      <w:sz w:val="21"/>
                      <w:szCs w:val="21"/>
                    </w:rPr>
                    <w:t>18</w:t>
                  </w:r>
                </w:p>
              </w:tc>
            </w:tr>
            <w:tr w14:paraId="28FDC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387168C2">
                  <w:pPr>
                    <w:adjustRightInd w:val="0"/>
                    <w:snapToGrid w:val="0"/>
                    <w:spacing w:line="240" w:lineRule="auto"/>
                    <w:ind w:firstLine="0" w:firstLineChars="0"/>
                    <w:jc w:val="center"/>
                    <w:rPr>
                      <w:color w:val="auto"/>
                      <w:sz w:val="21"/>
                      <w:szCs w:val="21"/>
                    </w:rPr>
                  </w:pPr>
                  <w:r>
                    <w:rPr>
                      <w:color w:val="auto"/>
                      <w:sz w:val="21"/>
                      <w:szCs w:val="21"/>
                    </w:rPr>
                    <w:t>30</w:t>
                  </w:r>
                </w:p>
              </w:tc>
              <w:tc>
                <w:tcPr>
                  <w:tcW w:w="1276" w:type="dxa"/>
                  <w:vAlign w:val="center"/>
                </w:tcPr>
                <w:p w14:paraId="36309D0D">
                  <w:pPr>
                    <w:adjustRightInd w:val="0"/>
                    <w:snapToGrid w:val="0"/>
                    <w:spacing w:line="240" w:lineRule="auto"/>
                    <w:ind w:firstLine="0" w:firstLineChars="0"/>
                    <w:jc w:val="center"/>
                    <w:rPr>
                      <w:color w:val="auto"/>
                      <w:sz w:val="21"/>
                      <w:szCs w:val="21"/>
                    </w:rPr>
                  </w:pPr>
                  <w:r>
                    <w:rPr>
                      <w:color w:val="auto"/>
                      <w:sz w:val="21"/>
                      <w:szCs w:val="21"/>
                    </w:rPr>
                    <w:t>江川县商业小区</w:t>
                  </w:r>
                </w:p>
              </w:tc>
              <w:tc>
                <w:tcPr>
                  <w:tcW w:w="709" w:type="dxa"/>
                  <w:vAlign w:val="center"/>
                </w:tcPr>
                <w:p w14:paraId="51E5097B">
                  <w:pPr>
                    <w:adjustRightInd w:val="0"/>
                    <w:snapToGrid w:val="0"/>
                    <w:spacing w:line="240" w:lineRule="auto"/>
                    <w:ind w:firstLine="0" w:firstLineChars="0"/>
                    <w:jc w:val="center"/>
                    <w:rPr>
                      <w:color w:val="auto"/>
                      <w:sz w:val="21"/>
                      <w:szCs w:val="21"/>
                    </w:rPr>
                  </w:pPr>
                  <w:r>
                    <w:rPr>
                      <w:color w:val="auto"/>
                      <w:sz w:val="21"/>
                      <w:szCs w:val="21"/>
                    </w:rPr>
                    <w:t>-129</w:t>
                  </w:r>
                </w:p>
              </w:tc>
              <w:tc>
                <w:tcPr>
                  <w:tcW w:w="709" w:type="dxa"/>
                  <w:vAlign w:val="center"/>
                </w:tcPr>
                <w:p w14:paraId="7F15C32C">
                  <w:pPr>
                    <w:adjustRightInd w:val="0"/>
                    <w:snapToGrid w:val="0"/>
                    <w:spacing w:line="240" w:lineRule="auto"/>
                    <w:ind w:firstLine="0" w:firstLineChars="0"/>
                    <w:jc w:val="center"/>
                    <w:rPr>
                      <w:color w:val="auto"/>
                      <w:sz w:val="21"/>
                      <w:szCs w:val="21"/>
                    </w:rPr>
                  </w:pPr>
                  <w:r>
                    <w:rPr>
                      <w:color w:val="auto"/>
                      <w:sz w:val="21"/>
                      <w:szCs w:val="21"/>
                    </w:rPr>
                    <w:t>-109</w:t>
                  </w:r>
                </w:p>
              </w:tc>
              <w:tc>
                <w:tcPr>
                  <w:tcW w:w="708" w:type="dxa"/>
                  <w:vAlign w:val="center"/>
                </w:tcPr>
                <w:p w14:paraId="3D018BBC">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025CABC">
                  <w:pPr>
                    <w:adjustRightInd w:val="0"/>
                    <w:snapToGrid w:val="0"/>
                    <w:spacing w:line="240" w:lineRule="auto"/>
                    <w:ind w:firstLine="0" w:firstLineChars="0"/>
                    <w:jc w:val="center"/>
                    <w:rPr>
                      <w:color w:val="auto"/>
                      <w:sz w:val="21"/>
                      <w:szCs w:val="21"/>
                    </w:rPr>
                  </w:pPr>
                  <w:r>
                    <w:rPr>
                      <w:color w:val="auto"/>
                      <w:sz w:val="21"/>
                      <w:szCs w:val="21"/>
                    </w:rPr>
                    <w:t>约450人</w:t>
                  </w:r>
                </w:p>
              </w:tc>
              <w:tc>
                <w:tcPr>
                  <w:tcW w:w="653" w:type="dxa"/>
                  <w:vMerge w:val="continue"/>
                  <w:vAlign w:val="center"/>
                </w:tcPr>
                <w:p w14:paraId="6A93EBD4">
                  <w:pPr>
                    <w:adjustRightInd w:val="0"/>
                    <w:snapToGrid w:val="0"/>
                    <w:spacing w:line="240" w:lineRule="auto"/>
                    <w:ind w:firstLine="0" w:firstLineChars="0"/>
                    <w:jc w:val="center"/>
                    <w:rPr>
                      <w:color w:val="auto"/>
                      <w:sz w:val="21"/>
                      <w:szCs w:val="21"/>
                    </w:rPr>
                  </w:pPr>
                </w:p>
              </w:tc>
              <w:tc>
                <w:tcPr>
                  <w:tcW w:w="851" w:type="dxa"/>
                  <w:vAlign w:val="center"/>
                </w:tcPr>
                <w:p w14:paraId="69F01DEA">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0A7DB470">
                  <w:pPr>
                    <w:adjustRightInd w:val="0"/>
                    <w:snapToGrid w:val="0"/>
                    <w:spacing w:line="240" w:lineRule="auto"/>
                    <w:ind w:firstLine="0" w:firstLineChars="0"/>
                    <w:jc w:val="center"/>
                    <w:rPr>
                      <w:color w:val="auto"/>
                      <w:sz w:val="21"/>
                      <w:szCs w:val="21"/>
                    </w:rPr>
                  </w:pPr>
                  <w:r>
                    <w:rPr>
                      <w:color w:val="auto"/>
                      <w:sz w:val="21"/>
                      <w:szCs w:val="21"/>
                    </w:rPr>
                    <w:t>18</w:t>
                  </w:r>
                </w:p>
              </w:tc>
            </w:tr>
          </w:tbl>
          <w:p w14:paraId="21C4F761">
            <w:pPr>
              <w:pStyle w:val="2"/>
              <w:rPr>
                <w:color w:val="auto"/>
                <w:sz w:val="21"/>
                <w:szCs w:val="21"/>
              </w:rPr>
            </w:pPr>
            <w:r>
              <w:rPr>
                <w:color w:val="auto"/>
                <w:sz w:val="21"/>
                <w:szCs w:val="21"/>
              </w:rPr>
              <w:t>注：该坐标系以项目中心坐标系原点（0，0），东西方向为X轴，南北方向为Y轴。</w:t>
            </w:r>
          </w:p>
          <w:p w14:paraId="7E750EB7">
            <w:pPr>
              <w:ind w:firstLine="422"/>
              <w:jc w:val="center"/>
              <w:rPr>
                <w:b/>
                <w:bCs/>
                <w:color w:val="auto"/>
                <w:sz w:val="21"/>
                <w:szCs w:val="20"/>
              </w:rPr>
            </w:pPr>
            <w:r>
              <w:rPr>
                <w:b/>
                <w:bCs/>
                <w:color w:val="auto"/>
                <w:sz w:val="21"/>
                <w:szCs w:val="20"/>
              </w:rPr>
              <w:t>表3-</w:t>
            </w:r>
            <w:r>
              <w:rPr>
                <w:rFonts w:hint="eastAsia"/>
                <w:b/>
                <w:bCs/>
                <w:color w:val="auto"/>
                <w:sz w:val="21"/>
                <w:szCs w:val="20"/>
                <w:lang w:val="en-US" w:eastAsia="zh-CN"/>
              </w:rPr>
              <w:t>8江城镇卫生院</w:t>
            </w:r>
            <w:r>
              <w:rPr>
                <w:b/>
                <w:bCs/>
                <w:color w:val="auto"/>
                <w:sz w:val="21"/>
                <w:szCs w:val="20"/>
              </w:rPr>
              <w:t>项目环境保护目标一览表</w:t>
            </w:r>
          </w:p>
          <w:tbl>
            <w:tblPr>
              <w:tblStyle w:val="20"/>
              <w:tblW w:w="76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1197"/>
              <w:gridCol w:w="960"/>
              <w:gridCol w:w="700"/>
              <w:gridCol w:w="682"/>
              <w:gridCol w:w="1068"/>
              <w:gridCol w:w="651"/>
              <w:gridCol w:w="821"/>
              <w:gridCol w:w="1014"/>
            </w:tblGrid>
            <w:tr w14:paraId="0B7FF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567" w:type="dxa"/>
                  <w:vMerge w:val="restart"/>
                  <w:vAlign w:val="center"/>
                </w:tcPr>
                <w:p w14:paraId="059BD550">
                  <w:pPr>
                    <w:adjustRightInd w:val="0"/>
                    <w:snapToGrid w:val="0"/>
                    <w:spacing w:line="240" w:lineRule="auto"/>
                    <w:ind w:firstLine="0" w:firstLineChars="0"/>
                    <w:jc w:val="center"/>
                    <w:rPr>
                      <w:color w:val="auto"/>
                      <w:sz w:val="21"/>
                      <w:szCs w:val="21"/>
                    </w:rPr>
                  </w:pPr>
                  <w:r>
                    <w:rPr>
                      <w:color w:val="auto"/>
                      <w:sz w:val="21"/>
                      <w:szCs w:val="21"/>
                    </w:rPr>
                    <w:t>序号</w:t>
                  </w:r>
                </w:p>
              </w:tc>
              <w:tc>
                <w:tcPr>
                  <w:tcW w:w="1276" w:type="dxa"/>
                  <w:vMerge w:val="restart"/>
                  <w:vAlign w:val="center"/>
                </w:tcPr>
                <w:p w14:paraId="225D793B">
                  <w:pPr>
                    <w:adjustRightInd w:val="0"/>
                    <w:snapToGrid w:val="0"/>
                    <w:spacing w:line="240" w:lineRule="auto"/>
                    <w:ind w:firstLine="0" w:firstLineChars="0"/>
                    <w:jc w:val="center"/>
                    <w:rPr>
                      <w:color w:val="auto"/>
                      <w:sz w:val="21"/>
                      <w:szCs w:val="21"/>
                    </w:rPr>
                  </w:pPr>
                  <w:r>
                    <w:rPr>
                      <w:color w:val="auto"/>
                      <w:sz w:val="21"/>
                      <w:szCs w:val="21"/>
                    </w:rPr>
                    <w:t>保护目标名称</w:t>
                  </w:r>
                </w:p>
              </w:tc>
              <w:tc>
                <w:tcPr>
                  <w:tcW w:w="1418" w:type="dxa"/>
                  <w:gridSpan w:val="2"/>
                  <w:vAlign w:val="center"/>
                </w:tcPr>
                <w:p w14:paraId="320DD03A">
                  <w:pPr>
                    <w:adjustRightInd w:val="0"/>
                    <w:snapToGrid w:val="0"/>
                    <w:spacing w:line="240" w:lineRule="auto"/>
                    <w:ind w:firstLine="0" w:firstLineChars="0"/>
                    <w:jc w:val="center"/>
                    <w:rPr>
                      <w:color w:val="auto"/>
                      <w:sz w:val="21"/>
                      <w:szCs w:val="21"/>
                    </w:rPr>
                  </w:pPr>
                  <w:r>
                    <w:rPr>
                      <w:color w:val="auto"/>
                      <w:sz w:val="21"/>
                      <w:szCs w:val="21"/>
                    </w:rPr>
                    <w:t>坐标</w:t>
                  </w:r>
                </w:p>
              </w:tc>
              <w:tc>
                <w:tcPr>
                  <w:tcW w:w="708" w:type="dxa"/>
                  <w:vMerge w:val="restart"/>
                  <w:vAlign w:val="center"/>
                </w:tcPr>
                <w:p w14:paraId="71FF00CD">
                  <w:pPr>
                    <w:adjustRightInd w:val="0"/>
                    <w:snapToGrid w:val="0"/>
                    <w:spacing w:line="240" w:lineRule="auto"/>
                    <w:ind w:firstLine="0" w:firstLineChars="0"/>
                    <w:jc w:val="center"/>
                    <w:rPr>
                      <w:color w:val="auto"/>
                      <w:sz w:val="21"/>
                      <w:szCs w:val="21"/>
                    </w:rPr>
                  </w:pPr>
                  <w:r>
                    <w:rPr>
                      <w:color w:val="auto"/>
                      <w:sz w:val="21"/>
                      <w:szCs w:val="21"/>
                    </w:rPr>
                    <w:t>保护对象</w:t>
                  </w:r>
                </w:p>
              </w:tc>
              <w:tc>
                <w:tcPr>
                  <w:tcW w:w="1112" w:type="dxa"/>
                  <w:vMerge w:val="restart"/>
                  <w:vAlign w:val="center"/>
                </w:tcPr>
                <w:p w14:paraId="44B63E44">
                  <w:pPr>
                    <w:adjustRightInd w:val="0"/>
                    <w:snapToGrid w:val="0"/>
                    <w:spacing w:line="240" w:lineRule="auto"/>
                    <w:ind w:firstLine="0" w:firstLineChars="0"/>
                    <w:jc w:val="center"/>
                    <w:rPr>
                      <w:color w:val="auto"/>
                      <w:sz w:val="21"/>
                      <w:szCs w:val="21"/>
                    </w:rPr>
                  </w:pPr>
                  <w:r>
                    <w:rPr>
                      <w:color w:val="auto"/>
                      <w:sz w:val="21"/>
                      <w:szCs w:val="21"/>
                    </w:rPr>
                    <w:t>保护内容</w:t>
                  </w:r>
                </w:p>
              </w:tc>
              <w:tc>
                <w:tcPr>
                  <w:tcW w:w="653" w:type="dxa"/>
                  <w:vMerge w:val="restart"/>
                  <w:vAlign w:val="center"/>
                </w:tcPr>
                <w:p w14:paraId="6F9C972C">
                  <w:pPr>
                    <w:adjustRightInd w:val="0"/>
                    <w:snapToGrid w:val="0"/>
                    <w:spacing w:line="240" w:lineRule="auto"/>
                    <w:ind w:firstLine="0" w:firstLineChars="0"/>
                    <w:jc w:val="center"/>
                    <w:rPr>
                      <w:color w:val="auto"/>
                      <w:sz w:val="21"/>
                      <w:szCs w:val="21"/>
                    </w:rPr>
                  </w:pPr>
                  <w:r>
                    <w:rPr>
                      <w:color w:val="auto"/>
                      <w:sz w:val="21"/>
                      <w:szCs w:val="21"/>
                    </w:rPr>
                    <w:t>环境功能区</w:t>
                  </w:r>
                </w:p>
              </w:tc>
              <w:tc>
                <w:tcPr>
                  <w:tcW w:w="851" w:type="dxa"/>
                  <w:vMerge w:val="restart"/>
                  <w:vAlign w:val="center"/>
                </w:tcPr>
                <w:p w14:paraId="4E5522EC">
                  <w:pPr>
                    <w:adjustRightInd w:val="0"/>
                    <w:snapToGrid w:val="0"/>
                    <w:spacing w:line="240" w:lineRule="auto"/>
                    <w:ind w:firstLine="0" w:firstLineChars="0"/>
                    <w:jc w:val="center"/>
                    <w:rPr>
                      <w:color w:val="auto"/>
                      <w:sz w:val="21"/>
                      <w:szCs w:val="21"/>
                    </w:rPr>
                  </w:pPr>
                  <w:r>
                    <w:rPr>
                      <w:color w:val="auto"/>
                      <w:sz w:val="21"/>
                      <w:szCs w:val="21"/>
                    </w:rPr>
                    <w:t>相对厂址方位</w:t>
                  </w:r>
                </w:p>
              </w:tc>
              <w:tc>
                <w:tcPr>
                  <w:tcW w:w="1062" w:type="dxa"/>
                  <w:vMerge w:val="restart"/>
                  <w:vAlign w:val="center"/>
                </w:tcPr>
                <w:p w14:paraId="274C1D3F">
                  <w:pPr>
                    <w:adjustRightInd w:val="0"/>
                    <w:snapToGrid w:val="0"/>
                    <w:spacing w:line="240" w:lineRule="auto"/>
                    <w:ind w:firstLine="0" w:firstLineChars="0"/>
                    <w:jc w:val="center"/>
                    <w:rPr>
                      <w:color w:val="auto"/>
                      <w:sz w:val="21"/>
                      <w:szCs w:val="21"/>
                    </w:rPr>
                  </w:pPr>
                  <w:r>
                    <w:rPr>
                      <w:color w:val="auto"/>
                      <w:sz w:val="21"/>
                      <w:szCs w:val="21"/>
                    </w:rPr>
                    <w:t>相对厂界距离/m</w:t>
                  </w:r>
                </w:p>
              </w:tc>
            </w:tr>
            <w:tr w14:paraId="2BAD3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Merge w:val="continue"/>
                  <w:vAlign w:val="center"/>
                </w:tcPr>
                <w:p w14:paraId="15EC0427">
                  <w:pPr>
                    <w:adjustRightInd w:val="0"/>
                    <w:snapToGrid w:val="0"/>
                    <w:spacing w:line="240" w:lineRule="auto"/>
                    <w:ind w:firstLine="0" w:firstLineChars="0"/>
                    <w:jc w:val="center"/>
                    <w:rPr>
                      <w:color w:val="auto"/>
                      <w:sz w:val="21"/>
                      <w:szCs w:val="21"/>
                    </w:rPr>
                  </w:pPr>
                </w:p>
              </w:tc>
              <w:tc>
                <w:tcPr>
                  <w:tcW w:w="1276" w:type="dxa"/>
                  <w:vMerge w:val="continue"/>
                  <w:vAlign w:val="center"/>
                </w:tcPr>
                <w:p w14:paraId="3F70B25F">
                  <w:pPr>
                    <w:adjustRightInd w:val="0"/>
                    <w:snapToGrid w:val="0"/>
                    <w:spacing w:line="240" w:lineRule="auto"/>
                    <w:ind w:firstLine="0" w:firstLineChars="0"/>
                    <w:jc w:val="center"/>
                    <w:rPr>
                      <w:color w:val="auto"/>
                      <w:sz w:val="21"/>
                      <w:szCs w:val="21"/>
                    </w:rPr>
                  </w:pPr>
                </w:p>
              </w:tc>
              <w:tc>
                <w:tcPr>
                  <w:tcW w:w="709" w:type="dxa"/>
                  <w:vAlign w:val="center"/>
                </w:tcPr>
                <w:p w14:paraId="552411AA">
                  <w:pPr>
                    <w:adjustRightInd w:val="0"/>
                    <w:snapToGrid w:val="0"/>
                    <w:spacing w:line="240" w:lineRule="auto"/>
                    <w:ind w:firstLine="0" w:firstLineChars="0"/>
                    <w:jc w:val="center"/>
                    <w:rPr>
                      <w:color w:val="auto"/>
                      <w:sz w:val="21"/>
                      <w:szCs w:val="21"/>
                    </w:rPr>
                  </w:pPr>
                  <w:r>
                    <w:rPr>
                      <w:color w:val="auto"/>
                      <w:sz w:val="21"/>
                      <w:szCs w:val="21"/>
                    </w:rPr>
                    <w:t>X</w:t>
                  </w:r>
                </w:p>
              </w:tc>
              <w:tc>
                <w:tcPr>
                  <w:tcW w:w="709" w:type="dxa"/>
                  <w:vAlign w:val="center"/>
                </w:tcPr>
                <w:p w14:paraId="478D909D">
                  <w:pPr>
                    <w:adjustRightInd w:val="0"/>
                    <w:snapToGrid w:val="0"/>
                    <w:spacing w:line="240" w:lineRule="auto"/>
                    <w:ind w:firstLine="0" w:firstLineChars="0"/>
                    <w:jc w:val="center"/>
                    <w:rPr>
                      <w:color w:val="auto"/>
                      <w:sz w:val="21"/>
                      <w:szCs w:val="21"/>
                    </w:rPr>
                  </w:pPr>
                  <w:r>
                    <w:rPr>
                      <w:color w:val="auto"/>
                      <w:sz w:val="21"/>
                      <w:szCs w:val="21"/>
                    </w:rPr>
                    <w:t>Y</w:t>
                  </w:r>
                </w:p>
              </w:tc>
              <w:tc>
                <w:tcPr>
                  <w:tcW w:w="708" w:type="dxa"/>
                  <w:vMerge w:val="continue"/>
                  <w:vAlign w:val="center"/>
                </w:tcPr>
                <w:p w14:paraId="4D1CF52B">
                  <w:pPr>
                    <w:adjustRightInd w:val="0"/>
                    <w:snapToGrid w:val="0"/>
                    <w:spacing w:line="240" w:lineRule="auto"/>
                    <w:ind w:firstLine="0" w:firstLineChars="0"/>
                    <w:jc w:val="center"/>
                    <w:rPr>
                      <w:color w:val="auto"/>
                      <w:sz w:val="21"/>
                      <w:szCs w:val="21"/>
                    </w:rPr>
                  </w:pPr>
                </w:p>
              </w:tc>
              <w:tc>
                <w:tcPr>
                  <w:tcW w:w="1112" w:type="dxa"/>
                  <w:vMerge w:val="continue"/>
                  <w:vAlign w:val="center"/>
                </w:tcPr>
                <w:p w14:paraId="3AAAB484">
                  <w:pPr>
                    <w:adjustRightInd w:val="0"/>
                    <w:snapToGrid w:val="0"/>
                    <w:spacing w:line="240" w:lineRule="auto"/>
                    <w:ind w:firstLine="0" w:firstLineChars="0"/>
                    <w:jc w:val="center"/>
                    <w:rPr>
                      <w:color w:val="auto"/>
                      <w:sz w:val="21"/>
                      <w:szCs w:val="21"/>
                    </w:rPr>
                  </w:pPr>
                </w:p>
              </w:tc>
              <w:tc>
                <w:tcPr>
                  <w:tcW w:w="653" w:type="dxa"/>
                  <w:vMerge w:val="continue"/>
                  <w:vAlign w:val="center"/>
                </w:tcPr>
                <w:p w14:paraId="0B4023A0">
                  <w:pPr>
                    <w:adjustRightInd w:val="0"/>
                    <w:snapToGrid w:val="0"/>
                    <w:spacing w:line="240" w:lineRule="auto"/>
                    <w:ind w:firstLine="0" w:firstLineChars="0"/>
                    <w:jc w:val="center"/>
                    <w:rPr>
                      <w:color w:val="auto"/>
                      <w:sz w:val="21"/>
                      <w:szCs w:val="21"/>
                    </w:rPr>
                  </w:pPr>
                </w:p>
              </w:tc>
              <w:tc>
                <w:tcPr>
                  <w:tcW w:w="851" w:type="dxa"/>
                  <w:vMerge w:val="continue"/>
                  <w:vAlign w:val="center"/>
                </w:tcPr>
                <w:p w14:paraId="2FDB12F9">
                  <w:pPr>
                    <w:adjustRightInd w:val="0"/>
                    <w:snapToGrid w:val="0"/>
                    <w:spacing w:line="240" w:lineRule="auto"/>
                    <w:ind w:firstLine="0" w:firstLineChars="0"/>
                    <w:jc w:val="center"/>
                    <w:rPr>
                      <w:color w:val="auto"/>
                      <w:sz w:val="21"/>
                      <w:szCs w:val="21"/>
                    </w:rPr>
                  </w:pPr>
                </w:p>
              </w:tc>
              <w:tc>
                <w:tcPr>
                  <w:tcW w:w="1062" w:type="dxa"/>
                  <w:vMerge w:val="continue"/>
                  <w:vAlign w:val="center"/>
                </w:tcPr>
                <w:p w14:paraId="15C79AB5">
                  <w:pPr>
                    <w:adjustRightInd w:val="0"/>
                    <w:snapToGrid w:val="0"/>
                    <w:spacing w:line="240" w:lineRule="auto"/>
                    <w:ind w:firstLine="0" w:firstLineChars="0"/>
                    <w:jc w:val="center"/>
                    <w:rPr>
                      <w:color w:val="auto"/>
                      <w:sz w:val="21"/>
                      <w:szCs w:val="21"/>
                    </w:rPr>
                  </w:pPr>
                </w:p>
              </w:tc>
            </w:tr>
            <w:tr w14:paraId="30B6D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7" w:type="dxa"/>
                  <w:gridSpan w:val="9"/>
                  <w:vAlign w:val="center"/>
                </w:tcPr>
                <w:p w14:paraId="01F2AFF7">
                  <w:pPr>
                    <w:adjustRightInd w:val="0"/>
                    <w:snapToGrid w:val="0"/>
                    <w:spacing w:line="240" w:lineRule="auto"/>
                    <w:ind w:firstLine="0" w:firstLineChars="0"/>
                    <w:jc w:val="center"/>
                    <w:rPr>
                      <w:color w:val="auto"/>
                      <w:sz w:val="21"/>
                      <w:szCs w:val="21"/>
                    </w:rPr>
                  </w:pPr>
                  <w:r>
                    <w:rPr>
                      <w:color w:val="auto"/>
                      <w:sz w:val="21"/>
                      <w:szCs w:val="21"/>
                    </w:rPr>
                    <w:t>大气环境</w:t>
                  </w:r>
                </w:p>
              </w:tc>
            </w:tr>
            <w:tr w14:paraId="228F9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567" w:type="dxa"/>
                  <w:vAlign w:val="center"/>
                </w:tcPr>
                <w:p w14:paraId="678363BE">
                  <w:pPr>
                    <w:adjustRightInd w:val="0"/>
                    <w:snapToGrid w:val="0"/>
                    <w:spacing w:line="240" w:lineRule="auto"/>
                    <w:ind w:firstLine="0" w:firstLineChars="0"/>
                    <w:jc w:val="center"/>
                    <w:rPr>
                      <w:color w:val="auto"/>
                      <w:sz w:val="21"/>
                      <w:szCs w:val="21"/>
                    </w:rPr>
                  </w:pPr>
                  <w:r>
                    <w:rPr>
                      <w:color w:val="auto"/>
                      <w:sz w:val="21"/>
                      <w:szCs w:val="21"/>
                    </w:rPr>
                    <w:t>1</w:t>
                  </w:r>
                </w:p>
              </w:tc>
              <w:tc>
                <w:tcPr>
                  <w:tcW w:w="1276" w:type="dxa"/>
                  <w:vAlign w:val="center"/>
                </w:tcPr>
                <w:p w14:paraId="73250F29">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江城村</w:t>
                  </w:r>
                </w:p>
              </w:tc>
              <w:tc>
                <w:tcPr>
                  <w:tcW w:w="709" w:type="dxa"/>
                  <w:vAlign w:val="center"/>
                </w:tcPr>
                <w:p w14:paraId="00C17DF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-322~250</w:t>
                  </w:r>
                </w:p>
              </w:tc>
              <w:tc>
                <w:tcPr>
                  <w:tcW w:w="709" w:type="dxa"/>
                  <w:vAlign w:val="center"/>
                </w:tcPr>
                <w:p w14:paraId="5892CB5D">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-30~-500</w:t>
                  </w:r>
                </w:p>
              </w:tc>
              <w:tc>
                <w:tcPr>
                  <w:tcW w:w="708" w:type="dxa"/>
                  <w:vAlign w:val="center"/>
                </w:tcPr>
                <w:p w14:paraId="0C47C772">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003A2A92">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3000</w:t>
                  </w:r>
                  <w:r>
                    <w:rPr>
                      <w:color w:val="auto"/>
                      <w:sz w:val="21"/>
                      <w:szCs w:val="21"/>
                    </w:rPr>
                    <w:t>人</w:t>
                  </w:r>
                </w:p>
              </w:tc>
              <w:tc>
                <w:tcPr>
                  <w:tcW w:w="653" w:type="dxa"/>
                  <w:vMerge w:val="restart"/>
                  <w:vAlign w:val="center"/>
                </w:tcPr>
                <w:p w14:paraId="00B8E2FB">
                  <w:pPr>
                    <w:adjustRightInd w:val="0"/>
                    <w:snapToGrid w:val="0"/>
                    <w:spacing w:line="240" w:lineRule="auto"/>
                    <w:ind w:firstLine="0" w:firstLineChars="0"/>
                    <w:jc w:val="center"/>
                    <w:rPr>
                      <w:color w:val="auto"/>
                      <w:sz w:val="21"/>
                      <w:szCs w:val="21"/>
                    </w:rPr>
                  </w:pPr>
                  <w:r>
                    <w:rPr>
                      <w:color w:val="auto"/>
                      <w:sz w:val="21"/>
                      <w:szCs w:val="21"/>
                    </w:rPr>
                    <w:t>大气环境：二类功能区</w:t>
                  </w:r>
                </w:p>
              </w:tc>
              <w:tc>
                <w:tcPr>
                  <w:tcW w:w="851" w:type="dxa"/>
                  <w:vAlign w:val="center"/>
                </w:tcPr>
                <w:p w14:paraId="247AF8CC">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S</w:t>
                  </w:r>
                </w:p>
              </w:tc>
              <w:tc>
                <w:tcPr>
                  <w:tcW w:w="1062" w:type="dxa"/>
                  <w:vAlign w:val="center"/>
                </w:tcPr>
                <w:p w14:paraId="2E958E1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w:t>
                  </w:r>
                </w:p>
              </w:tc>
            </w:tr>
            <w:tr w14:paraId="4F98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F06EB89">
                  <w:pPr>
                    <w:adjustRightInd w:val="0"/>
                    <w:snapToGrid w:val="0"/>
                    <w:spacing w:line="240" w:lineRule="auto"/>
                    <w:ind w:firstLine="0" w:firstLineChars="0"/>
                    <w:jc w:val="center"/>
                    <w:rPr>
                      <w:color w:val="auto"/>
                      <w:sz w:val="21"/>
                      <w:szCs w:val="21"/>
                    </w:rPr>
                  </w:pPr>
                  <w:r>
                    <w:rPr>
                      <w:color w:val="auto"/>
                      <w:sz w:val="21"/>
                      <w:szCs w:val="21"/>
                    </w:rPr>
                    <w:t>2</w:t>
                  </w:r>
                </w:p>
              </w:tc>
              <w:tc>
                <w:tcPr>
                  <w:tcW w:w="1276" w:type="dxa"/>
                  <w:vAlign w:val="center"/>
                </w:tcPr>
                <w:p w14:paraId="1D98BB94">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童话幼儿园</w:t>
                  </w:r>
                </w:p>
              </w:tc>
              <w:tc>
                <w:tcPr>
                  <w:tcW w:w="709" w:type="dxa"/>
                  <w:vAlign w:val="center"/>
                </w:tcPr>
                <w:p w14:paraId="2C37FD0F">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103</w:t>
                  </w:r>
                </w:p>
              </w:tc>
              <w:tc>
                <w:tcPr>
                  <w:tcW w:w="709" w:type="dxa"/>
                  <w:vAlign w:val="center"/>
                </w:tcPr>
                <w:p w14:paraId="576D7D83">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-80</w:t>
                  </w:r>
                </w:p>
              </w:tc>
              <w:tc>
                <w:tcPr>
                  <w:tcW w:w="708" w:type="dxa"/>
                  <w:vAlign w:val="center"/>
                </w:tcPr>
                <w:p w14:paraId="78B5B76A">
                  <w:pPr>
                    <w:adjustRightInd w:val="0"/>
                    <w:snapToGrid w:val="0"/>
                    <w:spacing w:line="240" w:lineRule="auto"/>
                    <w:ind w:firstLine="0" w:firstLineChars="0"/>
                    <w:jc w:val="center"/>
                    <w:rPr>
                      <w:color w:val="auto"/>
                      <w:sz w:val="21"/>
                      <w:szCs w:val="21"/>
                    </w:rPr>
                  </w:pPr>
                  <w:r>
                    <w:rPr>
                      <w:color w:val="auto"/>
                      <w:sz w:val="21"/>
                      <w:szCs w:val="21"/>
                    </w:rPr>
                    <w:t>学校</w:t>
                  </w:r>
                </w:p>
              </w:tc>
              <w:tc>
                <w:tcPr>
                  <w:tcW w:w="1112" w:type="dxa"/>
                  <w:vAlign w:val="center"/>
                </w:tcPr>
                <w:p w14:paraId="2376DC6F">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200</w:t>
                  </w:r>
                  <w:r>
                    <w:rPr>
                      <w:color w:val="auto"/>
                      <w:sz w:val="21"/>
                      <w:szCs w:val="21"/>
                    </w:rPr>
                    <w:t>人</w:t>
                  </w:r>
                </w:p>
              </w:tc>
              <w:tc>
                <w:tcPr>
                  <w:tcW w:w="653" w:type="dxa"/>
                  <w:vMerge w:val="continue"/>
                  <w:vAlign w:val="center"/>
                </w:tcPr>
                <w:p w14:paraId="084791D2">
                  <w:pPr>
                    <w:adjustRightInd w:val="0"/>
                    <w:snapToGrid w:val="0"/>
                    <w:spacing w:line="240" w:lineRule="auto"/>
                    <w:ind w:firstLine="0" w:firstLineChars="0"/>
                    <w:jc w:val="center"/>
                    <w:rPr>
                      <w:color w:val="auto"/>
                      <w:sz w:val="21"/>
                      <w:szCs w:val="21"/>
                    </w:rPr>
                  </w:pPr>
                </w:p>
              </w:tc>
              <w:tc>
                <w:tcPr>
                  <w:tcW w:w="851" w:type="dxa"/>
                  <w:vAlign w:val="center"/>
                </w:tcPr>
                <w:p w14:paraId="039B6405">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ES</w:t>
                  </w:r>
                </w:p>
              </w:tc>
              <w:tc>
                <w:tcPr>
                  <w:tcW w:w="1062" w:type="dxa"/>
                  <w:vAlign w:val="center"/>
                </w:tcPr>
                <w:p w14:paraId="7E43CDB2">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135</w:t>
                  </w:r>
                </w:p>
              </w:tc>
            </w:tr>
            <w:tr w14:paraId="2EB12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6566448C">
                  <w:pPr>
                    <w:adjustRightInd w:val="0"/>
                    <w:snapToGrid w:val="0"/>
                    <w:spacing w:line="240" w:lineRule="auto"/>
                    <w:ind w:firstLine="0" w:firstLineChars="0"/>
                    <w:jc w:val="center"/>
                    <w:rPr>
                      <w:color w:val="auto"/>
                      <w:sz w:val="21"/>
                      <w:szCs w:val="21"/>
                    </w:rPr>
                  </w:pPr>
                  <w:r>
                    <w:rPr>
                      <w:color w:val="auto"/>
                      <w:sz w:val="21"/>
                      <w:szCs w:val="21"/>
                    </w:rPr>
                    <w:t>3</w:t>
                  </w:r>
                </w:p>
              </w:tc>
              <w:tc>
                <w:tcPr>
                  <w:tcW w:w="1276" w:type="dxa"/>
                  <w:vAlign w:val="center"/>
                </w:tcPr>
                <w:p w14:paraId="0CA435CE">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江城镇华怡雅苑</w:t>
                  </w:r>
                </w:p>
              </w:tc>
              <w:tc>
                <w:tcPr>
                  <w:tcW w:w="709" w:type="dxa"/>
                  <w:vAlign w:val="center"/>
                </w:tcPr>
                <w:p w14:paraId="2652C00E">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163</w:t>
                  </w:r>
                </w:p>
              </w:tc>
              <w:tc>
                <w:tcPr>
                  <w:tcW w:w="709" w:type="dxa"/>
                  <w:vAlign w:val="center"/>
                </w:tcPr>
                <w:p w14:paraId="3B41CFA7">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-60</w:t>
                  </w:r>
                </w:p>
              </w:tc>
              <w:tc>
                <w:tcPr>
                  <w:tcW w:w="708" w:type="dxa"/>
                  <w:vAlign w:val="center"/>
                </w:tcPr>
                <w:p w14:paraId="5C5F5414">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219E9FCD">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300</w:t>
                  </w:r>
                  <w:r>
                    <w:rPr>
                      <w:color w:val="auto"/>
                      <w:sz w:val="21"/>
                      <w:szCs w:val="21"/>
                    </w:rPr>
                    <w:t>人</w:t>
                  </w:r>
                </w:p>
              </w:tc>
              <w:tc>
                <w:tcPr>
                  <w:tcW w:w="653" w:type="dxa"/>
                  <w:vMerge w:val="continue"/>
                  <w:vAlign w:val="center"/>
                </w:tcPr>
                <w:p w14:paraId="3FBC462D">
                  <w:pPr>
                    <w:adjustRightInd w:val="0"/>
                    <w:snapToGrid w:val="0"/>
                    <w:spacing w:line="240" w:lineRule="auto"/>
                    <w:ind w:firstLine="0" w:firstLineChars="0"/>
                    <w:jc w:val="center"/>
                    <w:rPr>
                      <w:color w:val="auto"/>
                      <w:sz w:val="21"/>
                      <w:szCs w:val="21"/>
                    </w:rPr>
                  </w:pPr>
                </w:p>
              </w:tc>
              <w:tc>
                <w:tcPr>
                  <w:tcW w:w="851" w:type="dxa"/>
                  <w:vAlign w:val="center"/>
                </w:tcPr>
                <w:p w14:paraId="06598ADA">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ES</w:t>
                  </w:r>
                </w:p>
              </w:tc>
              <w:tc>
                <w:tcPr>
                  <w:tcW w:w="1062" w:type="dxa"/>
                  <w:vAlign w:val="center"/>
                </w:tcPr>
                <w:p w14:paraId="6C0F1E1C">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166</w:t>
                  </w:r>
                </w:p>
              </w:tc>
            </w:tr>
            <w:tr w14:paraId="468F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AF98EE7">
                  <w:pPr>
                    <w:adjustRightInd w:val="0"/>
                    <w:snapToGrid w:val="0"/>
                    <w:spacing w:line="240" w:lineRule="auto"/>
                    <w:ind w:firstLine="0" w:firstLineChars="0"/>
                    <w:jc w:val="center"/>
                    <w:rPr>
                      <w:color w:val="auto"/>
                      <w:sz w:val="21"/>
                      <w:szCs w:val="21"/>
                    </w:rPr>
                  </w:pPr>
                  <w:r>
                    <w:rPr>
                      <w:color w:val="auto"/>
                      <w:sz w:val="21"/>
                      <w:szCs w:val="21"/>
                    </w:rPr>
                    <w:t>4</w:t>
                  </w:r>
                </w:p>
              </w:tc>
              <w:tc>
                <w:tcPr>
                  <w:tcW w:w="1276" w:type="dxa"/>
                  <w:vAlign w:val="center"/>
                </w:tcPr>
                <w:p w14:paraId="40BA564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江城镇中学</w:t>
                  </w:r>
                </w:p>
              </w:tc>
              <w:tc>
                <w:tcPr>
                  <w:tcW w:w="709" w:type="dxa"/>
                  <w:vAlign w:val="center"/>
                </w:tcPr>
                <w:p w14:paraId="18EC811E">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291</w:t>
                  </w:r>
                </w:p>
              </w:tc>
              <w:tc>
                <w:tcPr>
                  <w:tcW w:w="709" w:type="dxa"/>
                  <w:vAlign w:val="center"/>
                </w:tcPr>
                <w:p w14:paraId="242E262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161</w:t>
                  </w:r>
                </w:p>
              </w:tc>
              <w:tc>
                <w:tcPr>
                  <w:tcW w:w="708" w:type="dxa"/>
                  <w:vAlign w:val="center"/>
                </w:tcPr>
                <w:p w14:paraId="49095C98">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学校</w:t>
                  </w:r>
                </w:p>
              </w:tc>
              <w:tc>
                <w:tcPr>
                  <w:tcW w:w="1112" w:type="dxa"/>
                  <w:vAlign w:val="center"/>
                </w:tcPr>
                <w:p w14:paraId="26E95510">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300</w:t>
                  </w:r>
                  <w:r>
                    <w:rPr>
                      <w:color w:val="auto"/>
                      <w:sz w:val="21"/>
                      <w:szCs w:val="21"/>
                    </w:rPr>
                    <w:t>人</w:t>
                  </w:r>
                </w:p>
              </w:tc>
              <w:tc>
                <w:tcPr>
                  <w:tcW w:w="653" w:type="dxa"/>
                  <w:vMerge w:val="continue"/>
                  <w:vAlign w:val="center"/>
                </w:tcPr>
                <w:p w14:paraId="3C4B6275">
                  <w:pPr>
                    <w:adjustRightInd w:val="0"/>
                    <w:snapToGrid w:val="0"/>
                    <w:spacing w:line="240" w:lineRule="auto"/>
                    <w:ind w:firstLine="0" w:firstLineChars="0"/>
                    <w:jc w:val="center"/>
                    <w:rPr>
                      <w:color w:val="auto"/>
                      <w:sz w:val="21"/>
                      <w:szCs w:val="21"/>
                    </w:rPr>
                  </w:pPr>
                </w:p>
              </w:tc>
              <w:tc>
                <w:tcPr>
                  <w:tcW w:w="851" w:type="dxa"/>
                  <w:vAlign w:val="center"/>
                </w:tcPr>
                <w:p w14:paraId="3FB59D40">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4C2B084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320</w:t>
                  </w:r>
                </w:p>
              </w:tc>
            </w:tr>
            <w:tr w14:paraId="0CA61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7D5D54B9">
                  <w:pPr>
                    <w:adjustRightInd w:val="0"/>
                    <w:snapToGrid w:val="0"/>
                    <w:spacing w:line="240" w:lineRule="auto"/>
                    <w:ind w:firstLine="0" w:firstLineChars="0"/>
                    <w:jc w:val="center"/>
                    <w:rPr>
                      <w:color w:val="auto"/>
                      <w:sz w:val="21"/>
                      <w:szCs w:val="21"/>
                    </w:rPr>
                  </w:pPr>
                  <w:r>
                    <w:rPr>
                      <w:color w:val="auto"/>
                      <w:sz w:val="21"/>
                      <w:szCs w:val="21"/>
                    </w:rPr>
                    <w:t>5</w:t>
                  </w:r>
                </w:p>
              </w:tc>
              <w:tc>
                <w:tcPr>
                  <w:tcW w:w="1276" w:type="dxa"/>
                  <w:vAlign w:val="center"/>
                </w:tcPr>
                <w:p w14:paraId="2394F48A">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江城邮政支局</w:t>
                  </w:r>
                </w:p>
              </w:tc>
              <w:tc>
                <w:tcPr>
                  <w:tcW w:w="709" w:type="dxa"/>
                  <w:vAlign w:val="center"/>
                </w:tcPr>
                <w:p w14:paraId="7C1DD4C4">
                  <w:pPr>
                    <w:adjustRightInd w:val="0"/>
                    <w:snapToGrid w:val="0"/>
                    <w:spacing w:line="240" w:lineRule="auto"/>
                    <w:ind w:firstLine="0" w:firstLineChars="0"/>
                    <w:jc w:val="center"/>
                    <w:rPr>
                      <w:color w:val="auto"/>
                      <w:sz w:val="21"/>
                      <w:szCs w:val="21"/>
                    </w:rPr>
                  </w:pPr>
                  <w:r>
                    <w:rPr>
                      <w:color w:val="auto"/>
                      <w:sz w:val="21"/>
                      <w:szCs w:val="21"/>
                    </w:rPr>
                    <w:t>271</w:t>
                  </w:r>
                </w:p>
              </w:tc>
              <w:tc>
                <w:tcPr>
                  <w:tcW w:w="709" w:type="dxa"/>
                  <w:vAlign w:val="center"/>
                </w:tcPr>
                <w:p w14:paraId="50241E1A">
                  <w:pPr>
                    <w:adjustRightInd w:val="0"/>
                    <w:snapToGrid w:val="0"/>
                    <w:spacing w:line="240" w:lineRule="auto"/>
                    <w:ind w:firstLine="0" w:firstLineChars="0"/>
                    <w:jc w:val="center"/>
                    <w:rPr>
                      <w:color w:val="auto"/>
                      <w:sz w:val="21"/>
                      <w:szCs w:val="21"/>
                    </w:rPr>
                  </w:pPr>
                  <w:r>
                    <w:rPr>
                      <w:color w:val="auto"/>
                      <w:sz w:val="21"/>
                      <w:szCs w:val="21"/>
                    </w:rPr>
                    <w:t>-450</w:t>
                  </w:r>
                </w:p>
              </w:tc>
              <w:tc>
                <w:tcPr>
                  <w:tcW w:w="708" w:type="dxa"/>
                  <w:vAlign w:val="center"/>
                </w:tcPr>
                <w:p w14:paraId="2A0B3B6A">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事业单位</w:t>
                  </w:r>
                </w:p>
              </w:tc>
              <w:tc>
                <w:tcPr>
                  <w:tcW w:w="1112" w:type="dxa"/>
                  <w:vAlign w:val="center"/>
                </w:tcPr>
                <w:p w14:paraId="4358E420">
                  <w:pPr>
                    <w:adjustRightInd w:val="0"/>
                    <w:snapToGrid w:val="0"/>
                    <w:spacing w:line="240" w:lineRule="auto"/>
                    <w:ind w:firstLine="0" w:firstLineChars="0"/>
                    <w:jc w:val="center"/>
                    <w:rPr>
                      <w:color w:val="auto"/>
                      <w:sz w:val="21"/>
                      <w:szCs w:val="21"/>
                    </w:rPr>
                  </w:pPr>
                  <w:r>
                    <w:rPr>
                      <w:color w:val="auto"/>
                      <w:sz w:val="21"/>
                      <w:szCs w:val="21"/>
                    </w:rPr>
                    <w:t>约300人</w:t>
                  </w:r>
                </w:p>
              </w:tc>
              <w:tc>
                <w:tcPr>
                  <w:tcW w:w="653" w:type="dxa"/>
                  <w:vMerge w:val="continue"/>
                  <w:vAlign w:val="center"/>
                </w:tcPr>
                <w:p w14:paraId="378B30E2">
                  <w:pPr>
                    <w:adjustRightInd w:val="0"/>
                    <w:snapToGrid w:val="0"/>
                    <w:spacing w:line="240" w:lineRule="auto"/>
                    <w:ind w:firstLine="0" w:firstLineChars="0"/>
                    <w:jc w:val="center"/>
                    <w:rPr>
                      <w:color w:val="auto"/>
                      <w:sz w:val="21"/>
                      <w:szCs w:val="21"/>
                    </w:rPr>
                  </w:pPr>
                </w:p>
              </w:tc>
              <w:tc>
                <w:tcPr>
                  <w:tcW w:w="851" w:type="dxa"/>
                  <w:vAlign w:val="center"/>
                </w:tcPr>
                <w:p w14:paraId="6B6B87D5">
                  <w:pPr>
                    <w:adjustRightInd w:val="0"/>
                    <w:snapToGrid w:val="0"/>
                    <w:spacing w:line="240" w:lineRule="auto"/>
                    <w:ind w:firstLine="0" w:firstLineChars="0"/>
                    <w:jc w:val="center"/>
                    <w:rPr>
                      <w:color w:val="auto"/>
                      <w:sz w:val="21"/>
                      <w:szCs w:val="21"/>
                    </w:rPr>
                  </w:pPr>
                  <w:r>
                    <w:rPr>
                      <w:color w:val="auto"/>
                      <w:sz w:val="21"/>
                      <w:szCs w:val="21"/>
                    </w:rPr>
                    <w:t>ES</w:t>
                  </w:r>
                </w:p>
              </w:tc>
              <w:tc>
                <w:tcPr>
                  <w:tcW w:w="1062" w:type="dxa"/>
                  <w:vAlign w:val="center"/>
                </w:tcPr>
                <w:p w14:paraId="0E618EDF">
                  <w:pPr>
                    <w:adjustRightInd w:val="0"/>
                    <w:snapToGrid w:val="0"/>
                    <w:spacing w:line="240" w:lineRule="auto"/>
                    <w:ind w:firstLine="0" w:firstLineChars="0"/>
                    <w:jc w:val="center"/>
                    <w:rPr>
                      <w:color w:val="auto"/>
                      <w:sz w:val="21"/>
                      <w:szCs w:val="21"/>
                    </w:rPr>
                  </w:pPr>
                  <w:r>
                    <w:rPr>
                      <w:color w:val="auto"/>
                      <w:sz w:val="21"/>
                      <w:szCs w:val="21"/>
                    </w:rPr>
                    <w:t>441</w:t>
                  </w:r>
                </w:p>
              </w:tc>
            </w:tr>
            <w:tr w14:paraId="224F9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69B37224">
                  <w:pPr>
                    <w:adjustRightInd w:val="0"/>
                    <w:snapToGrid w:val="0"/>
                    <w:spacing w:line="240" w:lineRule="auto"/>
                    <w:ind w:firstLine="0" w:firstLineChars="0"/>
                    <w:jc w:val="center"/>
                    <w:rPr>
                      <w:color w:val="auto"/>
                      <w:sz w:val="21"/>
                      <w:szCs w:val="21"/>
                    </w:rPr>
                  </w:pPr>
                  <w:r>
                    <w:rPr>
                      <w:color w:val="auto"/>
                      <w:sz w:val="21"/>
                      <w:szCs w:val="21"/>
                    </w:rPr>
                    <w:t>6</w:t>
                  </w:r>
                </w:p>
              </w:tc>
              <w:tc>
                <w:tcPr>
                  <w:tcW w:w="1276" w:type="dxa"/>
                  <w:vAlign w:val="center"/>
                </w:tcPr>
                <w:p w14:paraId="0C7AC4C9">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江城社区具名委员会</w:t>
                  </w:r>
                </w:p>
              </w:tc>
              <w:tc>
                <w:tcPr>
                  <w:tcW w:w="709" w:type="dxa"/>
                  <w:vAlign w:val="center"/>
                </w:tcPr>
                <w:p w14:paraId="18F9B32B">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-134</w:t>
                  </w:r>
                </w:p>
              </w:tc>
              <w:tc>
                <w:tcPr>
                  <w:tcW w:w="709" w:type="dxa"/>
                  <w:vAlign w:val="center"/>
                </w:tcPr>
                <w:p w14:paraId="18C76FB0">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-362</w:t>
                  </w:r>
                </w:p>
              </w:tc>
              <w:tc>
                <w:tcPr>
                  <w:tcW w:w="708" w:type="dxa"/>
                  <w:vAlign w:val="center"/>
                </w:tcPr>
                <w:p w14:paraId="7CFB3E04">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事业单位</w:t>
                  </w:r>
                </w:p>
              </w:tc>
              <w:tc>
                <w:tcPr>
                  <w:tcW w:w="1112" w:type="dxa"/>
                  <w:vAlign w:val="center"/>
                </w:tcPr>
                <w:p w14:paraId="042BB4D3">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20</w:t>
                  </w:r>
                  <w:r>
                    <w:rPr>
                      <w:color w:val="auto"/>
                      <w:sz w:val="21"/>
                      <w:szCs w:val="21"/>
                    </w:rPr>
                    <w:t>人</w:t>
                  </w:r>
                </w:p>
              </w:tc>
              <w:tc>
                <w:tcPr>
                  <w:tcW w:w="653" w:type="dxa"/>
                  <w:vMerge w:val="continue"/>
                  <w:vAlign w:val="center"/>
                </w:tcPr>
                <w:p w14:paraId="1C6DC0D9">
                  <w:pPr>
                    <w:adjustRightInd w:val="0"/>
                    <w:snapToGrid w:val="0"/>
                    <w:spacing w:line="240" w:lineRule="auto"/>
                    <w:ind w:firstLine="0" w:firstLineChars="0"/>
                    <w:jc w:val="center"/>
                    <w:rPr>
                      <w:color w:val="auto"/>
                      <w:sz w:val="21"/>
                      <w:szCs w:val="21"/>
                    </w:rPr>
                  </w:pPr>
                </w:p>
              </w:tc>
              <w:tc>
                <w:tcPr>
                  <w:tcW w:w="851" w:type="dxa"/>
                  <w:vAlign w:val="center"/>
                </w:tcPr>
                <w:p w14:paraId="6DB734CF">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W</w:t>
                  </w:r>
                  <w:r>
                    <w:rPr>
                      <w:color w:val="auto"/>
                      <w:sz w:val="21"/>
                      <w:szCs w:val="21"/>
                    </w:rPr>
                    <w:t>S</w:t>
                  </w:r>
                </w:p>
              </w:tc>
              <w:tc>
                <w:tcPr>
                  <w:tcW w:w="1062" w:type="dxa"/>
                  <w:vAlign w:val="center"/>
                </w:tcPr>
                <w:p w14:paraId="3200C142">
                  <w:pPr>
                    <w:adjustRightInd w:val="0"/>
                    <w:snapToGrid w:val="0"/>
                    <w:spacing w:line="240" w:lineRule="auto"/>
                    <w:ind w:firstLine="0" w:firstLineChars="0"/>
                    <w:jc w:val="center"/>
                    <w:rPr>
                      <w:color w:val="auto"/>
                      <w:sz w:val="21"/>
                      <w:szCs w:val="21"/>
                    </w:rPr>
                  </w:pPr>
                  <w:r>
                    <w:rPr>
                      <w:color w:val="auto"/>
                      <w:sz w:val="21"/>
                      <w:szCs w:val="21"/>
                    </w:rPr>
                    <w:t>492</w:t>
                  </w:r>
                </w:p>
              </w:tc>
            </w:tr>
            <w:tr w14:paraId="0E4B9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1F5A13C8">
                  <w:pPr>
                    <w:adjustRightInd w:val="0"/>
                    <w:snapToGrid w:val="0"/>
                    <w:spacing w:line="240" w:lineRule="auto"/>
                    <w:ind w:firstLine="0" w:firstLineChars="0"/>
                    <w:jc w:val="center"/>
                    <w:rPr>
                      <w:color w:val="auto"/>
                      <w:sz w:val="21"/>
                      <w:szCs w:val="21"/>
                    </w:rPr>
                  </w:pPr>
                  <w:r>
                    <w:rPr>
                      <w:color w:val="auto"/>
                      <w:sz w:val="21"/>
                      <w:szCs w:val="21"/>
                    </w:rPr>
                    <w:t>7</w:t>
                  </w:r>
                </w:p>
              </w:tc>
              <w:tc>
                <w:tcPr>
                  <w:tcW w:w="1276" w:type="dxa"/>
                  <w:vAlign w:val="center"/>
                </w:tcPr>
                <w:p w14:paraId="3351497A">
                  <w:pPr>
                    <w:adjustRightInd w:val="0"/>
                    <w:snapToGrid w:val="0"/>
                    <w:spacing w:line="240" w:lineRule="auto"/>
                    <w:ind w:firstLine="0" w:firstLineChars="0"/>
                    <w:jc w:val="center"/>
                    <w:rPr>
                      <w:color w:val="auto"/>
                      <w:sz w:val="21"/>
                      <w:szCs w:val="21"/>
                    </w:rPr>
                  </w:pPr>
                  <w:r>
                    <w:rPr>
                      <w:color w:val="auto"/>
                      <w:sz w:val="21"/>
                      <w:szCs w:val="21"/>
                    </w:rPr>
                    <w:t>居民区</w:t>
                  </w:r>
                </w:p>
              </w:tc>
              <w:tc>
                <w:tcPr>
                  <w:tcW w:w="709" w:type="dxa"/>
                  <w:vAlign w:val="center"/>
                </w:tcPr>
                <w:p w14:paraId="0ECC46D8">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145</w:t>
                  </w:r>
                </w:p>
              </w:tc>
              <w:tc>
                <w:tcPr>
                  <w:tcW w:w="709" w:type="dxa"/>
                  <w:vAlign w:val="center"/>
                </w:tcPr>
                <w:p w14:paraId="501AC3DE">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w:t>
                  </w:r>
                </w:p>
              </w:tc>
              <w:tc>
                <w:tcPr>
                  <w:tcW w:w="708" w:type="dxa"/>
                  <w:vAlign w:val="center"/>
                </w:tcPr>
                <w:p w14:paraId="486D5FD5">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54DDBA11">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35</w:t>
                  </w:r>
                  <w:r>
                    <w:rPr>
                      <w:color w:val="auto"/>
                      <w:sz w:val="21"/>
                      <w:szCs w:val="21"/>
                    </w:rPr>
                    <w:t>0人</w:t>
                  </w:r>
                </w:p>
              </w:tc>
              <w:tc>
                <w:tcPr>
                  <w:tcW w:w="653" w:type="dxa"/>
                  <w:vMerge w:val="continue"/>
                  <w:vAlign w:val="center"/>
                </w:tcPr>
                <w:p w14:paraId="515F99A8">
                  <w:pPr>
                    <w:adjustRightInd w:val="0"/>
                    <w:snapToGrid w:val="0"/>
                    <w:spacing w:line="240" w:lineRule="auto"/>
                    <w:ind w:firstLine="0" w:firstLineChars="0"/>
                    <w:jc w:val="center"/>
                    <w:rPr>
                      <w:color w:val="auto"/>
                      <w:sz w:val="21"/>
                      <w:szCs w:val="21"/>
                    </w:rPr>
                  </w:pPr>
                </w:p>
              </w:tc>
              <w:tc>
                <w:tcPr>
                  <w:tcW w:w="851" w:type="dxa"/>
                  <w:vAlign w:val="center"/>
                </w:tcPr>
                <w:p w14:paraId="4CECAF6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EN</w:t>
                  </w:r>
                </w:p>
              </w:tc>
              <w:tc>
                <w:tcPr>
                  <w:tcW w:w="1062" w:type="dxa"/>
                  <w:vAlign w:val="center"/>
                </w:tcPr>
                <w:p w14:paraId="0C4CC587">
                  <w:pPr>
                    <w:adjustRightInd w:val="0"/>
                    <w:snapToGrid w:val="0"/>
                    <w:spacing w:line="240" w:lineRule="auto"/>
                    <w:ind w:firstLine="0" w:firstLineChars="0"/>
                    <w:jc w:val="center"/>
                    <w:rPr>
                      <w:color w:val="auto"/>
                      <w:sz w:val="21"/>
                      <w:szCs w:val="21"/>
                    </w:rPr>
                  </w:pPr>
                  <w:r>
                    <w:rPr>
                      <w:color w:val="auto"/>
                      <w:sz w:val="21"/>
                      <w:szCs w:val="21"/>
                    </w:rPr>
                    <w:t>18</w:t>
                  </w:r>
                </w:p>
              </w:tc>
            </w:tr>
            <w:tr w14:paraId="0707F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73B20A9A">
                  <w:pPr>
                    <w:adjustRightInd w:val="0"/>
                    <w:snapToGrid w:val="0"/>
                    <w:spacing w:line="240" w:lineRule="auto"/>
                    <w:ind w:firstLine="0" w:firstLineChars="0"/>
                    <w:jc w:val="center"/>
                    <w:rPr>
                      <w:color w:val="auto"/>
                      <w:sz w:val="21"/>
                      <w:szCs w:val="21"/>
                    </w:rPr>
                  </w:pPr>
                  <w:r>
                    <w:rPr>
                      <w:color w:val="auto"/>
                      <w:sz w:val="21"/>
                      <w:szCs w:val="21"/>
                    </w:rPr>
                    <w:t>8</w:t>
                  </w:r>
                </w:p>
              </w:tc>
              <w:tc>
                <w:tcPr>
                  <w:tcW w:w="1276" w:type="dxa"/>
                  <w:vAlign w:val="center"/>
                </w:tcPr>
                <w:p w14:paraId="1D9228AA">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江川区财政局江城镇财政所</w:t>
                  </w:r>
                </w:p>
              </w:tc>
              <w:tc>
                <w:tcPr>
                  <w:tcW w:w="709" w:type="dxa"/>
                  <w:vAlign w:val="center"/>
                </w:tcPr>
                <w:p w14:paraId="5038954D">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187</w:t>
                  </w:r>
                </w:p>
              </w:tc>
              <w:tc>
                <w:tcPr>
                  <w:tcW w:w="709" w:type="dxa"/>
                  <w:vAlign w:val="center"/>
                </w:tcPr>
                <w:p w14:paraId="4A32EFEA">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133</w:t>
                  </w:r>
                </w:p>
              </w:tc>
              <w:tc>
                <w:tcPr>
                  <w:tcW w:w="708" w:type="dxa"/>
                  <w:vAlign w:val="center"/>
                </w:tcPr>
                <w:p w14:paraId="3B0E590B">
                  <w:pPr>
                    <w:adjustRightInd w:val="0"/>
                    <w:snapToGrid w:val="0"/>
                    <w:spacing w:line="240" w:lineRule="auto"/>
                    <w:ind w:firstLine="0" w:firstLineChars="0"/>
                    <w:jc w:val="center"/>
                    <w:rPr>
                      <w:color w:val="auto"/>
                      <w:sz w:val="21"/>
                      <w:szCs w:val="21"/>
                    </w:rPr>
                  </w:pPr>
                  <w:r>
                    <w:rPr>
                      <w:color w:val="auto"/>
                      <w:sz w:val="21"/>
                      <w:szCs w:val="21"/>
                    </w:rPr>
                    <w:t>事业单位</w:t>
                  </w:r>
                </w:p>
              </w:tc>
              <w:tc>
                <w:tcPr>
                  <w:tcW w:w="1112" w:type="dxa"/>
                  <w:vAlign w:val="center"/>
                </w:tcPr>
                <w:p w14:paraId="2A15545E">
                  <w:pPr>
                    <w:adjustRightInd w:val="0"/>
                    <w:snapToGrid w:val="0"/>
                    <w:spacing w:line="240" w:lineRule="auto"/>
                    <w:ind w:firstLine="0" w:firstLineChars="0"/>
                    <w:jc w:val="center"/>
                    <w:rPr>
                      <w:color w:val="auto"/>
                      <w:sz w:val="21"/>
                      <w:szCs w:val="21"/>
                    </w:rPr>
                  </w:pPr>
                  <w:r>
                    <w:rPr>
                      <w:color w:val="auto"/>
                      <w:sz w:val="21"/>
                      <w:szCs w:val="21"/>
                    </w:rPr>
                    <w:t>约20人</w:t>
                  </w:r>
                </w:p>
              </w:tc>
              <w:tc>
                <w:tcPr>
                  <w:tcW w:w="653" w:type="dxa"/>
                  <w:vMerge w:val="continue"/>
                  <w:vAlign w:val="center"/>
                </w:tcPr>
                <w:p w14:paraId="52A19792">
                  <w:pPr>
                    <w:adjustRightInd w:val="0"/>
                    <w:snapToGrid w:val="0"/>
                    <w:spacing w:line="240" w:lineRule="auto"/>
                    <w:ind w:firstLine="0" w:firstLineChars="0"/>
                    <w:jc w:val="center"/>
                    <w:rPr>
                      <w:color w:val="auto"/>
                      <w:sz w:val="21"/>
                      <w:szCs w:val="21"/>
                    </w:rPr>
                  </w:pPr>
                </w:p>
              </w:tc>
              <w:tc>
                <w:tcPr>
                  <w:tcW w:w="851" w:type="dxa"/>
                  <w:vAlign w:val="center"/>
                </w:tcPr>
                <w:p w14:paraId="51953667">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EN</w:t>
                  </w:r>
                </w:p>
              </w:tc>
              <w:tc>
                <w:tcPr>
                  <w:tcW w:w="1062" w:type="dxa"/>
                  <w:vAlign w:val="center"/>
                </w:tcPr>
                <w:p w14:paraId="24059423">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223</w:t>
                  </w:r>
                </w:p>
              </w:tc>
            </w:tr>
            <w:tr w14:paraId="2A333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F22CABF">
                  <w:pPr>
                    <w:adjustRightInd w:val="0"/>
                    <w:snapToGrid w:val="0"/>
                    <w:spacing w:line="240" w:lineRule="auto"/>
                    <w:ind w:firstLine="0" w:firstLineChars="0"/>
                    <w:jc w:val="center"/>
                    <w:rPr>
                      <w:color w:val="auto"/>
                      <w:sz w:val="21"/>
                      <w:szCs w:val="21"/>
                    </w:rPr>
                  </w:pPr>
                  <w:r>
                    <w:rPr>
                      <w:color w:val="auto"/>
                      <w:sz w:val="21"/>
                      <w:szCs w:val="21"/>
                    </w:rPr>
                    <w:t>9</w:t>
                  </w:r>
                </w:p>
              </w:tc>
              <w:tc>
                <w:tcPr>
                  <w:tcW w:w="1276" w:type="dxa"/>
                  <w:vAlign w:val="center"/>
                </w:tcPr>
                <w:p w14:paraId="42EFB052">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散户</w:t>
                  </w:r>
                </w:p>
              </w:tc>
              <w:tc>
                <w:tcPr>
                  <w:tcW w:w="709" w:type="dxa"/>
                  <w:vAlign w:val="center"/>
                </w:tcPr>
                <w:p w14:paraId="4A0C69D7">
                  <w:pPr>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w:t>
                  </w:r>
                  <w:r>
                    <w:rPr>
                      <w:rFonts w:hint="eastAsia"/>
                      <w:color w:val="auto"/>
                      <w:sz w:val="21"/>
                      <w:szCs w:val="21"/>
                      <w:lang w:val="en-US" w:eastAsia="zh-CN"/>
                    </w:rPr>
                    <w:t>90</w:t>
                  </w:r>
                </w:p>
              </w:tc>
              <w:tc>
                <w:tcPr>
                  <w:tcW w:w="709" w:type="dxa"/>
                  <w:vAlign w:val="center"/>
                </w:tcPr>
                <w:p w14:paraId="67BEC426">
                  <w:pPr>
                    <w:adjustRightInd w:val="0"/>
                    <w:snapToGrid w:val="0"/>
                    <w:spacing w:line="240" w:lineRule="auto"/>
                    <w:ind w:firstLine="0" w:firstLineChars="0"/>
                    <w:jc w:val="center"/>
                    <w:rPr>
                      <w:rFonts w:hint="default" w:eastAsia="宋体"/>
                      <w:color w:val="auto"/>
                      <w:sz w:val="21"/>
                      <w:szCs w:val="21"/>
                      <w:lang w:val="en-US" w:eastAsia="zh-CN"/>
                    </w:rPr>
                  </w:pPr>
                  <w:r>
                    <w:rPr>
                      <w:color w:val="auto"/>
                      <w:sz w:val="21"/>
                      <w:szCs w:val="21"/>
                    </w:rPr>
                    <w:t>-</w:t>
                  </w:r>
                  <w:r>
                    <w:rPr>
                      <w:rFonts w:hint="eastAsia"/>
                      <w:color w:val="auto"/>
                      <w:sz w:val="21"/>
                      <w:szCs w:val="21"/>
                      <w:lang w:val="en-US" w:eastAsia="zh-CN"/>
                    </w:rPr>
                    <w:t>82</w:t>
                  </w:r>
                </w:p>
              </w:tc>
              <w:tc>
                <w:tcPr>
                  <w:tcW w:w="708" w:type="dxa"/>
                  <w:vAlign w:val="center"/>
                </w:tcPr>
                <w:p w14:paraId="7F0983C2">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2605D3B6">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200</w:t>
                  </w:r>
                  <w:r>
                    <w:rPr>
                      <w:color w:val="auto"/>
                      <w:sz w:val="21"/>
                      <w:szCs w:val="21"/>
                    </w:rPr>
                    <w:t>人</w:t>
                  </w:r>
                </w:p>
              </w:tc>
              <w:tc>
                <w:tcPr>
                  <w:tcW w:w="653" w:type="dxa"/>
                  <w:vMerge w:val="continue"/>
                  <w:vAlign w:val="center"/>
                </w:tcPr>
                <w:p w14:paraId="4D7BC017">
                  <w:pPr>
                    <w:adjustRightInd w:val="0"/>
                    <w:snapToGrid w:val="0"/>
                    <w:spacing w:line="240" w:lineRule="auto"/>
                    <w:ind w:firstLine="0" w:firstLineChars="0"/>
                    <w:jc w:val="center"/>
                    <w:rPr>
                      <w:color w:val="auto"/>
                      <w:sz w:val="21"/>
                      <w:szCs w:val="21"/>
                    </w:rPr>
                  </w:pPr>
                </w:p>
              </w:tc>
              <w:tc>
                <w:tcPr>
                  <w:tcW w:w="851" w:type="dxa"/>
                  <w:vAlign w:val="center"/>
                </w:tcPr>
                <w:p w14:paraId="4E0AF9B9">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665C657D">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123</w:t>
                  </w:r>
                </w:p>
              </w:tc>
            </w:tr>
            <w:tr w14:paraId="6B389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7" w:type="dxa"/>
                  <w:gridSpan w:val="9"/>
                  <w:vAlign w:val="center"/>
                </w:tcPr>
                <w:p w14:paraId="3D9904D1">
                  <w:pPr>
                    <w:adjustRightInd w:val="0"/>
                    <w:snapToGrid w:val="0"/>
                    <w:spacing w:line="240" w:lineRule="auto"/>
                    <w:ind w:firstLine="0" w:firstLineChars="0"/>
                    <w:jc w:val="center"/>
                    <w:rPr>
                      <w:color w:val="auto"/>
                      <w:sz w:val="21"/>
                      <w:szCs w:val="21"/>
                    </w:rPr>
                  </w:pPr>
                  <w:r>
                    <w:rPr>
                      <w:color w:val="auto"/>
                      <w:sz w:val="21"/>
                      <w:szCs w:val="21"/>
                    </w:rPr>
                    <w:t>声环境</w:t>
                  </w:r>
                </w:p>
              </w:tc>
            </w:tr>
            <w:tr w14:paraId="3818B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7CD5CEE5">
                  <w:pPr>
                    <w:adjustRightInd w:val="0"/>
                    <w:snapToGrid w:val="0"/>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w:t>
                  </w:r>
                </w:p>
              </w:tc>
              <w:tc>
                <w:tcPr>
                  <w:tcW w:w="1276" w:type="dxa"/>
                  <w:vAlign w:val="center"/>
                </w:tcPr>
                <w:p w14:paraId="6B8D3B8F">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江城村</w:t>
                  </w:r>
                </w:p>
              </w:tc>
              <w:tc>
                <w:tcPr>
                  <w:tcW w:w="709" w:type="dxa"/>
                  <w:vAlign w:val="center"/>
                </w:tcPr>
                <w:p w14:paraId="3B195414">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-322~250</w:t>
                  </w:r>
                </w:p>
              </w:tc>
              <w:tc>
                <w:tcPr>
                  <w:tcW w:w="709" w:type="dxa"/>
                  <w:vAlign w:val="center"/>
                </w:tcPr>
                <w:p w14:paraId="7E08A41B">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-30~-500</w:t>
                  </w:r>
                </w:p>
              </w:tc>
              <w:tc>
                <w:tcPr>
                  <w:tcW w:w="708" w:type="dxa"/>
                  <w:vAlign w:val="center"/>
                </w:tcPr>
                <w:p w14:paraId="4A1E96E3">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7CD2871A">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3000</w:t>
                  </w:r>
                  <w:r>
                    <w:rPr>
                      <w:color w:val="auto"/>
                      <w:sz w:val="21"/>
                      <w:szCs w:val="21"/>
                    </w:rPr>
                    <w:t>人</w:t>
                  </w:r>
                </w:p>
              </w:tc>
              <w:tc>
                <w:tcPr>
                  <w:tcW w:w="653" w:type="dxa"/>
                  <w:vMerge w:val="restart"/>
                  <w:vAlign w:val="center"/>
                </w:tcPr>
                <w:p w14:paraId="4AE5BBE3">
                  <w:pPr>
                    <w:adjustRightInd w:val="0"/>
                    <w:snapToGrid w:val="0"/>
                    <w:spacing w:line="240" w:lineRule="auto"/>
                    <w:ind w:firstLine="0" w:firstLineChars="0"/>
                    <w:jc w:val="center"/>
                    <w:rPr>
                      <w:color w:val="auto"/>
                      <w:sz w:val="21"/>
                      <w:szCs w:val="21"/>
                    </w:rPr>
                  </w:pPr>
                  <w:r>
                    <w:rPr>
                      <w:color w:val="auto"/>
                      <w:sz w:val="21"/>
                      <w:szCs w:val="21"/>
                    </w:rPr>
                    <w:t>声环境：2类功能区</w:t>
                  </w:r>
                </w:p>
              </w:tc>
              <w:tc>
                <w:tcPr>
                  <w:tcW w:w="851" w:type="dxa"/>
                  <w:vAlign w:val="center"/>
                </w:tcPr>
                <w:p w14:paraId="01634BC3">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S</w:t>
                  </w:r>
                </w:p>
              </w:tc>
              <w:tc>
                <w:tcPr>
                  <w:tcW w:w="1062" w:type="dxa"/>
                  <w:vAlign w:val="center"/>
                </w:tcPr>
                <w:p w14:paraId="74B0CF67">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30</w:t>
                  </w:r>
                </w:p>
              </w:tc>
            </w:tr>
            <w:tr w14:paraId="718D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4E659FC6">
                  <w:pPr>
                    <w:adjustRightInd w:val="0"/>
                    <w:snapToGrid w:val="0"/>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p>
              </w:tc>
              <w:tc>
                <w:tcPr>
                  <w:tcW w:w="1276" w:type="dxa"/>
                  <w:vAlign w:val="center"/>
                </w:tcPr>
                <w:p w14:paraId="6F4D2446">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江城镇华怡雅苑</w:t>
                  </w:r>
                </w:p>
              </w:tc>
              <w:tc>
                <w:tcPr>
                  <w:tcW w:w="709" w:type="dxa"/>
                  <w:vAlign w:val="center"/>
                </w:tcPr>
                <w:p w14:paraId="494419D1">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163</w:t>
                  </w:r>
                </w:p>
              </w:tc>
              <w:tc>
                <w:tcPr>
                  <w:tcW w:w="709" w:type="dxa"/>
                  <w:vAlign w:val="center"/>
                </w:tcPr>
                <w:p w14:paraId="3452075D">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-60</w:t>
                  </w:r>
                </w:p>
              </w:tc>
              <w:tc>
                <w:tcPr>
                  <w:tcW w:w="708" w:type="dxa"/>
                  <w:vAlign w:val="center"/>
                </w:tcPr>
                <w:p w14:paraId="3030DA23">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1DC1A14E">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300</w:t>
                  </w:r>
                  <w:r>
                    <w:rPr>
                      <w:color w:val="auto"/>
                      <w:sz w:val="21"/>
                      <w:szCs w:val="21"/>
                    </w:rPr>
                    <w:t>人</w:t>
                  </w:r>
                </w:p>
              </w:tc>
              <w:tc>
                <w:tcPr>
                  <w:tcW w:w="653" w:type="dxa"/>
                  <w:vMerge w:val="continue"/>
                  <w:vAlign w:val="center"/>
                </w:tcPr>
                <w:p w14:paraId="70E7B4B8">
                  <w:pPr>
                    <w:adjustRightInd w:val="0"/>
                    <w:snapToGrid w:val="0"/>
                    <w:spacing w:line="240" w:lineRule="auto"/>
                    <w:ind w:firstLine="0" w:firstLineChars="0"/>
                    <w:jc w:val="center"/>
                    <w:rPr>
                      <w:color w:val="auto"/>
                      <w:sz w:val="21"/>
                      <w:szCs w:val="21"/>
                    </w:rPr>
                  </w:pPr>
                </w:p>
              </w:tc>
              <w:tc>
                <w:tcPr>
                  <w:tcW w:w="851" w:type="dxa"/>
                  <w:vAlign w:val="center"/>
                </w:tcPr>
                <w:p w14:paraId="2F083BC6">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ES</w:t>
                  </w:r>
                </w:p>
              </w:tc>
              <w:tc>
                <w:tcPr>
                  <w:tcW w:w="1062" w:type="dxa"/>
                  <w:vAlign w:val="center"/>
                </w:tcPr>
                <w:p w14:paraId="5C527933">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135</w:t>
                  </w:r>
                </w:p>
              </w:tc>
            </w:tr>
            <w:tr w14:paraId="1D24E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0EB85FC7">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1276" w:type="dxa"/>
                  <w:vAlign w:val="center"/>
                </w:tcPr>
                <w:p w14:paraId="60991924">
                  <w:pPr>
                    <w:adjustRightInd w:val="0"/>
                    <w:snapToGrid w:val="0"/>
                    <w:spacing w:line="240" w:lineRule="auto"/>
                    <w:ind w:firstLine="0" w:firstLineChars="0"/>
                    <w:jc w:val="center"/>
                    <w:rPr>
                      <w:color w:val="auto"/>
                      <w:sz w:val="21"/>
                      <w:szCs w:val="21"/>
                    </w:rPr>
                  </w:pPr>
                  <w:r>
                    <w:rPr>
                      <w:color w:val="auto"/>
                      <w:sz w:val="21"/>
                      <w:szCs w:val="21"/>
                    </w:rPr>
                    <w:t>居民区</w:t>
                  </w:r>
                </w:p>
              </w:tc>
              <w:tc>
                <w:tcPr>
                  <w:tcW w:w="709" w:type="dxa"/>
                  <w:vAlign w:val="center"/>
                </w:tcPr>
                <w:p w14:paraId="3C66A27E">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145</w:t>
                  </w:r>
                </w:p>
              </w:tc>
              <w:tc>
                <w:tcPr>
                  <w:tcW w:w="709" w:type="dxa"/>
                  <w:vAlign w:val="center"/>
                </w:tcPr>
                <w:p w14:paraId="67018CDD">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25</w:t>
                  </w:r>
                </w:p>
              </w:tc>
              <w:tc>
                <w:tcPr>
                  <w:tcW w:w="708" w:type="dxa"/>
                  <w:vAlign w:val="center"/>
                </w:tcPr>
                <w:p w14:paraId="7CF0EA42">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123970A7">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35</w:t>
                  </w:r>
                  <w:r>
                    <w:rPr>
                      <w:color w:val="auto"/>
                      <w:sz w:val="21"/>
                      <w:szCs w:val="21"/>
                    </w:rPr>
                    <w:t>0人</w:t>
                  </w:r>
                </w:p>
              </w:tc>
              <w:tc>
                <w:tcPr>
                  <w:tcW w:w="653" w:type="dxa"/>
                  <w:vMerge w:val="continue"/>
                  <w:vAlign w:val="center"/>
                </w:tcPr>
                <w:p w14:paraId="758E4A50">
                  <w:pPr>
                    <w:adjustRightInd w:val="0"/>
                    <w:snapToGrid w:val="0"/>
                    <w:spacing w:line="240" w:lineRule="auto"/>
                    <w:ind w:firstLine="0" w:firstLineChars="0"/>
                    <w:jc w:val="center"/>
                    <w:rPr>
                      <w:color w:val="auto"/>
                      <w:sz w:val="21"/>
                      <w:szCs w:val="21"/>
                    </w:rPr>
                  </w:pPr>
                </w:p>
              </w:tc>
              <w:tc>
                <w:tcPr>
                  <w:tcW w:w="851" w:type="dxa"/>
                  <w:vAlign w:val="center"/>
                </w:tcPr>
                <w:p w14:paraId="2EC3A54F">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EN</w:t>
                  </w:r>
                </w:p>
              </w:tc>
              <w:tc>
                <w:tcPr>
                  <w:tcW w:w="1062" w:type="dxa"/>
                  <w:vAlign w:val="center"/>
                </w:tcPr>
                <w:p w14:paraId="334DCFAD">
                  <w:pPr>
                    <w:adjustRightInd w:val="0"/>
                    <w:snapToGrid w:val="0"/>
                    <w:spacing w:line="240" w:lineRule="auto"/>
                    <w:ind w:firstLine="0" w:firstLineChars="0"/>
                    <w:jc w:val="center"/>
                    <w:rPr>
                      <w:color w:val="auto"/>
                      <w:sz w:val="21"/>
                      <w:szCs w:val="21"/>
                    </w:rPr>
                  </w:pPr>
                  <w:r>
                    <w:rPr>
                      <w:color w:val="auto"/>
                      <w:sz w:val="21"/>
                      <w:szCs w:val="21"/>
                    </w:rPr>
                    <w:t>18</w:t>
                  </w:r>
                </w:p>
              </w:tc>
            </w:tr>
            <w:tr w14:paraId="323D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5090E582">
                  <w:pPr>
                    <w:adjustRightInd w:val="0"/>
                    <w:snapToGrid w:val="0"/>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1276" w:type="dxa"/>
                  <w:vAlign w:val="center"/>
                </w:tcPr>
                <w:p w14:paraId="20431C29">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散户</w:t>
                  </w:r>
                </w:p>
              </w:tc>
              <w:tc>
                <w:tcPr>
                  <w:tcW w:w="709" w:type="dxa"/>
                  <w:vAlign w:val="center"/>
                </w:tcPr>
                <w:p w14:paraId="332B6C31">
                  <w:pPr>
                    <w:adjustRightInd w:val="0"/>
                    <w:snapToGrid w:val="0"/>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90</w:t>
                  </w:r>
                </w:p>
              </w:tc>
              <w:tc>
                <w:tcPr>
                  <w:tcW w:w="709" w:type="dxa"/>
                  <w:vAlign w:val="center"/>
                </w:tcPr>
                <w:p w14:paraId="39629580">
                  <w:pPr>
                    <w:adjustRightInd w:val="0"/>
                    <w:snapToGrid w:val="0"/>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82</w:t>
                  </w:r>
                </w:p>
              </w:tc>
              <w:tc>
                <w:tcPr>
                  <w:tcW w:w="708" w:type="dxa"/>
                  <w:vAlign w:val="center"/>
                </w:tcPr>
                <w:p w14:paraId="6C9297CE">
                  <w:pPr>
                    <w:adjustRightInd w:val="0"/>
                    <w:snapToGrid w:val="0"/>
                    <w:spacing w:line="240" w:lineRule="auto"/>
                    <w:ind w:firstLine="0" w:firstLineChars="0"/>
                    <w:jc w:val="center"/>
                    <w:rPr>
                      <w:color w:val="auto"/>
                      <w:sz w:val="21"/>
                      <w:szCs w:val="21"/>
                    </w:rPr>
                  </w:pPr>
                  <w:r>
                    <w:rPr>
                      <w:color w:val="auto"/>
                      <w:sz w:val="21"/>
                      <w:szCs w:val="21"/>
                    </w:rPr>
                    <w:t>居民</w:t>
                  </w:r>
                </w:p>
              </w:tc>
              <w:tc>
                <w:tcPr>
                  <w:tcW w:w="1112" w:type="dxa"/>
                  <w:vAlign w:val="center"/>
                </w:tcPr>
                <w:p w14:paraId="10F9CC53">
                  <w:pPr>
                    <w:adjustRightInd w:val="0"/>
                    <w:snapToGrid w:val="0"/>
                    <w:spacing w:line="240" w:lineRule="auto"/>
                    <w:ind w:firstLine="0" w:firstLineChars="0"/>
                    <w:jc w:val="center"/>
                    <w:rPr>
                      <w:color w:val="auto"/>
                      <w:sz w:val="21"/>
                      <w:szCs w:val="21"/>
                    </w:rPr>
                  </w:pPr>
                  <w:r>
                    <w:rPr>
                      <w:color w:val="auto"/>
                      <w:sz w:val="21"/>
                      <w:szCs w:val="21"/>
                    </w:rPr>
                    <w:t>约</w:t>
                  </w:r>
                  <w:r>
                    <w:rPr>
                      <w:rFonts w:hint="eastAsia"/>
                      <w:color w:val="auto"/>
                      <w:sz w:val="21"/>
                      <w:szCs w:val="21"/>
                      <w:lang w:val="en-US" w:eastAsia="zh-CN"/>
                    </w:rPr>
                    <w:t>200</w:t>
                  </w:r>
                  <w:r>
                    <w:rPr>
                      <w:color w:val="auto"/>
                      <w:sz w:val="21"/>
                      <w:szCs w:val="21"/>
                    </w:rPr>
                    <w:t>人</w:t>
                  </w:r>
                </w:p>
              </w:tc>
              <w:tc>
                <w:tcPr>
                  <w:tcW w:w="653" w:type="dxa"/>
                  <w:vMerge w:val="continue"/>
                  <w:vAlign w:val="center"/>
                </w:tcPr>
                <w:p w14:paraId="66EB785D">
                  <w:pPr>
                    <w:adjustRightInd w:val="0"/>
                    <w:snapToGrid w:val="0"/>
                    <w:spacing w:line="240" w:lineRule="auto"/>
                    <w:ind w:firstLine="0" w:firstLineChars="0"/>
                    <w:jc w:val="center"/>
                    <w:rPr>
                      <w:color w:val="auto"/>
                      <w:sz w:val="21"/>
                      <w:szCs w:val="21"/>
                    </w:rPr>
                  </w:pPr>
                </w:p>
              </w:tc>
              <w:tc>
                <w:tcPr>
                  <w:tcW w:w="851" w:type="dxa"/>
                  <w:vAlign w:val="center"/>
                </w:tcPr>
                <w:p w14:paraId="1DFA6C06">
                  <w:pPr>
                    <w:adjustRightInd w:val="0"/>
                    <w:snapToGrid w:val="0"/>
                    <w:spacing w:line="240" w:lineRule="auto"/>
                    <w:ind w:firstLine="0" w:firstLineChars="0"/>
                    <w:jc w:val="center"/>
                    <w:rPr>
                      <w:color w:val="auto"/>
                      <w:sz w:val="21"/>
                      <w:szCs w:val="21"/>
                    </w:rPr>
                  </w:pPr>
                  <w:r>
                    <w:rPr>
                      <w:color w:val="auto"/>
                      <w:sz w:val="21"/>
                      <w:szCs w:val="21"/>
                    </w:rPr>
                    <w:t>WS</w:t>
                  </w:r>
                </w:p>
              </w:tc>
              <w:tc>
                <w:tcPr>
                  <w:tcW w:w="1062" w:type="dxa"/>
                  <w:vAlign w:val="center"/>
                </w:tcPr>
                <w:p w14:paraId="74CEED56">
                  <w:pPr>
                    <w:adjustRightInd w:val="0"/>
                    <w:snapToGrid w:val="0"/>
                    <w:spacing w:line="240" w:lineRule="auto"/>
                    <w:ind w:firstLine="0" w:firstLineChars="0"/>
                    <w:jc w:val="center"/>
                    <w:rPr>
                      <w:color w:val="auto"/>
                      <w:sz w:val="21"/>
                      <w:szCs w:val="21"/>
                    </w:rPr>
                  </w:pPr>
                  <w:r>
                    <w:rPr>
                      <w:rFonts w:hint="eastAsia"/>
                      <w:color w:val="auto"/>
                      <w:sz w:val="21"/>
                      <w:szCs w:val="21"/>
                      <w:lang w:val="en-US" w:eastAsia="zh-CN"/>
                    </w:rPr>
                    <w:t>123</w:t>
                  </w:r>
                </w:p>
              </w:tc>
            </w:tr>
          </w:tbl>
          <w:p w14:paraId="286F1D99">
            <w:pPr>
              <w:pStyle w:val="2"/>
              <w:rPr>
                <w:color w:val="auto"/>
                <w:sz w:val="21"/>
                <w:szCs w:val="21"/>
              </w:rPr>
            </w:pPr>
          </w:p>
        </w:tc>
      </w:tr>
      <w:tr w14:paraId="1CB40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3" w:type="dxa"/>
            <w:vAlign w:val="center"/>
          </w:tcPr>
          <w:p w14:paraId="63A9D0E5">
            <w:pPr>
              <w:ind w:firstLine="0" w:firstLineChars="0"/>
              <w:rPr>
                <w:color w:val="auto"/>
              </w:rPr>
            </w:pPr>
            <w:r>
              <w:rPr>
                <w:color w:val="auto"/>
              </w:rPr>
              <w:t>污染物排放控制标准</w:t>
            </w:r>
          </w:p>
        </w:tc>
        <w:tc>
          <w:tcPr>
            <w:tcW w:w="7959" w:type="dxa"/>
            <w:vAlign w:val="center"/>
          </w:tcPr>
          <w:p w14:paraId="3CB34859">
            <w:pPr>
              <w:ind w:firstLine="482"/>
              <w:rPr>
                <w:b/>
                <w:color w:val="auto"/>
              </w:rPr>
            </w:pPr>
            <w:r>
              <w:rPr>
                <w:b/>
                <w:color w:val="auto"/>
              </w:rPr>
              <w:t>1、废气</w:t>
            </w:r>
          </w:p>
          <w:p w14:paraId="51276A64">
            <w:pPr>
              <w:pStyle w:val="47"/>
              <w:ind w:firstLine="480"/>
              <w:rPr>
                <w:snapToGrid w:val="0"/>
                <w:color w:val="auto"/>
                <w:szCs w:val="24"/>
              </w:rPr>
            </w:pPr>
            <w:r>
              <w:rPr>
                <w:snapToGrid w:val="0"/>
                <w:color w:val="auto"/>
                <w:szCs w:val="24"/>
              </w:rPr>
              <w:t>（1）施工期</w:t>
            </w:r>
          </w:p>
          <w:p w14:paraId="42546024">
            <w:pPr>
              <w:tabs>
                <w:tab w:val="left" w:pos="0"/>
              </w:tabs>
              <w:snapToGrid w:val="0"/>
              <w:ind w:firstLine="480"/>
              <w:rPr>
                <w:rFonts w:hint="eastAsia" w:eastAsia="宋体"/>
                <w:color w:val="auto"/>
                <w:szCs w:val="21"/>
                <w:lang w:eastAsia="zh-CN"/>
              </w:rPr>
            </w:pPr>
            <w:r>
              <w:rPr>
                <w:color w:val="auto"/>
                <w:szCs w:val="21"/>
              </w:rPr>
              <w:t>施工期大气无组织排放粉尘执行</w:t>
            </w:r>
            <w:r>
              <w:rPr>
                <w:bCs/>
                <w:color w:val="auto"/>
                <w:szCs w:val="21"/>
              </w:rPr>
              <w:t>《大气污染物综合排放标准》（GB16297-1996）</w:t>
            </w:r>
            <w:r>
              <w:rPr>
                <w:color w:val="auto"/>
                <w:szCs w:val="21"/>
              </w:rPr>
              <w:t>表2中</w:t>
            </w:r>
            <w:r>
              <w:rPr>
                <w:bCs/>
                <w:color w:val="auto"/>
                <w:szCs w:val="21"/>
              </w:rPr>
              <w:t>关于颗粒物的无组织排放监控限值要求，</w:t>
            </w:r>
            <w:r>
              <w:rPr>
                <w:color w:val="auto"/>
                <w:szCs w:val="21"/>
              </w:rPr>
              <w:t>标准值如下：</w:t>
            </w:r>
          </w:p>
          <w:p w14:paraId="50A7B1DA">
            <w:pPr>
              <w:ind w:firstLine="422"/>
              <w:jc w:val="center"/>
              <w:rPr>
                <w:rFonts w:hint="eastAsia" w:eastAsia="宋体"/>
                <w:b/>
                <w:bCs/>
                <w:color w:val="auto"/>
                <w:sz w:val="21"/>
                <w:szCs w:val="21"/>
                <w:lang w:eastAsia="zh-CN" w:bidi="ar"/>
              </w:rPr>
            </w:pPr>
            <w:r>
              <w:rPr>
                <w:b/>
                <w:bCs/>
                <w:color w:val="auto"/>
                <w:sz w:val="21"/>
                <w:szCs w:val="21"/>
                <w:lang w:bidi="ar"/>
              </w:rPr>
              <w:t>表3-</w:t>
            </w:r>
            <w:r>
              <w:rPr>
                <w:rFonts w:hint="eastAsia"/>
                <w:b/>
                <w:bCs/>
                <w:color w:val="auto"/>
                <w:sz w:val="21"/>
                <w:szCs w:val="21"/>
                <w:lang w:val="en-US" w:eastAsia="zh-CN" w:bidi="ar"/>
              </w:rPr>
              <w:t>9</w:t>
            </w:r>
            <w:r>
              <w:rPr>
                <w:b/>
                <w:bCs/>
                <w:color w:val="auto"/>
                <w:sz w:val="21"/>
                <w:szCs w:val="21"/>
                <w:lang w:bidi="ar"/>
              </w:rPr>
              <w:t>大气污染物综合排放标准</w:t>
            </w:r>
          </w:p>
          <w:tbl>
            <w:tblPr>
              <w:tblStyle w:val="19"/>
              <w:tblW w:w="7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86"/>
              <w:gridCol w:w="3027"/>
              <w:gridCol w:w="2933"/>
            </w:tblGrid>
            <w:tr w14:paraId="2CB82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8" w:hRule="atLeast"/>
                <w:jc w:val="center"/>
              </w:trPr>
              <w:tc>
                <w:tcPr>
                  <w:tcW w:w="1386" w:type="dxa"/>
                  <w:vMerge w:val="restart"/>
                  <w:vAlign w:val="center"/>
                </w:tcPr>
                <w:p w14:paraId="084AAF8B">
                  <w:pPr>
                    <w:adjustRightInd w:val="0"/>
                    <w:snapToGrid w:val="0"/>
                    <w:spacing w:line="240" w:lineRule="auto"/>
                    <w:ind w:firstLine="0" w:firstLineChars="0"/>
                    <w:jc w:val="center"/>
                    <w:rPr>
                      <w:color w:val="auto"/>
                      <w:sz w:val="21"/>
                      <w:szCs w:val="21"/>
                    </w:rPr>
                  </w:pPr>
                  <w:r>
                    <w:rPr>
                      <w:color w:val="auto"/>
                      <w:sz w:val="21"/>
                      <w:szCs w:val="21"/>
                    </w:rPr>
                    <w:t>污染源</w:t>
                  </w:r>
                </w:p>
              </w:tc>
              <w:tc>
                <w:tcPr>
                  <w:tcW w:w="5960" w:type="dxa"/>
                  <w:gridSpan w:val="2"/>
                  <w:vAlign w:val="center"/>
                </w:tcPr>
                <w:p w14:paraId="44D59B58">
                  <w:pPr>
                    <w:adjustRightInd w:val="0"/>
                    <w:snapToGrid w:val="0"/>
                    <w:spacing w:line="240" w:lineRule="auto"/>
                    <w:ind w:firstLine="0" w:firstLineChars="0"/>
                    <w:jc w:val="center"/>
                    <w:rPr>
                      <w:color w:val="auto"/>
                      <w:sz w:val="21"/>
                      <w:szCs w:val="21"/>
                    </w:rPr>
                  </w:pPr>
                  <w:r>
                    <w:rPr>
                      <w:color w:val="auto"/>
                      <w:sz w:val="21"/>
                      <w:szCs w:val="21"/>
                    </w:rPr>
                    <w:t>无组织排放监控浓度限值</w:t>
                  </w:r>
                </w:p>
              </w:tc>
            </w:tr>
            <w:tr w14:paraId="5C8FC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2" w:hRule="atLeast"/>
                <w:jc w:val="center"/>
              </w:trPr>
              <w:tc>
                <w:tcPr>
                  <w:tcW w:w="1386" w:type="dxa"/>
                  <w:vMerge w:val="continue"/>
                  <w:vAlign w:val="center"/>
                </w:tcPr>
                <w:p w14:paraId="71BA1D04">
                  <w:pPr>
                    <w:adjustRightInd w:val="0"/>
                    <w:snapToGrid w:val="0"/>
                    <w:spacing w:line="240" w:lineRule="auto"/>
                    <w:ind w:firstLine="0" w:firstLineChars="0"/>
                    <w:jc w:val="center"/>
                    <w:rPr>
                      <w:color w:val="auto"/>
                      <w:sz w:val="21"/>
                      <w:szCs w:val="21"/>
                    </w:rPr>
                  </w:pPr>
                </w:p>
              </w:tc>
              <w:tc>
                <w:tcPr>
                  <w:tcW w:w="3027" w:type="dxa"/>
                  <w:vAlign w:val="center"/>
                </w:tcPr>
                <w:p w14:paraId="51DCC142">
                  <w:pPr>
                    <w:adjustRightInd w:val="0"/>
                    <w:snapToGrid w:val="0"/>
                    <w:spacing w:line="240" w:lineRule="auto"/>
                    <w:ind w:firstLine="0" w:firstLineChars="0"/>
                    <w:jc w:val="center"/>
                    <w:rPr>
                      <w:color w:val="auto"/>
                      <w:sz w:val="21"/>
                      <w:szCs w:val="21"/>
                    </w:rPr>
                  </w:pPr>
                  <w:r>
                    <w:rPr>
                      <w:color w:val="auto"/>
                      <w:sz w:val="21"/>
                      <w:szCs w:val="21"/>
                    </w:rPr>
                    <w:t>监控点</w:t>
                  </w:r>
                </w:p>
              </w:tc>
              <w:tc>
                <w:tcPr>
                  <w:tcW w:w="2933" w:type="dxa"/>
                  <w:vAlign w:val="center"/>
                </w:tcPr>
                <w:p w14:paraId="7ADF3B45">
                  <w:pPr>
                    <w:adjustRightInd w:val="0"/>
                    <w:snapToGrid w:val="0"/>
                    <w:spacing w:line="240" w:lineRule="auto"/>
                    <w:ind w:firstLine="0" w:firstLineChars="0"/>
                    <w:jc w:val="center"/>
                    <w:rPr>
                      <w:color w:val="auto"/>
                      <w:sz w:val="21"/>
                      <w:szCs w:val="21"/>
                    </w:rPr>
                  </w:pPr>
                  <w:r>
                    <w:rPr>
                      <w:color w:val="auto"/>
                      <w:sz w:val="21"/>
                      <w:szCs w:val="21"/>
                    </w:rPr>
                    <w:t>浓度</w:t>
                  </w:r>
                </w:p>
              </w:tc>
            </w:tr>
            <w:tr w14:paraId="46731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1" w:hRule="atLeast"/>
                <w:jc w:val="center"/>
              </w:trPr>
              <w:tc>
                <w:tcPr>
                  <w:tcW w:w="1386" w:type="dxa"/>
                  <w:vAlign w:val="center"/>
                </w:tcPr>
                <w:p w14:paraId="5E33D13A">
                  <w:pPr>
                    <w:adjustRightInd w:val="0"/>
                    <w:snapToGrid w:val="0"/>
                    <w:spacing w:line="240" w:lineRule="auto"/>
                    <w:ind w:firstLine="0" w:firstLineChars="0"/>
                    <w:jc w:val="center"/>
                    <w:rPr>
                      <w:color w:val="auto"/>
                      <w:sz w:val="21"/>
                      <w:szCs w:val="21"/>
                    </w:rPr>
                  </w:pPr>
                  <w:r>
                    <w:rPr>
                      <w:color w:val="auto"/>
                      <w:sz w:val="21"/>
                      <w:szCs w:val="21"/>
                    </w:rPr>
                    <w:t>颗粒物</w:t>
                  </w:r>
                </w:p>
              </w:tc>
              <w:tc>
                <w:tcPr>
                  <w:tcW w:w="3027" w:type="dxa"/>
                  <w:vAlign w:val="center"/>
                </w:tcPr>
                <w:p w14:paraId="64A1AD3E">
                  <w:pPr>
                    <w:adjustRightInd w:val="0"/>
                    <w:snapToGrid w:val="0"/>
                    <w:spacing w:line="240" w:lineRule="auto"/>
                    <w:ind w:firstLine="0" w:firstLineChars="0"/>
                    <w:jc w:val="center"/>
                    <w:rPr>
                      <w:color w:val="auto"/>
                      <w:sz w:val="21"/>
                      <w:szCs w:val="21"/>
                    </w:rPr>
                  </w:pPr>
                  <w:r>
                    <w:rPr>
                      <w:color w:val="auto"/>
                      <w:sz w:val="21"/>
                      <w:szCs w:val="21"/>
                    </w:rPr>
                    <w:t>周界外浓度最高点</w:t>
                  </w:r>
                </w:p>
              </w:tc>
              <w:tc>
                <w:tcPr>
                  <w:tcW w:w="2933" w:type="dxa"/>
                  <w:vAlign w:val="center"/>
                </w:tcPr>
                <w:p w14:paraId="01F35457">
                  <w:pPr>
                    <w:adjustRightInd w:val="0"/>
                    <w:snapToGrid w:val="0"/>
                    <w:spacing w:line="240" w:lineRule="auto"/>
                    <w:ind w:firstLine="0" w:firstLineChars="0"/>
                    <w:jc w:val="center"/>
                    <w:rPr>
                      <w:color w:val="auto"/>
                      <w:sz w:val="21"/>
                      <w:szCs w:val="21"/>
                    </w:rPr>
                  </w:pPr>
                  <w:r>
                    <w:rPr>
                      <w:color w:val="auto"/>
                      <w:sz w:val="21"/>
                      <w:szCs w:val="21"/>
                    </w:rPr>
                    <w:t>1.0mg/Nm</w:t>
                  </w:r>
                  <w:r>
                    <w:rPr>
                      <w:color w:val="auto"/>
                      <w:sz w:val="21"/>
                      <w:szCs w:val="21"/>
                      <w:vertAlign w:val="superscript"/>
                    </w:rPr>
                    <w:t>3</w:t>
                  </w:r>
                </w:p>
              </w:tc>
            </w:tr>
          </w:tbl>
          <w:p w14:paraId="12F2986E">
            <w:pPr>
              <w:numPr>
                <w:ilvl w:val="0"/>
                <w:numId w:val="5"/>
              </w:numPr>
              <w:adjustRightInd w:val="0"/>
              <w:snapToGrid w:val="0"/>
              <w:ind w:firstLine="480" w:firstLineChars="0"/>
              <w:rPr>
                <w:snapToGrid w:val="0"/>
                <w:color w:val="auto"/>
                <w:szCs w:val="24"/>
              </w:rPr>
            </w:pPr>
            <w:r>
              <w:rPr>
                <w:snapToGrid w:val="0"/>
                <w:color w:val="auto"/>
                <w:szCs w:val="24"/>
              </w:rPr>
              <w:t>运营期</w:t>
            </w:r>
          </w:p>
          <w:p w14:paraId="64E33FF5">
            <w:pPr>
              <w:ind w:firstLine="480"/>
              <w:rPr>
                <w:b/>
                <w:bCs/>
                <w:color w:val="auto"/>
                <w:szCs w:val="24"/>
              </w:rPr>
            </w:pPr>
            <w:r>
              <w:rPr>
                <w:rFonts w:hint="eastAsia"/>
                <w:color w:val="auto"/>
                <w:szCs w:val="24"/>
                <w:lang w:val="en-US" w:eastAsia="zh-CN"/>
              </w:rPr>
              <w:t>江川区医共体总院项目低温甲醛灭菌器产生的甲醛残气，产生量极小为无组织排放。甲醛残气</w:t>
            </w:r>
            <w:r>
              <w:rPr>
                <w:rFonts w:hint="eastAsia"/>
                <w:color w:val="auto"/>
                <w:szCs w:val="24"/>
              </w:rPr>
              <w:t>废气</w:t>
            </w:r>
            <w:r>
              <w:rPr>
                <w:rFonts w:hint="eastAsia"/>
                <w:color w:val="auto"/>
                <w:szCs w:val="24"/>
                <w:lang w:val="en-US" w:eastAsia="zh-CN"/>
              </w:rPr>
              <w:t>排放</w:t>
            </w:r>
            <w:r>
              <w:rPr>
                <w:rFonts w:hint="eastAsia"/>
                <w:color w:val="auto"/>
              </w:rPr>
              <w:t>执行《大气污染物综合排放标准》（</w:t>
            </w:r>
            <w:r>
              <w:rPr>
                <w:color w:val="auto"/>
              </w:rPr>
              <w:t>GB16297-1996</w:t>
            </w:r>
            <w:r>
              <w:rPr>
                <w:rFonts w:hint="eastAsia"/>
                <w:color w:val="auto"/>
              </w:rPr>
              <w:t>）。</w:t>
            </w:r>
          </w:p>
          <w:p w14:paraId="5E325DBC">
            <w:pPr>
              <w:ind w:firstLine="422"/>
              <w:jc w:val="center"/>
              <w:rPr>
                <w:b/>
                <w:bCs/>
                <w:color w:val="auto"/>
                <w:sz w:val="21"/>
                <w:szCs w:val="21"/>
              </w:rPr>
            </w:pPr>
            <w:r>
              <w:rPr>
                <w:rFonts w:hint="eastAsia"/>
                <w:b/>
                <w:bCs/>
                <w:color w:val="auto"/>
                <w:sz w:val="21"/>
                <w:szCs w:val="21"/>
              </w:rPr>
              <w:t>表</w:t>
            </w:r>
            <w:r>
              <w:rPr>
                <w:b/>
                <w:bCs/>
                <w:color w:val="auto"/>
                <w:sz w:val="21"/>
                <w:szCs w:val="21"/>
              </w:rPr>
              <w:t>3-</w:t>
            </w:r>
            <w:r>
              <w:rPr>
                <w:rFonts w:hint="eastAsia"/>
                <w:b/>
                <w:bCs/>
                <w:color w:val="auto"/>
                <w:sz w:val="21"/>
                <w:szCs w:val="21"/>
                <w:lang w:val="en-US" w:eastAsia="zh-CN"/>
              </w:rPr>
              <w:t>10</w:t>
            </w:r>
            <w:r>
              <w:rPr>
                <w:b/>
                <w:bCs/>
                <w:color w:val="auto"/>
                <w:sz w:val="21"/>
                <w:szCs w:val="21"/>
              </w:rPr>
              <w:t>大气污染物综合排放标准</w:t>
            </w:r>
          </w:p>
          <w:tbl>
            <w:tblPr>
              <w:tblStyle w:val="19"/>
              <w:tblpPr w:leftFromText="180" w:rightFromText="180" w:vertAnchor="text" w:horzAnchor="page" w:tblpXSpec="center" w:tblpY="15"/>
              <w:tblOverlap w:val="never"/>
              <w:tblW w:w="80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1553"/>
              <w:gridCol w:w="2639"/>
              <w:gridCol w:w="1088"/>
              <w:gridCol w:w="1816"/>
            </w:tblGrid>
            <w:tr w14:paraId="4C64C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945" w:type="dxa"/>
                  <w:vMerge w:val="restart"/>
                  <w:vAlign w:val="center"/>
                </w:tcPr>
                <w:p w14:paraId="4671A629">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w:t>
                  </w:r>
                </w:p>
              </w:tc>
              <w:tc>
                <w:tcPr>
                  <w:tcW w:w="1553" w:type="dxa"/>
                  <w:vMerge w:val="restart"/>
                  <w:vAlign w:val="center"/>
                </w:tcPr>
                <w:p w14:paraId="75CFA208">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最高允许排放浓度mg/m</w:t>
                  </w:r>
                  <w:r>
                    <w:rPr>
                      <w:rFonts w:ascii="Times New Roman" w:hAnsi="Times New Roman" w:eastAsia="宋体" w:cs="Times New Roman"/>
                      <w:color w:val="auto"/>
                      <w:sz w:val="21"/>
                      <w:szCs w:val="21"/>
                      <w:vertAlign w:val="superscript"/>
                    </w:rPr>
                    <w:t>3</w:t>
                  </w:r>
                </w:p>
              </w:tc>
              <w:tc>
                <w:tcPr>
                  <w:tcW w:w="2639" w:type="dxa"/>
                  <w:vAlign w:val="center"/>
                </w:tcPr>
                <w:p w14:paraId="46B086B5">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最高允许排放速率kg/h</w:t>
                  </w:r>
                </w:p>
              </w:tc>
              <w:tc>
                <w:tcPr>
                  <w:tcW w:w="2904" w:type="dxa"/>
                  <w:gridSpan w:val="2"/>
                  <w:vAlign w:val="center"/>
                </w:tcPr>
                <w:p w14:paraId="77B34FCF">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无组织排放监控浓度限值</w:t>
                  </w:r>
                </w:p>
              </w:tc>
            </w:tr>
            <w:tr w14:paraId="31EB4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945" w:type="dxa"/>
                  <w:vMerge w:val="continue"/>
                  <w:vAlign w:val="center"/>
                </w:tcPr>
                <w:p w14:paraId="62A32618">
                  <w:pPr>
                    <w:autoSpaceDE w:val="0"/>
                    <w:autoSpaceDN w:val="0"/>
                    <w:spacing w:line="240" w:lineRule="auto"/>
                    <w:ind w:firstLine="0" w:firstLineChars="0"/>
                    <w:jc w:val="center"/>
                    <w:rPr>
                      <w:rFonts w:ascii="Times New Roman" w:hAnsi="Times New Roman" w:eastAsia="宋体" w:cs="Times New Roman"/>
                      <w:color w:val="auto"/>
                      <w:sz w:val="21"/>
                      <w:szCs w:val="21"/>
                    </w:rPr>
                  </w:pPr>
                </w:p>
              </w:tc>
              <w:tc>
                <w:tcPr>
                  <w:tcW w:w="1553" w:type="dxa"/>
                  <w:vMerge w:val="continue"/>
                  <w:vAlign w:val="center"/>
                </w:tcPr>
                <w:p w14:paraId="53404F30">
                  <w:pPr>
                    <w:autoSpaceDE w:val="0"/>
                    <w:autoSpaceDN w:val="0"/>
                    <w:spacing w:line="240" w:lineRule="auto"/>
                    <w:ind w:firstLine="0" w:firstLineChars="0"/>
                    <w:jc w:val="center"/>
                    <w:rPr>
                      <w:rFonts w:ascii="Times New Roman" w:hAnsi="Times New Roman" w:eastAsia="宋体" w:cs="Times New Roman"/>
                      <w:color w:val="auto"/>
                      <w:sz w:val="21"/>
                      <w:szCs w:val="21"/>
                    </w:rPr>
                  </w:pPr>
                </w:p>
              </w:tc>
              <w:tc>
                <w:tcPr>
                  <w:tcW w:w="2639" w:type="dxa"/>
                  <w:vAlign w:val="center"/>
                </w:tcPr>
                <w:p w14:paraId="6AC129AB">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二级</w:t>
                  </w:r>
                </w:p>
              </w:tc>
              <w:tc>
                <w:tcPr>
                  <w:tcW w:w="1088" w:type="dxa"/>
                  <w:vAlign w:val="center"/>
                </w:tcPr>
                <w:p w14:paraId="7A054240">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监控点</w:t>
                  </w:r>
                </w:p>
              </w:tc>
              <w:tc>
                <w:tcPr>
                  <w:tcW w:w="1816" w:type="dxa"/>
                  <w:vAlign w:val="center"/>
                </w:tcPr>
                <w:p w14:paraId="4F47C0FA">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r>
            <w:tr w14:paraId="6DC1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945" w:type="dxa"/>
                  <w:shd w:val="clear" w:color="auto" w:fill="auto"/>
                  <w:vAlign w:val="center"/>
                </w:tcPr>
                <w:p w14:paraId="45DAB011">
                  <w:pPr>
                    <w:autoSpaceDE w:val="0"/>
                    <w:autoSpaceDN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甲醛</w:t>
                  </w:r>
                </w:p>
              </w:tc>
              <w:tc>
                <w:tcPr>
                  <w:tcW w:w="1553" w:type="dxa"/>
                  <w:shd w:val="clear" w:color="auto" w:fill="auto"/>
                  <w:vAlign w:val="center"/>
                </w:tcPr>
                <w:p w14:paraId="19762C7A">
                  <w:pPr>
                    <w:autoSpaceDE w:val="0"/>
                    <w:autoSpaceDN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639" w:type="dxa"/>
                  <w:shd w:val="clear" w:color="auto" w:fill="auto"/>
                  <w:vAlign w:val="center"/>
                </w:tcPr>
                <w:p w14:paraId="2DD22FBF">
                  <w:pPr>
                    <w:autoSpaceDE w:val="0"/>
                    <w:autoSpaceDN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1088" w:type="dxa"/>
                  <w:vAlign w:val="center"/>
                </w:tcPr>
                <w:p w14:paraId="034566B5">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周界外浓度最高点</w:t>
                  </w:r>
                </w:p>
              </w:tc>
              <w:tc>
                <w:tcPr>
                  <w:tcW w:w="1816" w:type="dxa"/>
                  <w:vAlign w:val="center"/>
                </w:tcPr>
                <w:p w14:paraId="39BD586F">
                  <w:pPr>
                    <w:autoSpaceDE w:val="0"/>
                    <w:autoSpaceDN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0.25</w:t>
                  </w:r>
                </w:p>
              </w:tc>
            </w:tr>
          </w:tbl>
          <w:p w14:paraId="526927EC">
            <w:pPr>
              <w:pStyle w:val="2"/>
              <w:numPr>
                <w:ilvl w:val="0"/>
                <w:numId w:val="0"/>
              </w:numPr>
              <w:rPr>
                <w:color w:val="auto"/>
              </w:rPr>
            </w:pPr>
          </w:p>
          <w:p w14:paraId="6D7A42FC">
            <w:pPr>
              <w:widowControl/>
              <w:ind w:firstLine="480"/>
              <w:jc w:val="left"/>
              <w:rPr>
                <w:color w:val="auto"/>
              </w:rPr>
            </w:pPr>
            <w:r>
              <w:rPr>
                <w:rFonts w:hint="eastAsia"/>
                <w:color w:val="auto"/>
                <w:lang w:val="en-US" w:eastAsia="zh-CN"/>
              </w:rPr>
              <w:t>江城镇卫生院</w:t>
            </w:r>
            <w:r>
              <w:rPr>
                <w:color w:val="auto"/>
              </w:rPr>
              <w:t>污水处理站为地埋式，格栅、调节池等设置于房间内，保证污水处理站周围空气中污染物达到《医疗机构水污染物排放标准》(GB18466-2005)中污水处理站周边大气污染物最高允许浓度的要求</w:t>
            </w:r>
            <w:r>
              <w:rPr>
                <w:color w:val="auto"/>
                <w:kern w:val="0"/>
                <w:szCs w:val="24"/>
                <w:lang w:bidi="ar"/>
              </w:rPr>
              <w:t>。单位：mg/m</w:t>
            </w:r>
            <w:r>
              <w:rPr>
                <w:color w:val="auto"/>
                <w:kern w:val="0"/>
                <w:szCs w:val="24"/>
                <w:vertAlign w:val="superscript"/>
                <w:lang w:bidi="ar"/>
              </w:rPr>
              <w:t>3</w:t>
            </w:r>
            <w:r>
              <w:rPr>
                <w:color w:val="auto"/>
                <w:kern w:val="0"/>
                <w:szCs w:val="24"/>
                <w:lang w:bidi="ar"/>
              </w:rPr>
              <w:t>。</w:t>
            </w:r>
          </w:p>
          <w:p w14:paraId="71D07EBB">
            <w:pPr>
              <w:ind w:firstLine="422"/>
              <w:jc w:val="center"/>
              <w:rPr>
                <w:b/>
                <w:snapToGrid w:val="0"/>
                <w:color w:val="auto"/>
                <w:kern w:val="18"/>
                <w:sz w:val="21"/>
                <w:szCs w:val="21"/>
              </w:rPr>
            </w:pPr>
            <w:r>
              <w:rPr>
                <w:b/>
                <w:snapToGrid w:val="0"/>
                <w:color w:val="auto"/>
                <w:kern w:val="18"/>
                <w:sz w:val="21"/>
                <w:szCs w:val="21"/>
              </w:rPr>
              <w:t>表3-</w:t>
            </w:r>
            <w:r>
              <w:rPr>
                <w:rFonts w:hint="eastAsia"/>
                <w:b/>
                <w:snapToGrid w:val="0"/>
                <w:color w:val="auto"/>
                <w:kern w:val="18"/>
                <w:sz w:val="21"/>
                <w:szCs w:val="21"/>
                <w:lang w:val="en-US" w:eastAsia="zh-CN"/>
              </w:rPr>
              <w:t>11</w:t>
            </w:r>
            <w:r>
              <w:rPr>
                <w:b/>
                <w:snapToGrid w:val="0"/>
                <w:color w:val="auto"/>
                <w:kern w:val="18"/>
                <w:sz w:val="21"/>
                <w:szCs w:val="21"/>
              </w:rPr>
              <w:t>污水处理站周边大气污染物最高允许浓度</w:t>
            </w:r>
          </w:p>
          <w:tbl>
            <w:tblPr>
              <w:tblStyle w:val="19"/>
              <w:tblW w:w="77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3445"/>
            </w:tblGrid>
            <w:tr w14:paraId="4FC66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1" w:type="dxa"/>
                  <w:tcBorders>
                    <w:tl2br w:val="nil"/>
                    <w:tr2bl w:val="nil"/>
                  </w:tcBorders>
                  <w:vAlign w:val="center"/>
                </w:tcPr>
                <w:p w14:paraId="6AA13131">
                  <w:pPr>
                    <w:pStyle w:val="36"/>
                    <w:adjustRightInd w:val="0"/>
                    <w:snapToGrid w:val="0"/>
                    <w:rPr>
                      <w:color w:val="auto"/>
                    </w:rPr>
                  </w:pPr>
                  <w:r>
                    <w:rPr>
                      <w:color w:val="auto"/>
                    </w:rPr>
                    <w:t>控制项目</w:t>
                  </w:r>
                </w:p>
              </w:tc>
              <w:tc>
                <w:tcPr>
                  <w:tcW w:w="3445" w:type="dxa"/>
                  <w:tcBorders>
                    <w:tl2br w:val="nil"/>
                    <w:tr2bl w:val="nil"/>
                  </w:tcBorders>
                  <w:vAlign w:val="center"/>
                </w:tcPr>
                <w:p w14:paraId="06850886">
                  <w:pPr>
                    <w:pStyle w:val="36"/>
                    <w:adjustRightInd w:val="0"/>
                    <w:snapToGrid w:val="0"/>
                    <w:rPr>
                      <w:color w:val="auto"/>
                    </w:rPr>
                  </w:pPr>
                  <w:r>
                    <w:rPr>
                      <w:color w:val="auto"/>
                    </w:rPr>
                    <w:t>标准值</w:t>
                  </w:r>
                </w:p>
              </w:tc>
            </w:tr>
            <w:tr w14:paraId="7FED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1" w:type="dxa"/>
                  <w:tcBorders>
                    <w:tl2br w:val="nil"/>
                    <w:tr2bl w:val="nil"/>
                  </w:tcBorders>
                  <w:vAlign w:val="center"/>
                </w:tcPr>
                <w:p w14:paraId="0CA3A07D">
                  <w:pPr>
                    <w:pStyle w:val="36"/>
                    <w:adjustRightInd w:val="0"/>
                    <w:snapToGrid w:val="0"/>
                    <w:rPr>
                      <w:color w:val="auto"/>
                    </w:rPr>
                  </w:pPr>
                  <w:r>
                    <w:rPr>
                      <w:color w:val="auto"/>
                    </w:rPr>
                    <w:t>氨/（mg/m</w:t>
                  </w:r>
                  <w:r>
                    <w:rPr>
                      <w:color w:val="auto"/>
                      <w:vertAlign w:val="superscript"/>
                    </w:rPr>
                    <w:t>3</w:t>
                  </w:r>
                  <w:r>
                    <w:rPr>
                      <w:color w:val="auto"/>
                    </w:rPr>
                    <w:t>）</w:t>
                  </w:r>
                </w:p>
              </w:tc>
              <w:tc>
                <w:tcPr>
                  <w:tcW w:w="3445" w:type="dxa"/>
                  <w:tcBorders>
                    <w:tl2br w:val="nil"/>
                    <w:tr2bl w:val="nil"/>
                  </w:tcBorders>
                  <w:vAlign w:val="center"/>
                </w:tcPr>
                <w:p w14:paraId="3B2630E0">
                  <w:pPr>
                    <w:pStyle w:val="36"/>
                    <w:adjustRightInd w:val="0"/>
                    <w:snapToGrid w:val="0"/>
                    <w:rPr>
                      <w:color w:val="auto"/>
                    </w:rPr>
                  </w:pPr>
                  <w:r>
                    <w:rPr>
                      <w:color w:val="auto"/>
                    </w:rPr>
                    <w:t>1.0</w:t>
                  </w:r>
                </w:p>
              </w:tc>
            </w:tr>
            <w:tr w14:paraId="533B4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1" w:type="dxa"/>
                  <w:tcBorders>
                    <w:tl2br w:val="nil"/>
                    <w:tr2bl w:val="nil"/>
                  </w:tcBorders>
                  <w:vAlign w:val="center"/>
                </w:tcPr>
                <w:p w14:paraId="3F7801AD">
                  <w:pPr>
                    <w:pStyle w:val="36"/>
                    <w:adjustRightInd w:val="0"/>
                    <w:snapToGrid w:val="0"/>
                    <w:rPr>
                      <w:color w:val="auto"/>
                    </w:rPr>
                  </w:pPr>
                  <w:r>
                    <w:rPr>
                      <w:color w:val="auto"/>
                    </w:rPr>
                    <w:t>硫化氢/（mg/m</w:t>
                  </w:r>
                  <w:r>
                    <w:rPr>
                      <w:color w:val="auto"/>
                      <w:vertAlign w:val="superscript"/>
                    </w:rPr>
                    <w:t>3</w:t>
                  </w:r>
                  <w:r>
                    <w:rPr>
                      <w:color w:val="auto"/>
                    </w:rPr>
                    <w:t>）</w:t>
                  </w:r>
                </w:p>
              </w:tc>
              <w:tc>
                <w:tcPr>
                  <w:tcW w:w="3445" w:type="dxa"/>
                  <w:tcBorders>
                    <w:tl2br w:val="nil"/>
                    <w:tr2bl w:val="nil"/>
                  </w:tcBorders>
                  <w:vAlign w:val="center"/>
                </w:tcPr>
                <w:p w14:paraId="496A9CED">
                  <w:pPr>
                    <w:pStyle w:val="36"/>
                    <w:adjustRightInd w:val="0"/>
                    <w:snapToGrid w:val="0"/>
                    <w:rPr>
                      <w:color w:val="auto"/>
                    </w:rPr>
                  </w:pPr>
                  <w:r>
                    <w:rPr>
                      <w:color w:val="auto"/>
                    </w:rPr>
                    <w:t>0.03</w:t>
                  </w:r>
                </w:p>
              </w:tc>
            </w:tr>
            <w:tr w14:paraId="73BF0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1" w:type="dxa"/>
                  <w:tcBorders>
                    <w:tl2br w:val="nil"/>
                    <w:tr2bl w:val="nil"/>
                  </w:tcBorders>
                  <w:vAlign w:val="center"/>
                </w:tcPr>
                <w:p w14:paraId="1CB13D42">
                  <w:pPr>
                    <w:pStyle w:val="36"/>
                    <w:adjustRightInd w:val="0"/>
                    <w:snapToGrid w:val="0"/>
                    <w:rPr>
                      <w:color w:val="auto"/>
                    </w:rPr>
                  </w:pPr>
                  <w:r>
                    <w:rPr>
                      <w:color w:val="auto"/>
                    </w:rPr>
                    <w:t>臭气浓度/（无量纲）</w:t>
                  </w:r>
                </w:p>
              </w:tc>
              <w:tc>
                <w:tcPr>
                  <w:tcW w:w="3445" w:type="dxa"/>
                  <w:tcBorders>
                    <w:tl2br w:val="nil"/>
                    <w:tr2bl w:val="nil"/>
                  </w:tcBorders>
                  <w:vAlign w:val="center"/>
                </w:tcPr>
                <w:p w14:paraId="4AA7B31C">
                  <w:pPr>
                    <w:pStyle w:val="36"/>
                    <w:adjustRightInd w:val="0"/>
                    <w:snapToGrid w:val="0"/>
                    <w:rPr>
                      <w:color w:val="auto"/>
                    </w:rPr>
                  </w:pPr>
                  <w:r>
                    <w:rPr>
                      <w:color w:val="auto"/>
                    </w:rPr>
                    <w:t>10</w:t>
                  </w:r>
                </w:p>
              </w:tc>
            </w:tr>
            <w:tr w14:paraId="64FB4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1" w:type="dxa"/>
                  <w:tcBorders>
                    <w:tl2br w:val="nil"/>
                    <w:tr2bl w:val="nil"/>
                  </w:tcBorders>
                  <w:vAlign w:val="center"/>
                </w:tcPr>
                <w:p w14:paraId="7AFB8707">
                  <w:pPr>
                    <w:pStyle w:val="36"/>
                    <w:adjustRightInd w:val="0"/>
                    <w:snapToGrid w:val="0"/>
                    <w:rPr>
                      <w:color w:val="auto"/>
                    </w:rPr>
                  </w:pPr>
                  <w:r>
                    <w:rPr>
                      <w:color w:val="auto"/>
                    </w:rPr>
                    <w:t>氯气/（mg/m</w:t>
                  </w:r>
                  <w:r>
                    <w:rPr>
                      <w:color w:val="auto"/>
                      <w:vertAlign w:val="superscript"/>
                    </w:rPr>
                    <w:t>3</w:t>
                  </w:r>
                  <w:r>
                    <w:rPr>
                      <w:color w:val="auto"/>
                    </w:rPr>
                    <w:t>）</w:t>
                  </w:r>
                </w:p>
              </w:tc>
              <w:tc>
                <w:tcPr>
                  <w:tcW w:w="3445" w:type="dxa"/>
                  <w:tcBorders>
                    <w:tl2br w:val="nil"/>
                    <w:tr2bl w:val="nil"/>
                  </w:tcBorders>
                  <w:vAlign w:val="center"/>
                </w:tcPr>
                <w:p w14:paraId="550D991C">
                  <w:pPr>
                    <w:pStyle w:val="36"/>
                    <w:adjustRightInd w:val="0"/>
                    <w:snapToGrid w:val="0"/>
                    <w:rPr>
                      <w:color w:val="auto"/>
                    </w:rPr>
                  </w:pPr>
                  <w:r>
                    <w:rPr>
                      <w:color w:val="auto"/>
                    </w:rPr>
                    <w:t>0.1</w:t>
                  </w:r>
                </w:p>
              </w:tc>
            </w:tr>
            <w:tr w14:paraId="3338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1" w:type="dxa"/>
                  <w:tcBorders>
                    <w:tl2br w:val="nil"/>
                    <w:tr2bl w:val="nil"/>
                  </w:tcBorders>
                  <w:vAlign w:val="center"/>
                </w:tcPr>
                <w:p w14:paraId="7617E693">
                  <w:pPr>
                    <w:pStyle w:val="36"/>
                    <w:adjustRightInd w:val="0"/>
                    <w:snapToGrid w:val="0"/>
                    <w:rPr>
                      <w:color w:val="auto"/>
                    </w:rPr>
                  </w:pPr>
                  <w:r>
                    <w:rPr>
                      <w:color w:val="auto"/>
                    </w:rPr>
                    <w:t>甲烷/（指处理站内最高体积百分数，%）</w:t>
                  </w:r>
                </w:p>
              </w:tc>
              <w:tc>
                <w:tcPr>
                  <w:tcW w:w="3445" w:type="dxa"/>
                  <w:tcBorders>
                    <w:tl2br w:val="nil"/>
                    <w:tr2bl w:val="nil"/>
                  </w:tcBorders>
                  <w:vAlign w:val="center"/>
                </w:tcPr>
                <w:p w14:paraId="2F212736">
                  <w:pPr>
                    <w:pStyle w:val="36"/>
                    <w:adjustRightInd w:val="0"/>
                    <w:snapToGrid w:val="0"/>
                    <w:rPr>
                      <w:color w:val="auto"/>
                    </w:rPr>
                  </w:pPr>
                  <w:r>
                    <w:rPr>
                      <w:color w:val="auto"/>
                    </w:rPr>
                    <w:t>1</w:t>
                  </w:r>
                </w:p>
              </w:tc>
            </w:tr>
          </w:tbl>
          <w:p w14:paraId="2380EBA2">
            <w:pPr>
              <w:adjustRightInd w:val="0"/>
              <w:snapToGrid w:val="0"/>
              <w:ind w:firstLine="480" w:firstLineChars="0"/>
              <w:rPr>
                <w:color w:val="auto"/>
              </w:rPr>
            </w:pPr>
            <w:r>
              <w:rPr>
                <w:color w:val="auto"/>
              </w:rPr>
              <w:t>项目区设有食堂，以电能为燃料，基准灶头2个，餐饮油烟执行《饮食业油烟排放标准》（GB18483-2001）</w:t>
            </w:r>
            <w:r>
              <w:rPr>
                <w:rFonts w:hint="eastAsia"/>
                <w:color w:val="auto"/>
              </w:rPr>
              <w:t>中</w:t>
            </w:r>
            <w:r>
              <w:rPr>
                <w:color w:val="auto"/>
              </w:rPr>
              <w:t>型，油烟最高允许排放浓度和油烟净化设施最低去除效率见下表。</w:t>
            </w:r>
          </w:p>
          <w:p w14:paraId="7B701AF5">
            <w:pPr>
              <w:ind w:firstLine="422"/>
              <w:jc w:val="center"/>
              <w:rPr>
                <w:b/>
                <w:bCs/>
                <w:color w:val="auto"/>
                <w:sz w:val="21"/>
                <w:szCs w:val="21"/>
              </w:rPr>
            </w:pPr>
            <w:r>
              <w:rPr>
                <w:b/>
                <w:bCs/>
                <w:color w:val="auto"/>
                <w:sz w:val="21"/>
                <w:szCs w:val="21"/>
              </w:rPr>
              <w:t>表3-</w:t>
            </w:r>
            <w:r>
              <w:rPr>
                <w:rFonts w:hint="eastAsia"/>
                <w:b/>
                <w:bCs/>
                <w:color w:val="auto"/>
                <w:sz w:val="21"/>
                <w:szCs w:val="21"/>
                <w:lang w:val="en-US" w:eastAsia="zh-CN"/>
              </w:rPr>
              <w:t>12</w:t>
            </w:r>
            <w:r>
              <w:rPr>
                <w:b/>
                <w:bCs/>
                <w:color w:val="auto"/>
                <w:sz w:val="21"/>
                <w:szCs w:val="21"/>
              </w:rPr>
              <w:t>饮食业单位排放标准值及油烟最低去除率</w:t>
            </w:r>
          </w:p>
          <w:tbl>
            <w:tblPr>
              <w:tblStyle w:val="19"/>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3170"/>
              <w:gridCol w:w="1434"/>
              <w:gridCol w:w="1434"/>
              <w:gridCol w:w="1434"/>
            </w:tblGrid>
            <w:tr w14:paraId="2CCA5B6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23" w:hRule="atLeast"/>
              </w:trPr>
              <w:tc>
                <w:tcPr>
                  <w:tcW w:w="3170" w:type="dxa"/>
                  <w:vAlign w:val="center"/>
                </w:tcPr>
                <w:p w14:paraId="61DFBB6B">
                  <w:pPr>
                    <w:autoSpaceDE w:val="0"/>
                    <w:autoSpaceDN w:val="0"/>
                    <w:spacing w:line="240" w:lineRule="auto"/>
                    <w:ind w:firstLine="0" w:firstLineChars="0"/>
                    <w:jc w:val="center"/>
                    <w:rPr>
                      <w:b/>
                      <w:bCs/>
                      <w:color w:val="auto"/>
                      <w:sz w:val="21"/>
                      <w:szCs w:val="21"/>
                    </w:rPr>
                  </w:pPr>
                  <w:r>
                    <w:rPr>
                      <w:b/>
                      <w:bCs/>
                      <w:color w:val="auto"/>
                      <w:sz w:val="21"/>
                      <w:szCs w:val="21"/>
                    </w:rPr>
                    <w:t>规模</w:t>
                  </w:r>
                </w:p>
              </w:tc>
              <w:tc>
                <w:tcPr>
                  <w:tcW w:w="1434" w:type="dxa"/>
                  <w:vAlign w:val="center"/>
                </w:tcPr>
                <w:p w14:paraId="7AC0D286">
                  <w:pPr>
                    <w:autoSpaceDE w:val="0"/>
                    <w:autoSpaceDN w:val="0"/>
                    <w:spacing w:line="240" w:lineRule="auto"/>
                    <w:ind w:firstLine="0" w:firstLineChars="0"/>
                    <w:jc w:val="center"/>
                    <w:rPr>
                      <w:b/>
                      <w:bCs/>
                      <w:color w:val="auto"/>
                      <w:sz w:val="21"/>
                      <w:szCs w:val="21"/>
                    </w:rPr>
                  </w:pPr>
                  <w:r>
                    <w:rPr>
                      <w:b/>
                      <w:bCs/>
                      <w:color w:val="auto"/>
                      <w:sz w:val="21"/>
                      <w:szCs w:val="21"/>
                    </w:rPr>
                    <w:t>小型</w:t>
                  </w:r>
                </w:p>
              </w:tc>
              <w:tc>
                <w:tcPr>
                  <w:tcW w:w="1434" w:type="dxa"/>
                </w:tcPr>
                <w:p w14:paraId="65EF3032">
                  <w:pPr>
                    <w:autoSpaceDE w:val="0"/>
                    <w:autoSpaceDN w:val="0"/>
                    <w:spacing w:line="240" w:lineRule="auto"/>
                    <w:ind w:firstLine="0" w:firstLineChars="0"/>
                    <w:jc w:val="center"/>
                    <w:rPr>
                      <w:b/>
                      <w:bCs/>
                      <w:color w:val="auto"/>
                      <w:sz w:val="21"/>
                      <w:szCs w:val="21"/>
                    </w:rPr>
                  </w:pPr>
                  <w:r>
                    <w:rPr>
                      <w:b/>
                      <w:bCs/>
                      <w:color w:val="auto"/>
                      <w:sz w:val="21"/>
                      <w:szCs w:val="21"/>
                    </w:rPr>
                    <w:t>中型</w:t>
                  </w:r>
                </w:p>
              </w:tc>
              <w:tc>
                <w:tcPr>
                  <w:tcW w:w="1434" w:type="dxa"/>
                </w:tcPr>
                <w:p w14:paraId="3F0C95FE">
                  <w:pPr>
                    <w:autoSpaceDE w:val="0"/>
                    <w:autoSpaceDN w:val="0"/>
                    <w:spacing w:line="240" w:lineRule="auto"/>
                    <w:ind w:firstLine="0" w:firstLineChars="0"/>
                    <w:jc w:val="center"/>
                    <w:rPr>
                      <w:b/>
                      <w:bCs/>
                      <w:color w:val="auto"/>
                      <w:sz w:val="21"/>
                      <w:szCs w:val="21"/>
                    </w:rPr>
                  </w:pPr>
                  <w:r>
                    <w:rPr>
                      <w:b/>
                      <w:bCs/>
                      <w:color w:val="auto"/>
                      <w:sz w:val="21"/>
                      <w:szCs w:val="21"/>
                    </w:rPr>
                    <w:t>大型</w:t>
                  </w:r>
                </w:p>
              </w:tc>
            </w:tr>
            <w:tr w14:paraId="35E39A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3" w:hRule="atLeast"/>
              </w:trPr>
              <w:tc>
                <w:tcPr>
                  <w:tcW w:w="3170" w:type="dxa"/>
                  <w:vAlign w:val="center"/>
                </w:tcPr>
                <w:p w14:paraId="78A3330D">
                  <w:pPr>
                    <w:autoSpaceDE w:val="0"/>
                    <w:autoSpaceDN w:val="0"/>
                    <w:spacing w:line="240" w:lineRule="auto"/>
                    <w:ind w:firstLine="0" w:firstLineChars="0"/>
                    <w:jc w:val="center"/>
                    <w:rPr>
                      <w:color w:val="auto"/>
                      <w:sz w:val="21"/>
                      <w:szCs w:val="21"/>
                    </w:rPr>
                  </w:pPr>
                  <w:r>
                    <w:rPr>
                      <w:color w:val="auto"/>
                      <w:sz w:val="21"/>
                      <w:szCs w:val="21"/>
                    </w:rPr>
                    <w:t>最高允许排放浓度（mg/m</w:t>
                  </w:r>
                  <w:r>
                    <w:rPr>
                      <w:color w:val="auto"/>
                      <w:sz w:val="21"/>
                      <w:szCs w:val="21"/>
                      <w:vertAlign w:val="superscript"/>
                    </w:rPr>
                    <w:t>3</w:t>
                  </w:r>
                  <w:r>
                    <w:rPr>
                      <w:color w:val="auto"/>
                      <w:sz w:val="21"/>
                      <w:szCs w:val="21"/>
                    </w:rPr>
                    <w:t>）</w:t>
                  </w:r>
                </w:p>
              </w:tc>
              <w:tc>
                <w:tcPr>
                  <w:tcW w:w="4302" w:type="dxa"/>
                  <w:gridSpan w:val="3"/>
                  <w:vAlign w:val="center"/>
                </w:tcPr>
                <w:p w14:paraId="4FA5437A">
                  <w:pPr>
                    <w:autoSpaceDE w:val="0"/>
                    <w:autoSpaceDN w:val="0"/>
                    <w:spacing w:line="240" w:lineRule="auto"/>
                    <w:ind w:firstLine="0" w:firstLineChars="0"/>
                    <w:jc w:val="center"/>
                    <w:rPr>
                      <w:color w:val="auto"/>
                      <w:sz w:val="21"/>
                      <w:szCs w:val="21"/>
                    </w:rPr>
                  </w:pPr>
                  <w:r>
                    <w:rPr>
                      <w:color w:val="auto"/>
                      <w:sz w:val="21"/>
                      <w:szCs w:val="21"/>
                    </w:rPr>
                    <w:t>2.0</w:t>
                  </w:r>
                </w:p>
              </w:tc>
            </w:tr>
            <w:tr w14:paraId="532F254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37" w:hRule="atLeast"/>
              </w:trPr>
              <w:tc>
                <w:tcPr>
                  <w:tcW w:w="3170" w:type="dxa"/>
                  <w:vAlign w:val="center"/>
                </w:tcPr>
                <w:p w14:paraId="4ECA224C">
                  <w:pPr>
                    <w:autoSpaceDE w:val="0"/>
                    <w:autoSpaceDN w:val="0"/>
                    <w:spacing w:line="240" w:lineRule="auto"/>
                    <w:ind w:firstLine="0" w:firstLineChars="0"/>
                    <w:jc w:val="center"/>
                    <w:rPr>
                      <w:color w:val="auto"/>
                      <w:sz w:val="21"/>
                      <w:szCs w:val="21"/>
                    </w:rPr>
                  </w:pPr>
                  <w:r>
                    <w:rPr>
                      <w:color w:val="auto"/>
                      <w:sz w:val="21"/>
                      <w:szCs w:val="21"/>
                    </w:rPr>
                    <w:t>净化设施最低去除效率（%）</w:t>
                  </w:r>
                </w:p>
              </w:tc>
              <w:tc>
                <w:tcPr>
                  <w:tcW w:w="1434" w:type="dxa"/>
                  <w:vAlign w:val="center"/>
                </w:tcPr>
                <w:p w14:paraId="77F5D684">
                  <w:pPr>
                    <w:autoSpaceDE w:val="0"/>
                    <w:autoSpaceDN w:val="0"/>
                    <w:spacing w:line="240" w:lineRule="auto"/>
                    <w:ind w:firstLine="0" w:firstLineChars="0"/>
                    <w:jc w:val="center"/>
                    <w:rPr>
                      <w:color w:val="auto"/>
                      <w:sz w:val="21"/>
                      <w:szCs w:val="21"/>
                    </w:rPr>
                  </w:pPr>
                  <w:r>
                    <w:rPr>
                      <w:color w:val="auto"/>
                      <w:sz w:val="21"/>
                      <w:szCs w:val="21"/>
                    </w:rPr>
                    <w:t>60</w:t>
                  </w:r>
                </w:p>
              </w:tc>
              <w:tc>
                <w:tcPr>
                  <w:tcW w:w="1434" w:type="dxa"/>
                </w:tcPr>
                <w:p w14:paraId="7E1D21A2">
                  <w:pPr>
                    <w:autoSpaceDE w:val="0"/>
                    <w:autoSpaceDN w:val="0"/>
                    <w:spacing w:line="240" w:lineRule="auto"/>
                    <w:ind w:firstLine="0" w:firstLineChars="0"/>
                    <w:jc w:val="center"/>
                    <w:rPr>
                      <w:color w:val="auto"/>
                      <w:sz w:val="21"/>
                      <w:szCs w:val="21"/>
                    </w:rPr>
                  </w:pPr>
                  <w:r>
                    <w:rPr>
                      <w:color w:val="auto"/>
                      <w:sz w:val="21"/>
                      <w:szCs w:val="21"/>
                    </w:rPr>
                    <w:t>75</w:t>
                  </w:r>
                </w:p>
              </w:tc>
              <w:tc>
                <w:tcPr>
                  <w:tcW w:w="1434" w:type="dxa"/>
                </w:tcPr>
                <w:p w14:paraId="695EFD64">
                  <w:pPr>
                    <w:autoSpaceDE w:val="0"/>
                    <w:autoSpaceDN w:val="0"/>
                    <w:spacing w:line="240" w:lineRule="auto"/>
                    <w:ind w:firstLine="0" w:firstLineChars="0"/>
                    <w:jc w:val="center"/>
                    <w:rPr>
                      <w:color w:val="auto"/>
                      <w:sz w:val="21"/>
                      <w:szCs w:val="21"/>
                    </w:rPr>
                  </w:pPr>
                  <w:r>
                    <w:rPr>
                      <w:color w:val="auto"/>
                      <w:sz w:val="21"/>
                      <w:szCs w:val="21"/>
                    </w:rPr>
                    <w:t>85</w:t>
                  </w:r>
                </w:p>
              </w:tc>
            </w:tr>
          </w:tbl>
          <w:p w14:paraId="2EC6E8B9">
            <w:pPr>
              <w:ind w:firstLine="480"/>
              <w:rPr>
                <w:rFonts w:hint="eastAsia"/>
                <w:color w:val="auto"/>
                <w:szCs w:val="24"/>
              </w:rPr>
            </w:pPr>
            <w:r>
              <w:rPr>
                <w:rFonts w:hint="eastAsia"/>
                <w:color w:val="auto"/>
                <w:szCs w:val="24"/>
              </w:rPr>
              <w:t>项目备用发电机以柴油为燃料，仅停电时作为应急电源使用，项目位于城区范围内使用频率很小。</w:t>
            </w:r>
          </w:p>
          <w:p w14:paraId="50064B2E">
            <w:pPr>
              <w:ind w:left="0" w:leftChars="0" w:firstLine="482" w:firstLineChars="200"/>
              <w:rPr>
                <w:b/>
                <w:bCs/>
                <w:color w:val="auto"/>
                <w:szCs w:val="24"/>
              </w:rPr>
            </w:pPr>
            <w:r>
              <w:rPr>
                <w:b/>
                <w:bCs/>
                <w:color w:val="auto"/>
                <w:szCs w:val="24"/>
              </w:rPr>
              <w:t>2、噪声</w:t>
            </w:r>
          </w:p>
          <w:p w14:paraId="040E5DEC">
            <w:pPr>
              <w:widowControl/>
              <w:ind w:firstLine="480"/>
              <w:rPr>
                <w:color w:val="auto"/>
                <w:szCs w:val="24"/>
              </w:rPr>
            </w:pPr>
            <w:r>
              <w:rPr>
                <w:color w:val="auto"/>
                <w:szCs w:val="24"/>
              </w:rPr>
              <w:t>（1）施工期</w:t>
            </w:r>
          </w:p>
          <w:p w14:paraId="32E33E0E">
            <w:pPr>
              <w:widowControl/>
              <w:ind w:firstLine="480"/>
              <w:rPr>
                <w:color w:val="auto"/>
                <w:szCs w:val="24"/>
              </w:rPr>
            </w:pPr>
            <w:r>
              <w:rPr>
                <w:color w:val="auto"/>
                <w:szCs w:val="24"/>
              </w:rPr>
              <w:t>施工期噪声执行《建筑施工场界环境噪声排放标准》（GB12523-2</w:t>
            </w:r>
            <w:r>
              <w:rPr>
                <w:rFonts w:hint="eastAsia"/>
                <w:color w:val="auto"/>
                <w:szCs w:val="24"/>
                <w:lang w:val="en-US" w:eastAsia="zh-CN"/>
              </w:rPr>
              <w:t>025</w:t>
            </w:r>
            <w:r>
              <w:rPr>
                <w:color w:val="auto"/>
                <w:szCs w:val="24"/>
              </w:rPr>
              <w:t>），标准值见下表。</w:t>
            </w:r>
          </w:p>
          <w:p w14:paraId="627B69AF">
            <w:pPr>
              <w:widowControl/>
              <w:ind w:firstLine="0" w:firstLineChars="0"/>
              <w:jc w:val="center"/>
              <w:rPr>
                <w:b/>
                <w:bCs/>
                <w:color w:val="auto"/>
                <w:sz w:val="21"/>
                <w:szCs w:val="20"/>
              </w:rPr>
            </w:pPr>
            <w:r>
              <w:rPr>
                <w:b/>
                <w:bCs/>
                <w:color w:val="auto"/>
                <w:sz w:val="21"/>
                <w:szCs w:val="20"/>
              </w:rPr>
              <w:t>表3-1</w:t>
            </w:r>
            <w:r>
              <w:rPr>
                <w:rFonts w:hint="eastAsia"/>
                <w:b/>
                <w:bCs/>
                <w:color w:val="auto"/>
                <w:sz w:val="21"/>
                <w:szCs w:val="20"/>
                <w:lang w:val="en-US" w:eastAsia="zh-CN"/>
              </w:rPr>
              <w:t>3</w:t>
            </w:r>
            <w:r>
              <w:rPr>
                <w:b/>
                <w:bCs/>
                <w:color w:val="auto"/>
                <w:sz w:val="21"/>
                <w:szCs w:val="20"/>
              </w:rPr>
              <w:t>建筑施工场界环境噪声排放标准（单位dB&lt;A&gt;）</w:t>
            </w:r>
          </w:p>
          <w:tbl>
            <w:tblPr>
              <w:tblStyle w:val="19"/>
              <w:tblW w:w="7457"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614"/>
              <w:gridCol w:w="3843"/>
            </w:tblGrid>
            <w:tr w14:paraId="79ED5B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2423" w:type="pct"/>
                  <w:shd w:val="clear" w:color="auto" w:fill="FFFFFF"/>
                  <w:vAlign w:val="center"/>
                </w:tcPr>
                <w:p w14:paraId="2E8D7DD8">
                  <w:pPr>
                    <w:pStyle w:val="17"/>
                    <w:adjustRightInd w:val="0"/>
                    <w:snapToGrid w:val="0"/>
                    <w:ind w:firstLine="438"/>
                    <w:jc w:val="center"/>
                    <w:rPr>
                      <w:rFonts w:ascii="Times New Roman" w:hAnsi="Times New Roman"/>
                      <w:b/>
                      <w:bCs/>
                      <w:color w:val="auto"/>
                      <w:sz w:val="21"/>
                      <w:szCs w:val="21"/>
                    </w:rPr>
                  </w:pPr>
                  <w:r>
                    <w:rPr>
                      <w:rFonts w:ascii="Times New Roman" w:hAnsi="Times New Roman"/>
                      <w:b/>
                      <w:bCs/>
                      <w:color w:val="auto"/>
                      <w:sz w:val="21"/>
                      <w:szCs w:val="21"/>
                    </w:rPr>
                    <w:t>昼间</w:t>
                  </w:r>
                </w:p>
              </w:tc>
              <w:tc>
                <w:tcPr>
                  <w:tcW w:w="2577" w:type="pct"/>
                  <w:shd w:val="clear" w:color="auto" w:fill="FFFFFF"/>
                  <w:vAlign w:val="center"/>
                </w:tcPr>
                <w:p w14:paraId="38F4ACDB">
                  <w:pPr>
                    <w:pStyle w:val="17"/>
                    <w:adjustRightInd w:val="0"/>
                    <w:snapToGrid w:val="0"/>
                    <w:ind w:firstLine="438"/>
                    <w:jc w:val="center"/>
                    <w:rPr>
                      <w:rFonts w:ascii="Times New Roman" w:hAnsi="Times New Roman"/>
                      <w:b/>
                      <w:bCs/>
                      <w:color w:val="auto"/>
                      <w:sz w:val="21"/>
                      <w:szCs w:val="21"/>
                    </w:rPr>
                  </w:pPr>
                  <w:r>
                    <w:rPr>
                      <w:rFonts w:ascii="Times New Roman" w:hAnsi="Times New Roman"/>
                      <w:b/>
                      <w:bCs/>
                      <w:color w:val="auto"/>
                      <w:sz w:val="21"/>
                      <w:szCs w:val="21"/>
                    </w:rPr>
                    <w:t>夜间</w:t>
                  </w:r>
                </w:p>
              </w:tc>
            </w:tr>
            <w:tr w14:paraId="625AEC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2423" w:type="pct"/>
                  <w:vAlign w:val="center"/>
                </w:tcPr>
                <w:p w14:paraId="2E444D96">
                  <w:pPr>
                    <w:pStyle w:val="17"/>
                    <w:adjustRightInd w:val="0"/>
                    <w:snapToGrid w:val="0"/>
                    <w:ind w:firstLine="436"/>
                    <w:jc w:val="center"/>
                    <w:rPr>
                      <w:rFonts w:ascii="Times New Roman" w:hAnsi="Times New Roman"/>
                      <w:color w:val="auto"/>
                      <w:sz w:val="21"/>
                      <w:szCs w:val="21"/>
                    </w:rPr>
                  </w:pPr>
                  <w:r>
                    <w:rPr>
                      <w:rFonts w:ascii="Times New Roman" w:hAnsi="Times New Roman"/>
                      <w:color w:val="auto"/>
                      <w:sz w:val="21"/>
                      <w:szCs w:val="21"/>
                    </w:rPr>
                    <w:t>≤70</w:t>
                  </w:r>
                </w:p>
              </w:tc>
              <w:tc>
                <w:tcPr>
                  <w:tcW w:w="2577" w:type="pct"/>
                  <w:vAlign w:val="center"/>
                </w:tcPr>
                <w:p w14:paraId="109AFC71">
                  <w:pPr>
                    <w:pStyle w:val="17"/>
                    <w:adjustRightInd w:val="0"/>
                    <w:snapToGrid w:val="0"/>
                    <w:ind w:firstLine="436"/>
                    <w:jc w:val="center"/>
                    <w:rPr>
                      <w:rFonts w:ascii="Times New Roman" w:hAnsi="Times New Roman"/>
                      <w:color w:val="auto"/>
                      <w:sz w:val="21"/>
                      <w:szCs w:val="21"/>
                    </w:rPr>
                  </w:pPr>
                  <w:r>
                    <w:rPr>
                      <w:rFonts w:ascii="Times New Roman" w:hAnsi="Times New Roman"/>
                      <w:color w:val="auto"/>
                      <w:sz w:val="21"/>
                      <w:szCs w:val="21"/>
                    </w:rPr>
                    <w:t>≤55</w:t>
                  </w:r>
                </w:p>
              </w:tc>
            </w:tr>
          </w:tbl>
          <w:p w14:paraId="3FD16596">
            <w:pPr>
              <w:pStyle w:val="47"/>
              <w:ind w:left="480" w:firstLine="0" w:firstLineChars="0"/>
              <w:rPr>
                <w:snapToGrid w:val="0"/>
                <w:color w:val="auto"/>
                <w:szCs w:val="24"/>
              </w:rPr>
            </w:pPr>
            <w:r>
              <w:rPr>
                <w:snapToGrid w:val="0"/>
                <w:color w:val="auto"/>
                <w:szCs w:val="24"/>
              </w:rPr>
              <w:t>（2）运营期</w:t>
            </w:r>
          </w:p>
          <w:p w14:paraId="46A55CEB">
            <w:pPr>
              <w:ind w:firstLine="480"/>
              <w:rPr>
                <w:color w:val="auto"/>
              </w:rPr>
            </w:pPr>
            <w:r>
              <w:rPr>
                <w:color w:val="auto"/>
              </w:rPr>
              <w:t>运营期噪声执行《工业企业厂界环境噪声排放标准》（GB12348-2008）2类标准，项目</w:t>
            </w:r>
            <w:r>
              <w:rPr>
                <w:rFonts w:hint="eastAsia"/>
                <w:color w:val="auto"/>
                <w:lang w:val="en-US" w:eastAsia="zh-CN"/>
              </w:rPr>
              <w:t>江川区医共体总院</w:t>
            </w:r>
            <w:r>
              <w:rPr>
                <w:color w:val="auto"/>
              </w:rPr>
              <w:t>东侧靠近湖滨路35±5米范围类执行4类标准。标准值如表3-1</w:t>
            </w:r>
            <w:r>
              <w:rPr>
                <w:rFonts w:hint="eastAsia"/>
                <w:color w:val="auto"/>
                <w:lang w:val="en-US" w:eastAsia="zh-CN"/>
              </w:rPr>
              <w:t>4</w:t>
            </w:r>
            <w:r>
              <w:rPr>
                <w:color w:val="auto"/>
              </w:rPr>
              <w:t>。</w:t>
            </w:r>
          </w:p>
          <w:p w14:paraId="7879C5D2">
            <w:pPr>
              <w:ind w:firstLine="422"/>
              <w:jc w:val="center"/>
              <w:rPr>
                <w:b/>
                <w:snapToGrid w:val="0"/>
                <w:color w:val="auto"/>
                <w:kern w:val="18"/>
                <w:sz w:val="21"/>
                <w:szCs w:val="21"/>
              </w:rPr>
            </w:pPr>
            <w:r>
              <w:rPr>
                <w:b/>
                <w:color w:val="auto"/>
                <w:kern w:val="18"/>
                <w:sz w:val="21"/>
                <w:szCs w:val="21"/>
              </w:rPr>
              <mc:AlternateContent>
                <mc:Choice Requires="wps">
                  <w:drawing>
                    <wp:anchor distT="0" distB="0" distL="114300" distR="114300" simplePos="0" relativeHeight="251661312" behindDoc="0" locked="0" layoutInCell="1" allowOverlap="1">
                      <wp:simplePos x="0" y="0"/>
                      <wp:positionH relativeFrom="column">
                        <wp:posOffset>104140</wp:posOffset>
                      </wp:positionH>
                      <wp:positionV relativeFrom="paragraph">
                        <wp:posOffset>255905</wp:posOffset>
                      </wp:positionV>
                      <wp:extent cx="1846580" cy="361950"/>
                      <wp:effectExtent l="13335" t="8255" r="6985" b="10795"/>
                      <wp:wrapNone/>
                      <wp:docPr id="486685287" name="AutoShape 7"/>
                      <wp:cNvGraphicFramePr/>
                      <a:graphic xmlns:a="http://schemas.openxmlformats.org/drawingml/2006/main">
                        <a:graphicData uri="http://schemas.microsoft.com/office/word/2010/wordprocessingShape">
                          <wps:wsp>
                            <wps:cNvCnPr>
                              <a:cxnSpLocks noChangeShapeType="1"/>
                            </wps:cNvCnPr>
                            <wps:spPr bwMode="auto">
                              <a:xfrm>
                                <a:off x="0" y="0"/>
                                <a:ext cx="1846580" cy="361950"/>
                              </a:xfrm>
                              <a:prstGeom prst="straightConnector1">
                                <a:avLst/>
                              </a:prstGeom>
                              <a:noFill/>
                              <a:ln w="9525">
                                <a:solidFill>
                                  <a:srgbClr val="000000"/>
                                </a:solidFill>
                                <a:round/>
                              </a:ln>
                            </wps:spPr>
                            <wps:bodyPr/>
                          </wps:wsp>
                        </a:graphicData>
                      </a:graphic>
                    </wp:anchor>
                  </w:drawing>
                </mc:Choice>
                <mc:Fallback>
                  <w:pict>
                    <v:shape id="AutoShape 7" o:spid="_x0000_s1026" o:spt="32" type="#_x0000_t32" style="position:absolute;left:0pt;margin-left:8.2pt;margin-top:20.15pt;height:28.5pt;width:145.4pt;z-index:251661312;mso-width-relative:page;mso-height-relative:page;" filled="f" stroked="t" coordsize="21600,21600" o:gfxdata="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TyXE01wAAAAgB&#10;AAAPAAAAAAAAAAEAIAAAACIAAABkcnMvZG93bnJldi54bWxQSwECFAAUAAAACACHTuJAIGcO0eMB&#10;AAC/AwAADgAAAAAAAAABACAAAAAmAQAAZHJzL2Uyb0RvYy54bWxQSwUGAAAAAAYABgBZAQAAewUA&#10;AAAA&#10;">
                      <v:fill on="f" focussize="0,0"/>
                      <v:stroke color="#000000" joinstyle="round"/>
                      <v:imagedata o:title=""/>
                      <o:lock v:ext="edit" aspectratio="f"/>
                    </v:shape>
                  </w:pict>
                </mc:Fallback>
              </mc:AlternateContent>
            </w:r>
            <w:r>
              <w:rPr>
                <w:b/>
                <w:snapToGrid w:val="0"/>
                <w:color w:val="auto"/>
                <w:kern w:val="18"/>
                <w:sz w:val="21"/>
                <w:szCs w:val="21"/>
              </w:rPr>
              <w:t>表3-1</w:t>
            </w:r>
            <w:r>
              <w:rPr>
                <w:rFonts w:hint="eastAsia"/>
                <w:b/>
                <w:snapToGrid w:val="0"/>
                <w:color w:val="auto"/>
                <w:kern w:val="18"/>
                <w:sz w:val="21"/>
                <w:szCs w:val="21"/>
                <w:lang w:val="en-US" w:eastAsia="zh-CN"/>
              </w:rPr>
              <w:t>4</w:t>
            </w:r>
            <w:r>
              <w:rPr>
                <w:b/>
                <w:snapToGrid w:val="0"/>
                <w:color w:val="auto"/>
                <w:kern w:val="18"/>
                <w:sz w:val="21"/>
                <w:szCs w:val="21"/>
              </w:rPr>
              <w:t>工业企业环境噪声排放标准(单位：dB(A))</w:t>
            </w:r>
          </w:p>
          <w:tbl>
            <w:tblPr>
              <w:tblStyle w:val="19"/>
              <w:tblW w:w="726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929"/>
              <w:gridCol w:w="1801"/>
              <w:gridCol w:w="2539"/>
            </w:tblGrid>
            <w:tr w14:paraId="2381031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67" w:hRule="atLeast"/>
                <w:jc w:val="center"/>
              </w:trPr>
              <w:tc>
                <w:tcPr>
                  <w:tcW w:w="2929" w:type="dxa"/>
                  <w:tcBorders>
                    <w:tl2br w:val="nil"/>
                    <w:tr2bl w:val="nil"/>
                  </w:tcBorders>
                  <w:vAlign w:val="center"/>
                </w:tcPr>
                <w:p w14:paraId="33CB267D">
                  <w:pPr>
                    <w:autoSpaceDE w:val="0"/>
                    <w:autoSpaceDN w:val="0"/>
                    <w:adjustRightInd w:val="0"/>
                    <w:spacing w:line="240" w:lineRule="auto"/>
                    <w:ind w:firstLine="1897" w:firstLineChars="900"/>
                    <w:jc w:val="center"/>
                    <w:rPr>
                      <w:b/>
                      <w:color w:val="auto"/>
                      <w:kern w:val="0"/>
                      <w:sz w:val="21"/>
                      <w:szCs w:val="21"/>
                    </w:rPr>
                  </w:pPr>
                  <w:r>
                    <w:rPr>
                      <w:b/>
                      <w:color w:val="auto"/>
                      <w:kern w:val="0"/>
                      <w:sz w:val="21"/>
                      <w:szCs w:val="21"/>
                    </w:rPr>
                    <w:t>时段</w:t>
                  </w:r>
                </w:p>
                <w:p w14:paraId="5300DF01">
                  <w:pPr>
                    <w:autoSpaceDE w:val="0"/>
                    <w:autoSpaceDN w:val="0"/>
                    <w:adjustRightInd w:val="0"/>
                    <w:spacing w:line="240" w:lineRule="auto"/>
                    <w:ind w:firstLine="0" w:firstLineChars="0"/>
                    <w:jc w:val="left"/>
                    <w:rPr>
                      <w:b/>
                      <w:color w:val="auto"/>
                      <w:kern w:val="0"/>
                      <w:sz w:val="21"/>
                      <w:szCs w:val="21"/>
                    </w:rPr>
                  </w:pPr>
                  <w:r>
                    <w:rPr>
                      <w:b/>
                      <w:color w:val="auto"/>
                      <w:kern w:val="0"/>
                      <w:sz w:val="21"/>
                      <w:szCs w:val="21"/>
                    </w:rPr>
                    <w:t>功能区类别</w:t>
                  </w:r>
                </w:p>
              </w:tc>
              <w:tc>
                <w:tcPr>
                  <w:tcW w:w="1801" w:type="dxa"/>
                  <w:tcBorders>
                    <w:tl2br w:val="nil"/>
                    <w:tr2bl w:val="nil"/>
                  </w:tcBorders>
                  <w:vAlign w:val="center"/>
                </w:tcPr>
                <w:p w14:paraId="4467C6F2">
                  <w:pPr>
                    <w:pStyle w:val="31"/>
                    <w:rPr>
                      <w:rFonts w:hint="eastAsia" w:eastAsia="宋体"/>
                      <w:b/>
                      <w:color w:val="auto"/>
                      <w:szCs w:val="21"/>
                      <w:lang w:eastAsia="zh-CN"/>
                    </w:rPr>
                  </w:pPr>
                  <w:r>
                    <w:rPr>
                      <w:b/>
                      <w:color w:val="auto"/>
                      <w:szCs w:val="21"/>
                    </w:rPr>
                    <w:t>昼间</w:t>
                  </w:r>
                </w:p>
              </w:tc>
              <w:tc>
                <w:tcPr>
                  <w:tcW w:w="2539" w:type="dxa"/>
                  <w:tcBorders>
                    <w:tl2br w:val="nil"/>
                    <w:tr2bl w:val="nil"/>
                  </w:tcBorders>
                  <w:vAlign w:val="center"/>
                </w:tcPr>
                <w:p w14:paraId="1CD8D177">
                  <w:pPr>
                    <w:pStyle w:val="31"/>
                    <w:rPr>
                      <w:b/>
                      <w:color w:val="auto"/>
                      <w:szCs w:val="21"/>
                    </w:rPr>
                  </w:pPr>
                  <w:r>
                    <w:rPr>
                      <w:b/>
                      <w:color w:val="auto"/>
                      <w:szCs w:val="21"/>
                    </w:rPr>
                    <w:t>夜间</w:t>
                  </w:r>
                </w:p>
              </w:tc>
            </w:tr>
            <w:tr w14:paraId="783CA40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9" w:hRule="atLeast"/>
                <w:jc w:val="center"/>
              </w:trPr>
              <w:tc>
                <w:tcPr>
                  <w:tcW w:w="2929" w:type="dxa"/>
                  <w:tcBorders>
                    <w:tl2br w:val="nil"/>
                    <w:tr2bl w:val="nil"/>
                  </w:tcBorders>
                  <w:vAlign w:val="center"/>
                </w:tcPr>
                <w:p w14:paraId="4BC163DA">
                  <w:pPr>
                    <w:pStyle w:val="31"/>
                    <w:rPr>
                      <w:color w:val="auto"/>
                      <w:szCs w:val="21"/>
                    </w:rPr>
                  </w:pPr>
                  <w:r>
                    <w:rPr>
                      <w:color w:val="auto"/>
                      <w:szCs w:val="21"/>
                    </w:rPr>
                    <w:t>2类</w:t>
                  </w:r>
                </w:p>
              </w:tc>
              <w:tc>
                <w:tcPr>
                  <w:tcW w:w="1801" w:type="dxa"/>
                  <w:tcBorders>
                    <w:tl2br w:val="nil"/>
                    <w:tr2bl w:val="nil"/>
                  </w:tcBorders>
                  <w:vAlign w:val="center"/>
                </w:tcPr>
                <w:p w14:paraId="052D2507">
                  <w:pPr>
                    <w:pStyle w:val="31"/>
                    <w:rPr>
                      <w:color w:val="auto"/>
                      <w:szCs w:val="21"/>
                    </w:rPr>
                  </w:pPr>
                  <w:r>
                    <w:rPr>
                      <w:color w:val="auto"/>
                      <w:szCs w:val="21"/>
                    </w:rPr>
                    <w:t>60</w:t>
                  </w:r>
                </w:p>
              </w:tc>
              <w:tc>
                <w:tcPr>
                  <w:tcW w:w="2539" w:type="dxa"/>
                  <w:tcBorders>
                    <w:tl2br w:val="nil"/>
                    <w:tr2bl w:val="nil"/>
                  </w:tcBorders>
                  <w:vAlign w:val="center"/>
                </w:tcPr>
                <w:p w14:paraId="2C02B4C0">
                  <w:pPr>
                    <w:pStyle w:val="31"/>
                    <w:rPr>
                      <w:color w:val="auto"/>
                      <w:szCs w:val="21"/>
                    </w:rPr>
                  </w:pPr>
                  <w:r>
                    <w:rPr>
                      <w:color w:val="auto"/>
                      <w:szCs w:val="21"/>
                    </w:rPr>
                    <w:t>50</w:t>
                  </w:r>
                </w:p>
              </w:tc>
            </w:tr>
            <w:tr w14:paraId="55F62F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3" w:hRule="atLeast"/>
                <w:jc w:val="center"/>
              </w:trPr>
              <w:tc>
                <w:tcPr>
                  <w:tcW w:w="2929" w:type="dxa"/>
                  <w:tcBorders>
                    <w:tl2br w:val="nil"/>
                    <w:tr2bl w:val="nil"/>
                  </w:tcBorders>
                  <w:vAlign w:val="center"/>
                </w:tcPr>
                <w:p w14:paraId="6DD66EDF">
                  <w:pPr>
                    <w:pStyle w:val="31"/>
                    <w:rPr>
                      <w:color w:val="auto"/>
                      <w:szCs w:val="21"/>
                    </w:rPr>
                  </w:pPr>
                  <w:r>
                    <w:rPr>
                      <w:color w:val="auto"/>
                      <w:szCs w:val="21"/>
                    </w:rPr>
                    <w:t>4类</w:t>
                  </w:r>
                </w:p>
              </w:tc>
              <w:tc>
                <w:tcPr>
                  <w:tcW w:w="1801" w:type="dxa"/>
                  <w:tcBorders>
                    <w:tl2br w:val="nil"/>
                    <w:tr2bl w:val="nil"/>
                  </w:tcBorders>
                  <w:vAlign w:val="center"/>
                </w:tcPr>
                <w:p w14:paraId="19ED5347">
                  <w:pPr>
                    <w:pStyle w:val="31"/>
                    <w:rPr>
                      <w:color w:val="auto"/>
                      <w:szCs w:val="21"/>
                    </w:rPr>
                  </w:pPr>
                  <w:r>
                    <w:rPr>
                      <w:color w:val="auto"/>
                      <w:szCs w:val="21"/>
                    </w:rPr>
                    <w:t>70</w:t>
                  </w:r>
                </w:p>
              </w:tc>
              <w:tc>
                <w:tcPr>
                  <w:tcW w:w="2539" w:type="dxa"/>
                  <w:tcBorders>
                    <w:tl2br w:val="nil"/>
                    <w:tr2bl w:val="nil"/>
                  </w:tcBorders>
                  <w:vAlign w:val="center"/>
                </w:tcPr>
                <w:p w14:paraId="53EE4509">
                  <w:pPr>
                    <w:pStyle w:val="31"/>
                    <w:rPr>
                      <w:color w:val="auto"/>
                      <w:szCs w:val="21"/>
                    </w:rPr>
                  </w:pPr>
                  <w:r>
                    <w:rPr>
                      <w:color w:val="auto"/>
                      <w:szCs w:val="21"/>
                    </w:rPr>
                    <w:t>55</w:t>
                  </w:r>
                </w:p>
              </w:tc>
            </w:tr>
          </w:tbl>
          <w:p w14:paraId="6C13E49A">
            <w:pPr>
              <w:ind w:firstLine="482"/>
              <w:rPr>
                <w:b/>
                <w:bCs/>
                <w:color w:val="auto"/>
                <w:szCs w:val="24"/>
              </w:rPr>
            </w:pPr>
            <w:r>
              <w:rPr>
                <w:b/>
                <w:bCs/>
                <w:color w:val="auto"/>
                <w:szCs w:val="24"/>
              </w:rPr>
              <w:t>3、废水</w:t>
            </w:r>
          </w:p>
          <w:p w14:paraId="1A1E636E">
            <w:pPr>
              <w:snapToGrid w:val="0"/>
              <w:ind w:firstLine="480"/>
              <w:rPr>
                <w:color w:val="auto"/>
                <w:szCs w:val="24"/>
              </w:rPr>
            </w:pPr>
            <w:r>
              <w:rPr>
                <w:color w:val="auto"/>
                <w:szCs w:val="24"/>
              </w:rPr>
              <w:t>（1）施工期</w:t>
            </w:r>
          </w:p>
          <w:p w14:paraId="6324494F">
            <w:pPr>
              <w:widowControl/>
              <w:ind w:firstLine="480"/>
              <w:jc w:val="left"/>
              <w:rPr>
                <w:color w:val="auto"/>
                <w:kern w:val="0"/>
                <w:szCs w:val="24"/>
                <w:lang w:bidi="ar"/>
              </w:rPr>
            </w:pPr>
            <w:r>
              <w:rPr>
                <w:color w:val="auto"/>
                <w:szCs w:val="24"/>
              </w:rPr>
              <w:t>项目施工期不设施工生活营地，施工人员日常如厕及洗手废水依托厂区已建化粪池处理；项目施工期主要为</w:t>
            </w:r>
            <w:r>
              <w:rPr>
                <w:rFonts w:hint="eastAsia"/>
                <w:color w:val="auto"/>
                <w:szCs w:val="24"/>
                <w:lang w:eastAsia="zh-CN"/>
              </w:rPr>
              <w:t>玉溪市江川区医共体总医院</w:t>
            </w:r>
            <w:r>
              <w:rPr>
                <w:color w:val="auto"/>
                <w:szCs w:val="24"/>
              </w:rPr>
              <w:t>综合住院楼，产生的施工废水经临时沉淀池收集处理后回用于施工，不外排。故不设施工期废水排放标准。</w:t>
            </w:r>
          </w:p>
          <w:p w14:paraId="08C1350F">
            <w:pPr>
              <w:adjustRightInd w:val="0"/>
              <w:snapToGrid w:val="0"/>
              <w:ind w:firstLine="480" w:firstLineChars="0"/>
              <w:rPr>
                <w:b/>
                <w:color w:val="auto"/>
              </w:rPr>
            </w:pPr>
            <w:r>
              <w:rPr>
                <w:snapToGrid w:val="0"/>
                <w:color w:val="auto"/>
                <w:szCs w:val="24"/>
              </w:rPr>
              <w:t>（2）运营期</w:t>
            </w:r>
          </w:p>
          <w:p w14:paraId="1C483C98">
            <w:pPr>
              <w:widowControl/>
              <w:ind w:firstLine="480"/>
              <w:jc w:val="left"/>
              <w:rPr>
                <w:color w:val="auto"/>
              </w:rPr>
            </w:pPr>
            <w:r>
              <w:rPr>
                <w:color w:val="auto"/>
                <w:kern w:val="0"/>
                <w:szCs w:val="24"/>
                <w:lang w:bidi="ar"/>
              </w:rPr>
              <w:t>废水排放执行《医疗机构水污染物排放标准》（GB18466-2005）</w:t>
            </w:r>
            <w:r>
              <w:rPr>
                <w:color w:val="auto"/>
              </w:rPr>
              <w:t>的综合医疗机构和其他医疗机构水污染物预处理标准的要求，标准值见表3-1</w:t>
            </w:r>
            <w:r>
              <w:rPr>
                <w:rFonts w:hint="eastAsia"/>
                <w:color w:val="auto"/>
                <w:lang w:val="en-US" w:eastAsia="zh-CN"/>
              </w:rPr>
              <w:t>5</w:t>
            </w:r>
            <w:r>
              <w:rPr>
                <w:color w:val="auto"/>
              </w:rPr>
              <w:t>。</w:t>
            </w:r>
          </w:p>
          <w:p w14:paraId="3C50C9AE">
            <w:pPr>
              <w:ind w:firstLine="422"/>
              <w:jc w:val="center"/>
              <w:rPr>
                <w:b/>
                <w:snapToGrid w:val="0"/>
                <w:color w:val="auto"/>
                <w:kern w:val="18"/>
                <w:sz w:val="21"/>
                <w:szCs w:val="21"/>
              </w:rPr>
            </w:pPr>
            <w:r>
              <w:rPr>
                <w:b/>
                <w:snapToGrid w:val="0"/>
                <w:color w:val="auto"/>
                <w:kern w:val="18"/>
                <w:sz w:val="21"/>
                <w:szCs w:val="21"/>
              </w:rPr>
              <w:t>表3-1</w:t>
            </w:r>
            <w:r>
              <w:rPr>
                <w:rFonts w:hint="eastAsia"/>
                <w:b/>
                <w:snapToGrid w:val="0"/>
                <w:color w:val="auto"/>
                <w:kern w:val="18"/>
                <w:sz w:val="21"/>
                <w:szCs w:val="21"/>
                <w:lang w:val="en-US" w:eastAsia="zh-CN"/>
              </w:rPr>
              <w:t>5</w:t>
            </w:r>
            <w:r>
              <w:rPr>
                <w:b/>
                <w:snapToGrid w:val="0"/>
                <w:color w:val="auto"/>
                <w:kern w:val="18"/>
                <w:sz w:val="21"/>
                <w:szCs w:val="21"/>
              </w:rPr>
              <w:t>项目水污染物排放限值摘录单位：mg/L(pH、粪大肠菌群数除外)</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2100"/>
              <w:gridCol w:w="4088"/>
            </w:tblGrid>
            <w:tr w14:paraId="25636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tcBorders>
                    <w:tl2br w:val="nil"/>
                    <w:tr2bl w:val="nil"/>
                  </w:tcBorders>
                  <w:vAlign w:val="center"/>
                </w:tcPr>
                <w:p w14:paraId="1F7D19D5">
                  <w:pPr>
                    <w:pStyle w:val="36"/>
                    <w:adjustRightInd w:val="0"/>
                    <w:snapToGrid w:val="0"/>
                    <w:rPr>
                      <w:color w:val="auto"/>
                    </w:rPr>
                  </w:pPr>
                  <w:r>
                    <w:rPr>
                      <w:color w:val="auto"/>
                    </w:rPr>
                    <w:t>污水排放去向</w:t>
                  </w:r>
                </w:p>
              </w:tc>
              <w:tc>
                <w:tcPr>
                  <w:tcW w:w="2100" w:type="dxa"/>
                  <w:tcBorders>
                    <w:tl2br w:val="nil"/>
                    <w:tr2bl w:val="nil"/>
                  </w:tcBorders>
                  <w:vAlign w:val="center"/>
                </w:tcPr>
                <w:p w14:paraId="2F740D57">
                  <w:pPr>
                    <w:pStyle w:val="36"/>
                    <w:adjustRightInd w:val="0"/>
                    <w:snapToGrid w:val="0"/>
                    <w:rPr>
                      <w:color w:val="auto"/>
                    </w:rPr>
                  </w:pPr>
                  <w:r>
                    <w:rPr>
                      <w:color w:val="auto"/>
                    </w:rPr>
                    <w:t>污染物名称</w:t>
                  </w:r>
                </w:p>
              </w:tc>
              <w:tc>
                <w:tcPr>
                  <w:tcW w:w="4088" w:type="dxa"/>
                  <w:tcBorders>
                    <w:tl2br w:val="nil"/>
                    <w:tr2bl w:val="nil"/>
                  </w:tcBorders>
                  <w:vAlign w:val="center"/>
                </w:tcPr>
                <w:p w14:paraId="365F6289">
                  <w:pPr>
                    <w:pStyle w:val="36"/>
                    <w:adjustRightInd w:val="0"/>
                    <w:snapToGrid w:val="0"/>
                    <w:rPr>
                      <w:color w:val="auto"/>
                    </w:rPr>
                  </w:pPr>
                  <w:r>
                    <w:rPr>
                      <w:color w:val="auto"/>
                    </w:rPr>
                    <w:t>《医疗机构水污染物排放标准》(GB18466-2005)的综合医疗机构和其他医疗机构水污染物预处理标准</w:t>
                  </w:r>
                </w:p>
              </w:tc>
            </w:tr>
            <w:tr w14:paraId="431CB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restart"/>
                  <w:tcBorders>
                    <w:tl2br w:val="nil"/>
                    <w:tr2bl w:val="nil"/>
                  </w:tcBorders>
                  <w:vAlign w:val="center"/>
                </w:tcPr>
                <w:p w14:paraId="2AED40EE">
                  <w:pPr>
                    <w:pStyle w:val="36"/>
                    <w:adjustRightInd w:val="0"/>
                    <w:snapToGrid w:val="0"/>
                    <w:rPr>
                      <w:color w:val="auto"/>
                    </w:rPr>
                  </w:pPr>
                  <w:r>
                    <w:rPr>
                      <w:color w:val="auto"/>
                    </w:rPr>
                    <w:t>外环境</w:t>
                  </w:r>
                </w:p>
              </w:tc>
              <w:tc>
                <w:tcPr>
                  <w:tcW w:w="2100" w:type="dxa"/>
                  <w:tcBorders>
                    <w:tl2br w:val="nil"/>
                    <w:tr2bl w:val="nil"/>
                  </w:tcBorders>
                  <w:vAlign w:val="center"/>
                </w:tcPr>
                <w:p w14:paraId="467E836A">
                  <w:pPr>
                    <w:pStyle w:val="36"/>
                    <w:adjustRightInd w:val="0"/>
                    <w:snapToGrid w:val="0"/>
                    <w:rPr>
                      <w:color w:val="auto"/>
                    </w:rPr>
                  </w:pPr>
                  <w:r>
                    <w:rPr>
                      <w:color w:val="auto"/>
                    </w:rPr>
                    <w:t>粪大肠菌群数</w:t>
                  </w:r>
                </w:p>
              </w:tc>
              <w:tc>
                <w:tcPr>
                  <w:tcW w:w="4088" w:type="dxa"/>
                  <w:tcBorders>
                    <w:tl2br w:val="nil"/>
                    <w:tr2bl w:val="nil"/>
                  </w:tcBorders>
                  <w:vAlign w:val="center"/>
                </w:tcPr>
                <w:p w14:paraId="05BEC003">
                  <w:pPr>
                    <w:pStyle w:val="36"/>
                    <w:adjustRightInd w:val="0"/>
                    <w:snapToGrid w:val="0"/>
                    <w:rPr>
                      <w:color w:val="auto"/>
                    </w:rPr>
                  </w:pPr>
                  <w:r>
                    <w:rPr>
                      <w:color w:val="auto"/>
                    </w:rPr>
                    <w:t>5000（MPN/L）</w:t>
                  </w:r>
                </w:p>
              </w:tc>
            </w:tr>
            <w:tr w14:paraId="44C1F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58B6AB7">
                  <w:pPr>
                    <w:pStyle w:val="36"/>
                    <w:adjustRightInd w:val="0"/>
                    <w:snapToGrid w:val="0"/>
                    <w:rPr>
                      <w:color w:val="auto"/>
                    </w:rPr>
                  </w:pPr>
                </w:p>
              </w:tc>
              <w:tc>
                <w:tcPr>
                  <w:tcW w:w="2100" w:type="dxa"/>
                  <w:tcBorders>
                    <w:tl2br w:val="nil"/>
                    <w:tr2bl w:val="nil"/>
                  </w:tcBorders>
                  <w:vAlign w:val="center"/>
                </w:tcPr>
                <w:p w14:paraId="5BFA767D">
                  <w:pPr>
                    <w:pStyle w:val="36"/>
                    <w:adjustRightInd w:val="0"/>
                    <w:snapToGrid w:val="0"/>
                    <w:rPr>
                      <w:color w:val="auto"/>
                    </w:rPr>
                  </w:pPr>
                  <w:r>
                    <w:rPr>
                      <w:color w:val="auto"/>
                    </w:rPr>
                    <w:t>肠道致病菌</w:t>
                  </w:r>
                </w:p>
              </w:tc>
              <w:tc>
                <w:tcPr>
                  <w:tcW w:w="4088" w:type="dxa"/>
                  <w:tcBorders>
                    <w:tl2br w:val="nil"/>
                    <w:tr2bl w:val="nil"/>
                  </w:tcBorders>
                  <w:vAlign w:val="center"/>
                </w:tcPr>
                <w:p w14:paraId="68012E07">
                  <w:pPr>
                    <w:pStyle w:val="36"/>
                    <w:adjustRightInd w:val="0"/>
                    <w:snapToGrid w:val="0"/>
                    <w:rPr>
                      <w:color w:val="auto"/>
                    </w:rPr>
                  </w:pPr>
                  <w:r>
                    <w:rPr>
                      <w:color w:val="auto"/>
                    </w:rPr>
                    <w:t>不得检出</w:t>
                  </w:r>
                </w:p>
              </w:tc>
            </w:tr>
            <w:tr w14:paraId="23778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22818704">
                  <w:pPr>
                    <w:pStyle w:val="36"/>
                    <w:adjustRightInd w:val="0"/>
                    <w:snapToGrid w:val="0"/>
                    <w:rPr>
                      <w:color w:val="auto"/>
                    </w:rPr>
                  </w:pPr>
                </w:p>
              </w:tc>
              <w:tc>
                <w:tcPr>
                  <w:tcW w:w="2100" w:type="dxa"/>
                  <w:tcBorders>
                    <w:tl2br w:val="nil"/>
                    <w:tr2bl w:val="nil"/>
                  </w:tcBorders>
                  <w:vAlign w:val="center"/>
                </w:tcPr>
                <w:p w14:paraId="2308F2D3">
                  <w:pPr>
                    <w:pStyle w:val="36"/>
                    <w:adjustRightInd w:val="0"/>
                    <w:snapToGrid w:val="0"/>
                    <w:rPr>
                      <w:color w:val="auto"/>
                    </w:rPr>
                  </w:pPr>
                  <w:r>
                    <w:rPr>
                      <w:color w:val="auto"/>
                    </w:rPr>
                    <w:t>肠道病毒</w:t>
                  </w:r>
                </w:p>
              </w:tc>
              <w:tc>
                <w:tcPr>
                  <w:tcW w:w="4088" w:type="dxa"/>
                  <w:tcBorders>
                    <w:tl2br w:val="nil"/>
                    <w:tr2bl w:val="nil"/>
                  </w:tcBorders>
                  <w:vAlign w:val="center"/>
                </w:tcPr>
                <w:p w14:paraId="3B65027E">
                  <w:pPr>
                    <w:pStyle w:val="36"/>
                    <w:adjustRightInd w:val="0"/>
                    <w:snapToGrid w:val="0"/>
                    <w:rPr>
                      <w:color w:val="auto"/>
                    </w:rPr>
                  </w:pPr>
                  <w:r>
                    <w:rPr>
                      <w:color w:val="auto"/>
                    </w:rPr>
                    <w:t>不得检出</w:t>
                  </w:r>
                </w:p>
              </w:tc>
            </w:tr>
            <w:tr w14:paraId="38489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52E9F5EC">
                  <w:pPr>
                    <w:pStyle w:val="36"/>
                    <w:adjustRightInd w:val="0"/>
                    <w:snapToGrid w:val="0"/>
                    <w:rPr>
                      <w:color w:val="auto"/>
                    </w:rPr>
                  </w:pPr>
                </w:p>
              </w:tc>
              <w:tc>
                <w:tcPr>
                  <w:tcW w:w="2100" w:type="dxa"/>
                  <w:tcBorders>
                    <w:tl2br w:val="nil"/>
                    <w:tr2bl w:val="nil"/>
                  </w:tcBorders>
                  <w:vAlign w:val="center"/>
                </w:tcPr>
                <w:p w14:paraId="0C96E322">
                  <w:pPr>
                    <w:pStyle w:val="36"/>
                    <w:adjustRightInd w:val="0"/>
                    <w:snapToGrid w:val="0"/>
                    <w:rPr>
                      <w:color w:val="auto"/>
                    </w:rPr>
                  </w:pPr>
                  <w:r>
                    <w:rPr>
                      <w:color w:val="auto"/>
                    </w:rPr>
                    <w:t>pH(无量纲)</w:t>
                  </w:r>
                </w:p>
              </w:tc>
              <w:tc>
                <w:tcPr>
                  <w:tcW w:w="4088" w:type="dxa"/>
                  <w:tcBorders>
                    <w:tl2br w:val="nil"/>
                    <w:tr2bl w:val="nil"/>
                  </w:tcBorders>
                  <w:vAlign w:val="center"/>
                </w:tcPr>
                <w:p w14:paraId="126747CA">
                  <w:pPr>
                    <w:pStyle w:val="36"/>
                    <w:adjustRightInd w:val="0"/>
                    <w:snapToGrid w:val="0"/>
                    <w:rPr>
                      <w:color w:val="auto"/>
                    </w:rPr>
                  </w:pPr>
                  <w:r>
                    <w:rPr>
                      <w:color w:val="auto"/>
                    </w:rPr>
                    <w:t>6～9</w:t>
                  </w:r>
                </w:p>
              </w:tc>
            </w:tr>
            <w:tr w14:paraId="1F70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A853A36">
                  <w:pPr>
                    <w:pStyle w:val="36"/>
                    <w:adjustRightInd w:val="0"/>
                    <w:snapToGrid w:val="0"/>
                    <w:rPr>
                      <w:color w:val="auto"/>
                    </w:rPr>
                  </w:pPr>
                </w:p>
              </w:tc>
              <w:tc>
                <w:tcPr>
                  <w:tcW w:w="2100" w:type="dxa"/>
                  <w:tcBorders>
                    <w:tl2br w:val="nil"/>
                    <w:tr2bl w:val="nil"/>
                  </w:tcBorders>
                  <w:vAlign w:val="center"/>
                </w:tcPr>
                <w:p w14:paraId="14A2EF56">
                  <w:pPr>
                    <w:pStyle w:val="36"/>
                    <w:adjustRightInd w:val="0"/>
                    <w:snapToGrid w:val="0"/>
                    <w:rPr>
                      <w:color w:val="auto"/>
                    </w:rPr>
                  </w:pPr>
                  <w:r>
                    <w:rPr>
                      <w:color w:val="auto"/>
                    </w:rPr>
                    <w:t>COD</w:t>
                  </w:r>
                </w:p>
              </w:tc>
              <w:tc>
                <w:tcPr>
                  <w:tcW w:w="4088" w:type="dxa"/>
                  <w:tcBorders>
                    <w:tl2br w:val="nil"/>
                    <w:tr2bl w:val="nil"/>
                  </w:tcBorders>
                  <w:vAlign w:val="center"/>
                </w:tcPr>
                <w:p w14:paraId="1D7AAD27">
                  <w:pPr>
                    <w:pStyle w:val="36"/>
                    <w:adjustRightInd w:val="0"/>
                    <w:snapToGrid w:val="0"/>
                    <w:rPr>
                      <w:color w:val="auto"/>
                    </w:rPr>
                  </w:pPr>
                  <w:r>
                    <w:rPr>
                      <w:color w:val="auto"/>
                    </w:rPr>
                    <w:t>250</w:t>
                  </w:r>
                </w:p>
              </w:tc>
            </w:tr>
            <w:tr w14:paraId="30790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76928E8B">
                  <w:pPr>
                    <w:pStyle w:val="36"/>
                    <w:adjustRightInd w:val="0"/>
                    <w:snapToGrid w:val="0"/>
                    <w:rPr>
                      <w:color w:val="auto"/>
                    </w:rPr>
                  </w:pPr>
                </w:p>
              </w:tc>
              <w:tc>
                <w:tcPr>
                  <w:tcW w:w="2100" w:type="dxa"/>
                  <w:tcBorders>
                    <w:tl2br w:val="nil"/>
                    <w:tr2bl w:val="nil"/>
                  </w:tcBorders>
                  <w:vAlign w:val="center"/>
                </w:tcPr>
                <w:p w14:paraId="7CDE543F">
                  <w:pPr>
                    <w:pStyle w:val="36"/>
                    <w:adjustRightInd w:val="0"/>
                    <w:snapToGrid w:val="0"/>
                    <w:rPr>
                      <w:color w:val="auto"/>
                    </w:rPr>
                  </w:pPr>
                  <w:r>
                    <w:rPr>
                      <w:color w:val="auto"/>
                    </w:rPr>
                    <w:t>BOD</w:t>
                  </w:r>
                  <w:r>
                    <w:rPr>
                      <w:color w:val="auto"/>
                      <w:vertAlign w:val="subscript"/>
                    </w:rPr>
                    <w:t>5</w:t>
                  </w:r>
                </w:p>
              </w:tc>
              <w:tc>
                <w:tcPr>
                  <w:tcW w:w="4088" w:type="dxa"/>
                  <w:tcBorders>
                    <w:tl2br w:val="nil"/>
                    <w:tr2bl w:val="nil"/>
                  </w:tcBorders>
                  <w:vAlign w:val="center"/>
                </w:tcPr>
                <w:p w14:paraId="5452A50E">
                  <w:pPr>
                    <w:pStyle w:val="36"/>
                    <w:adjustRightInd w:val="0"/>
                    <w:snapToGrid w:val="0"/>
                    <w:rPr>
                      <w:color w:val="auto"/>
                    </w:rPr>
                  </w:pPr>
                  <w:r>
                    <w:rPr>
                      <w:color w:val="auto"/>
                    </w:rPr>
                    <w:t>100</w:t>
                  </w:r>
                </w:p>
              </w:tc>
            </w:tr>
            <w:tr w14:paraId="3EC9E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2BECCBD3">
                  <w:pPr>
                    <w:pStyle w:val="36"/>
                    <w:adjustRightInd w:val="0"/>
                    <w:snapToGrid w:val="0"/>
                    <w:rPr>
                      <w:color w:val="auto"/>
                    </w:rPr>
                  </w:pPr>
                </w:p>
              </w:tc>
              <w:tc>
                <w:tcPr>
                  <w:tcW w:w="2100" w:type="dxa"/>
                  <w:tcBorders>
                    <w:tl2br w:val="nil"/>
                    <w:tr2bl w:val="nil"/>
                  </w:tcBorders>
                  <w:vAlign w:val="center"/>
                </w:tcPr>
                <w:p w14:paraId="3A9541F3">
                  <w:pPr>
                    <w:pStyle w:val="36"/>
                    <w:adjustRightInd w:val="0"/>
                    <w:snapToGrid w:val="0"/>
                    <w:rPr>
                      <w:color w:val="auto"/>
                    </w:rPr>
                  </w:pPr>
                  <w:r>
                    <w:rPr>
                      <w:color w:val="auto"/>
                    </w:rPr>
                    <w:t>SS</w:t>
                  </w:r>
                </w:p>
              </w:tc>
              <w:tc>
                <w:tcPr>
                  <w:tcW w:w="4088" w:type="dxa"/>
                  <w:tcBorders>
                    <w:tl2br w:val="nil"/>
                    <w:tr2bl w:val="nil"/>
                  </w:tcBorders>
                  <w:vAlign w:val="center"/>
                </w:tcPr>
                <w:p w14:paraId="7A943328">
                  <w:pPr>
                    <w:pStyle w:val="36"/>
                    <w:adjustRightInd w:val="0"/>
                    <w:snapToGrid w:val="0"/>
                    <w:rPr>
                      <w:color w:val="auto"/>
                    </w:rPr>
                  </w:pPr>
                  <w:r>
                    <w:rPr>
                      <w:color w:val="auto"/>
                    </w:rPr>
                    <w:t>60</w:t>
                  </w:r>
                </w:p>
              </w:tc>
            </w:tr>
            <w:tr w14:paraId="41B1C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08BBFDB4">
                  <w:pPr>
                    <w:pStyle w:val="36"/>
                    <w:adjustRightInd w:val="0"/>
                    <w:snapToGrid w:val="0"/>
                    <w:rPr>
                      <w:color w:val="auto"/>
                    </w:rPr>
                  </w:pPr>
                </w:p>
              </w:tc>
              <w:tc>
                <w:tcPr>
                  <w:tcW w:w="2100" w:type="dxa"/>
                  <w:tcBorders>
                    <w:tl2br w:val="nil"/>
                    <w:tr2bl w:val="nil"/>
                  </w:tcBorders>
                  <w:vAlign w:val="center"/>
                </w:tcPr>
                <w:p w14:paraId="1244C77F">
                  <w:pPr>
                    <w:pStyle w:val="36"/>
                    <w:adjustRightInd w:val="0"/>
                    <w:snapToGrid w:val="0"/>
                    <w:rPr>
                      <w:color w:val="auto"/>
                    </w:rPr>
                  </w:pPr>
                  <w:r>
                    <w:rPr>
                      <w:color w:val="auto"/>
                    </w:rPr>
                    <w:t>NH</w:t>
                  </w:r>
                  <w:r>
                    <w:rPr>
                      <w:color w:val="auto"/>
                      <w:vertAlign w:val="subscript"/>
                    </w:rPr>
                    <w:t>3</w:t>
                  </w:r>
                  <w:r>
                    <w:rPr>
                      <w:color w:val="auto"/>
                    </w:rPr>
                    <w:t>-N</w:t>
                  </w:r>
                </w:p>
              </w:tc>
              <w:tc>
                <w:tcPr>
                  <w:tcW w:w="4088" w:type="dxa"/>
                  <w:tcBorders>
                    <w:tl2br w:val="nil"/>
                    <w:tr2bl w:val="nil"/>
                  </w:tcBorders>
                  <w:vAlign w:val="center"/>
                </w:tcPr>
                <w:p w14:paraId="7CDE7684">
                  <w:pPr>
                    <w:pStyle w:val="36"/>
                    <w:adjustRightInd w:val="0"/>
                    <w:snapToGrid w:val="0"/>
                    <w:rPr>
                      <w:color w:val="auto"/>
                    </w:rPr>
                  </w:pPr>
                  <w:r>
                    <w:rPr>
                      <w:color w:val="auto"/>
                    </w:rPr>
                    <w:t>-</w:t>
                  </w:r>
                </w:p>
              </w:tc>
            </w:tr>
            <w:tr w14:paraId="1B524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9FEB67E">
                  <w:pPr>
                    <w:pStyle w:val="36"/>
                    <w:adjustRightInd w:val="0"/>
                    <w:snapToGrid w:val="0"/>
                    <w:rPr>
                      <w:color w:val="auto"/>
                    </w:rPr>
                  </w:pPr>
                </w:p>
              </w:tc>
              <w:tc>
                <w:tcPr>
                  <w:tcW w:w="2100" w:type="dxa"/>
                  <w:tcBorders>
                    <w:tl2br w:val="nil"/>
                    <w:tr2bl w:val="nil"/>
                  </w:tcBorders>
                  <w:vAlign w:val="center"/>
                </w:tcPr>
                <w:p w14:paraId="17FC56AC">
                  <w:pPr>
                    <w:pStyle w:val="36"/>
                    <w:adjustRightInd w:val="0"/>
                    <w:snapToGrid w:val="0"/>
                    <w:rPr>
                      <w:color w:val="auto"/>
                    </w:rPr>
                  </w:pPr>
                  <w:r>
                    <w:rPr>
                      <w:color w:val="auto"/>
                    </w:rPr>
                    <w:t>动植物油</w:t>
                  </w:r>
                </w:p>
              </w:tc>
              <w:tc>
                <w:tcPr>
                  <w:tcW w:w="4088" w:type="dxa"/>
                  <w:tcBorders>
                    <w:tl2br w:val="nil"/>
                    <w:tr2bl w:val="nil"/>
                  </w:tcBorders>
                  <w:vAlign w:val="center"/>
                </w:tcPr>
                <w:p w14:paraId="10858989">
                  <w:pPr>
                    <w:pStyle w:val="36"/>
                    <w:adjustRightInd w:val="0"/>
                    <w:snapToGrid w:val="0"/>
                    <w:rPr>
                      <w:color w:val="auto"/>
                    </w:rPr>
                  </w:pPr>
                  <w:r>
                    <w:rPr>
                      <w:color w:val="auto"/>
                    </w:rPr>
                    <w:t>20</w:t>
                  </w:r>
                </w:p>
              </w:tc>
            </w:tr>
            <w:tr w14:paraId="01F0E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46E2FD89">
                  <w:pPr>
                    <w:pStyle w:val="36"/>
                    <w:adjustRightInd w:val="0"/>
                    <w:snapToGrid w:val="0"/>
                    <w:rPr>
                      <w:color w:val="auto"/>
                    </w:rPr>
                  </w:pPr>
                </w:p>
              </w:tc>
              <w:tc>
                <w:tcPr>
                  <w:tcW w:w="2100" w:type="dxa"/>
                  <w:tcBorders>
                    <w:tl2br w:val="nil"/>
                    <w:tr2bl w:val="nil"/>
                  </w:tcBorders>
                  <w:vAlign w:val="center"/>
                </w:tcPr>
                <w:p w14:paraId="3C7A5E91">
                  <w:pPr>
                    <w:pStyle w:val="36"/>
                    <w:adjustRightInd w:val="0"/>
                    <w:snapToGrid w:val="0"/>
                    <w:rPr>
                      <w:color w:val="auto"/>
                    </w:rPr>
                  </w:pPr>
                  <w:r>
                    <w:rPr>
                      <w:color w:val="auto"/>
                    </w:rPr>
                    <w:t>石油类</w:t>
                  </w:r>
                </w:p>
              </w:tc>
              <w:tc>
                <w:tcPr>
                  <w:tcW w:w="4088" w:type="dxa"/>
                  <w:tcBorders>
                    <w:tl2br w:val="nil"/>
                    <w:tr2bl w:val="nil"/>
                  </w:tcBorders>
                  <w:vAlign w:val="center"/>
                </w:tcPr>
                <w:p w14:paraId="2FC5ED50">
                  <w:pPr>
                    <w:pStyle w:val="36"/>
                    <w:adjustRightInd w:val="0"/>
                    <w:snapToGrid w:val="0"/>
                    <w:rPr>
                      <w:color w:val="auto"/>
                    </w:rPr>
                  </w:pPr>
                  <w:r>
                    <w:rPr>
                      <w:color w:val="auto"/>
                    </w:rPr>
                    <w:t>20</w:t>
                  </w:r>
                </w:p>
              </w:tc>
            </w:tr>
            <w:tr w14:paraId="50B1E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6A0FF0F6">
                  <w:pPr>
                    <w:pStyle w:val="36"/>
                    <w:adjustRightInd w:val="0"/>
                    <w:snapToGrid w:val="0"/>
                    <w:rPr>
                      <w:color w:val="auto"/>
                    </w:rPr>
                  </w:pPr>
                </w:p>
              </w:tc>
              <w:tc>
                <w:tcPr>
                  <w:tcW w:w="2100" w:type="dxa"/>
                  <w:tcBorders>
                    <w:tl2br w:val="nil"/>
                    <w:tr2bl w:val="nil"/>
                  </w:tcBorders>
                  <w:vAlign w:val="center"/>
                </w:tcPr>
                <w:p w14:paraId="6759E140">
                  <w:pPr>
                    <w:pStyle w:val="36"/>
                    <w:adjustRightInd w:val="0"/>
                    <w:snapToGrid w:val="0"/>
                    <w:rPr>
                      <w:color w:val="auto"/>
                    </w:rPr>
                  </w:pPr>
                  <w:r>
                    <w:rPr>
                      <w:color w:val="auto"/>
                    </w:rPr>
                    <w:t>阴离子表面活性剂</w:t>
                  </w:r>
                </w:p>
              </w:tc>
              <w:tc>
                <w:tcPr>
                  <w:tcW w:w="4088" w:type="dxa"/>
                  <w:tcBorders>
                    <w:tl2br w:val="nil"/>
                    <w:tr2bl w:val="nil"/>
                  </w:tcBorders>
                  <w:vAlign w:val="center"/>
                </w:tcPr>
                <w:p w14:paraId="06442617">
                  <w:pPr>
                    <w:pStyle w:val="36"/>
                    <w:adjustRightInd w:val="0"/>
                    <w:snapToGrid w:val="0"/>
                    <w:rPr>
                      <w:color w:val="auto"/>
                    </w:rPr>
                  </w:pPr>
                  <w:r>
                    <w:rPr>
                      <w:color w:val="auto"/>
                    </w:rPr>
                    <w:t>10</w:t>
                  </w:r>
                </w:p>
              </w:tc>
            </w:tr>
            <w:tr w14:paraId="7F0AB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6555641">
                  <w:pPr>
                    <w:pStyle w:val="36"/>
                    <w:adjustRightInd w:val="0"/>
                    <w:snapToGrid w:val="0"/>
                    <w:rPr>
                      <w:color w:val="auto"/>
                    </w:rPr>
                  </w:pPr>
                </w:p>
              </w:tc>
              <w:tc>
                <w:tcPr>
                  <w:tcW w:w="2100" w:type="dxa"/>
                  <w:tcBorders>
                    <w:tl2br w:val="nil"/>
                    <w:tr2bl w:val="nil"/>
                  </w:tcBorders>
                  <w:vAlign w:val="center"/>
                </w:tcPr>
                <w:p w14:paraId="406715FE">
                  <w:pPr>
                    <w:pStyle w:val="36"/>
                    <w:adjustRightInd w:val="0"/>
                    <w:snapToGrid w:val="0"/>
                    <w:rPr>
                      <w:color w:val="auto"/>
                    </w:rPr>
                  </w:pPr>
                  <w:r>
                    <w:rPr>
                      <w:color w:val="auto"/>
                    </w:rPr>
                    <w:t>色度（稀释倍数）</w:t>
                  </w:r>
                </w:p>
              </w:tc>
              <w:tc>
                <w:tcPr>
                  <w:tcW w:w="4088" w:type="dxa"/>
                  <w:tcBorders>
                    <w:tl2br w:val="nil"/>
                    <w:tr2bl w:val="nil"/>
                  </w:tcBorders>
                  <w:vAlign w:val="center"/>
                </w:tcPr>
                <w:p w14:paraId="1EF99794">
                  <w:pPr>
                    <w:pStyle w:val="36"/>
                    <w:adjustRightInd w:val="0"/>
                    <w:snapToGrid w:val="0"/>
                    <w:rPr>
                      <w:color w:val="auto"/>
                    </w:rPr>
                  </w:pPr>
                  <w:r>
                    <w:rPr>
                      <w:color w:val="auto"/>
                    </w:rPr>
                    <w:t>-</w:t>
                  </w:r>
                </w:p>
              </w:tc>
            </w:tr>
            <w:tr w14:paraId="5B11E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003F03E2">
                  <w:pPr>
                    <w:pStyle w:val="36"/>
                    <w:adjustRightInd w:val="0"/>
                    <w:snapToGrid w:val="0"/>
                    <w:rPr>
                      <w:color w:val="auto"/>
                    </w:rPr>
                  </w:pPr>
                </w:p>
              </w:tc>
              <w:tc>
                <w:tcPr>
                  <w:tcW w:w="2100" w:type="dxa"/>
                  <w:tcBorders>
                    <w:tl2br w:val="nil"/>
                    <w:tr2bl w:val="nil"/>
                  </w:tcBorders>
                  <w:vAlign w:val="center"/>
                </w:tcPr>
                <w:p w14:paraId="03FC5524">
                  <w:pPr>
                    <w:pStyle w:val="36"/>
                    <w:adjustRightInd w:val="0"/>
                    <w:snapToGrid w:val="0"/>
                    <w:rPr>
                      <w:color w:val="auto"/>
                    </w:rPr>
                  </w:pPr>
                  <w:r>
                    <w:rPr>
                      <w:color w:val="auto"/>
                    </w:rPr>
                    <w:t>挥发酚</w:t>
                  </w:r>
                </w:p>
              </w:tc>
              <w:tc>
                <w:tcPr>
                  <w:tcW w:w="4088" w:type="dxa"/>
                  <w:tcBorders>
                    <w:tl2br w:val="nil"/>
                    <w:tr2bl w:val="nil"/>
                  </w:tcBorders>
                  <w:vAlign w:val="center"/>
                </w:tcPr>
                <w:p w14:paraId="2D2592BB">
                  <w:pPr>
                    <w:pStyle w:val="36"/>
                    <w:adjustRightInd w:val="0"/>
                    <w:snapToGrid w:val="0"/>
                    <w:rPr>
                      <w:color w:val="auto"/>
                    </w:rPr>
                  </w:pPr>
                  <w:r>
                    <w:rPr>
                      <w:color w:val="auto"/>
                    </w:rPr>
                    <w:t>1.0</w:t>
                  </w:r>
                </w:p>
              </w:tc>
            </w:tr>
            <w:tr w14:paraId="5D41D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6553C27">
                  <w:pPr>
                    <w:pStyle w:val="36"/>
                    <w:adjustRightInd w:val="0"/>
                    <w:snapToGrid w:val="0"/>
                    <w:rPr>
                      <w:color w:val="auto"/>
                    </w:rPr>
                  </w:pPr>
                </w:p>
              </w:tc>
              <w:tc>
                <w:tcPr>
                  <w:tcW w:w="2100" w:type="dxa"/>
                  <w:tcBorders>
                    <w:tl2br w:val="nil"/>
                    <w:tr2bl w:val="nil"/>
                  </w:tcBorders>
                  <w:vAlign w:val="center"/>
                </w:tcPr>
                <w:p w14:paraId="1D4D49CC">
                  <w:pPr>
                    <w:pStyle w:val="36"/>
                    <w:adjustRightInd w:val="0"/>
                    <w:snapToGrid w:val="0"/>
                    <w:rPr>
                      <w:color w:val="auto"/>
                    </w:rPr>
                  </w:pPr>
                  <w:r>
                    <w:rPr>
                      <w:color w:val="auto"/>
                    </w:rPr>
                    <w:t>总氰化物</w:t>
                  </w:r>
                </w:p>
              </w:tc>
              <w:tc>
                <w:tcPr>
                  <w:tcW w:w="4088" w:type="dxa"/>
                  <w:tcBorders>
                    <w:tl2br w:val="nil"/>
                    <w:tr2bl w:val="nil"/>
                  </w:tcBorders>
                  <w:vAlign w:val="center"/>
                </w:tcPr>
                <w:p w14:paraId="16D743A1">
                  <w:pPr>
                    <w:pStyle w:val="36"/>
                    <w:adjustRightInd w:val="0"/>
                    <w:snapToGrid w:val="0"/>
                    <w:rPr>
                      <w:color w:val="auto"/>
                    </w:rPr>
                  </w:pPr>
                  <w:r>
                    <w:rPr>
                      <w:color w:val="auto"/>
                    </w:rPr>
                    <w:t>0.5</w:t>
                  </w:r>
                </w:p>
              </w:tc>
            </w:tr>
            <w:tr w14:paraId="0B2A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040CB725">
                  <w:pPr>
                    <w:pStyle w:val="36"/>
                    <w:adjustRightInd w:val="0"/>
                    <w:snapToGrid w:val="0"/>
                    <w:rPr>
                      <w:color w:val="auto"/>
                    </w:rPr>
                  </w:pPr>
                </w:p>
              </w:tc>
              <w:tc>
                <w:tcPr>
                  <w:tcW w:w="2100" w:type="dxa"/>
                  <w:tcBorders>
                    <w:tl2br w:val="nil"/>
                    <w:tr2bl w:val="nil"/>
                  </w:tcBorders>
                  <w:vAlign w:val="center"/>
                </w:tcPr>
                <w:p w14:paraId="21CA70FA">
                  <w:pPr>
                    <w:pStyle w:val="36"/>
                    <w:adjustRightInd w:val="0"/>
                    <w:snapToGrid w:val="0"/>
                    <w:rPr>
                      <w:color w:val="auto"/>
                    </w:rPr>
                  </w:pPr>
                  <w:r>
                    <w:rPr>
                      <w:color w:val="auto"/>
                    </w:rPr>
                    <w:t>总汞</w:t>
                  </w:r>
                </w:p>
              </w:tc>
              <w:tc>
                <w:tcPr>
                  <w:tcW w:w="4088" w:type="dxa"/>
                  <w:tcBorders>
                    <w:tl2br w:val="nil"/>
                    <w:tr2bl w:val="nil"/>
                  </w:tcBorders>
                  <w:vAlign w:val="center"/>
                </w:tcPr>
                <w:p w14:paraId="7B5DC9D1">
                  <w:pPr>
                    <w:pStyle w:val="36"/>
                    <w:adjustRightInd w:val="0"/>
                    <w:snapToGrid w:val="0"/>
                    <w:rPr>
                      <w:color w:val="auto"/>
                    </w:rPr>
                  </w:pPr>
                  <w:r>
                    <w:rPr>
                      <w:color w:val="auto"/>
                    </w:rPr>
                    <w:t>0.05</w:t>
                  </w:r>
                </w:p>
              </w:tc>
            </w:tr>
            <w:tr w14:paraId="12334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71725B1E">
                  <w:pPr>
                    <w:pStyle w:val="36"/>
                    <w:adjustRightInd w:val="0"/>
                    <w:snapToGrid w:val="0"/>
                    <w:rPr>
                      <w:color w:val="auto"/>
                    </w:rPr>
                  </w:pPr>
                </w:p>
              </w:tc>
              <w:tc>
                <w:tcPr>
                  <w:tcW w:w="2100" w:type="dxa"/>
                  <w:tcBorders>
                    <w:tl2br w:val="nil"/>
                    <w:tr2bl w:val="nil"/>
                  </w:tcBorders>
                  <w:vAlign w:val="center"/>
                </w:tcPr>
                <w:p w14:paraId="2B7BA4CD">
                  <w:pPr>
                    <w:pStyle w:val="36"/>
                    <w:adjustRightInd w:val="0"/>
                    <w:snapToGrid w:val="0"/>
                    <w:rPr>
                      <w:color w:val="auto"/>
                    </w:rPr>
                  </w:pPr>
                  <w:r>
                    <w:rPr>
                      <w:color w:val="auto"/>
                    </w:rPr>
                    <w:t>总镉</w:t>
                  </w:r>
                </w:p>
              </w:tc>
              <w:tc>
                <w:tcPr>
                  <w:tcW w:w="4088" w:type="dxa"/>
                  <w:tcBorders>
                    <w:tl2br w:val="nil"/>
                    <w:tr2bl w:val="nil"/>
                  </w:tcBorders>
                  <w:vAlign w:val="center"/>
                </w:tcPr>
                <w:p w14:paraId="01E4E411">
                  <w:pPr>
                    <w:pStyle w:val="36"/>
                    <w:adjustRightInd w:val="0"/>
                    <w:snapToGrid w:val="0"/>
                    <w:rPr>
                      <w:color w:val="auto"/>
                    </w:rPr>
                  </w:pPr>
                  <w:r>
                    <w:rPr>
                      <w:color w:val="auto"/>
                    </w:rPr>
                    <w:t>0.1</w:t>
                  </w:r>
                </w:p>
              </w:tc>
            </w:tr>
            <w:tr w14:paraId="43BEA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26D3CC66">
                  <w:pPr>
                    <w:pStyle w:val="36"/>
                    <w:adjustRightInd w:val="0"/>
                    <w:snapToGrid w:val="0"/>
                    <w:rPr>
                      <w:color w:val="auto"/>
                    </w:rPr>
                  </w:pPr>
                </w:p>
              </w:tc>
              <w:tc>
                <w:tcPr>
                  <w:tcW w:w="2100" w:type="dxa"/>
                  <w:tcBorders>
                    <w:tl2br w:val="nil"/>
                    <w:tr2bl w:val="nil"/>
                  </w:tcBorders>
                  <w:vAlign w:val="center"/>
                </w:tcPr>
                <w:p w14:paraId="7A3984E0">
                  <w:pPr>
                    <w:pStyle w:val="36"/>
                    <w:adjustRightInd w:val="0"/>
                    <w:snapToGrid w:val="0"/>
                    <w:rPr>
                      <w:color w:val="auto"/>
                    </w:rPr>
                  </w:pPr>
                  <w:r>
                    <w:rPr>
                      <w:color w:val="auto"/>
                    </w:rPr>
                    <w:t>总铬</w:t>
                  </w:r>
                </w:p>
              </w:tc>
              <w:tc>
                <w:tcPr>
                  <w:tcW w:w="4088" w:type="dxa"/>
                  <w:tcBorders>
                    <w:tl2br w:val="nil"/>
                    <w:tr2bl w:val="nil"/>
                  </w:tcBorders>
                  <w:vAlign w:val="center"/>
                </w:tcPr>
                <w:p w14:paraId="2F21D489">
                  <w:pPr>
                    <w:pStyle w:val="36"/>
                    <w:adjustRightInd w:val="0"/>
                    <w:snapToGrid w:val="0"/>
                    <w:rPr>
                      <w:color w:val="auto"/>
                    </w:rPr>
                  </w:pPr>
                  <w:r>
                    <w:rPr>
                      <w:color w:val="auto"/>
                    </w:rPr>
                    <w:t>1.5</w:t>
                  </w:r>
                </w:p>
              </w:tc>
            </w:tr>
            <w:tr w14:paraId="2452A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3E861545">
                  <w:pPr>
                    <w:pStyle w:val="36"/>
                    <w:adjustRightInd w:val="0"/>
                    <w:snapToGrid w:val="0"/>
                    <w:rPr>
                      <w:color w:val="auto"/>
                    </w:rPr>
                  </w:pPr>
                </w:p>
              </w:tc>
              <w:tc>
                <w:tcPr>
                  <w:tcW w:w="2100" w:type="dxa"/>
                  <w:tcBorders>
                    <w:tl2br w:val="nil"/>
                    <w:tr2bl w:val="nil"/>
                  </w:tcBorders>
                  <w:vAlign w:val="center"/>
                </w:tcPr>
                <w:p w14:paraId="083AE173">
                  <w:pPr>
                    <w:pStyle w:val="36"/>
                    <w:adjustRightInd w:val="0"/>
                    <w:snapToGrid w:val="0"/>
                    <w:rPr>
                      <w:color w:val="auto"/>
                    </w:rPr>
                  </w:pPr>
                  <w:r>
                    <w:rPr>
                      <w:color w:val="auto"/>
                    </w:rPr>
                    <w:t>六价铬</w:t>
                  </w:r>
                </w:p>
              </w:tc>
              <w:tc>
                <w:tcPr>
                  <w:tcW w:w="4088" w:type="dxa"/>
                  <w:tcBorders>
                    <w:tl2br w:val="nil"/>
                    <w:tr2bl w:val="nil"/>
                  </w:tcBorders>
                  <w:vAlign w:val="center"/>
                </w:tcPr>
                <w:p w14:paraId="136BCF04">
                  <w:pPr>
                    <w:pStyle w:val="36"/>
                    <w:adjustRightInd w:val="0"/>
                    <w:snapToGrid w:val="0"/>
                    <w:rPr>
                      <w:color w:val="auto"/>
                    </w:rPr>
                  </w:pPr>
                  <w:r>
                    <w:rPr>
                      <w:color w:val="auto"/>
                    </w:rPr>
                    <w:t>0.5</w:t>
                  </w:r>
                </w:p>
              </w:tc>
            </w:tr>
            <w:tr w14:paraId="1880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65658311">
                  <w:pPr>
                    <w:pStyle w:val="36"/>
                    <w:adjustRightInd w:val="0"/>
                    <w:snapToGrid w:val="0"/>
                    <w:rPr>
                      <w:color w:val="auto"/>
                    </w:rPr>
                  </w:pPr>
                </w:p>
              </w:tc>
              <w:tc>
                <w:tcPr>
                  <w:tcW w:w="2100" w:type="dxa"/>
                  <w:tcBorders>
                    <w:tl2br w:val="nil"/>
                    <w:tr2bl w:val="nil"/>
                  </w:tcBorders>
                  <w:vAlign w:val="center"/>
                </w:tcPr>
                <w:p w14:paraId="72F52D64">
                  <w:pPr>
                    <w:pStyle w:val="36"/>
                    <w:adjustRightInd w:val="0"/>
                    <w:snapToGrid w:val="0"/>
                    <w:rPr>
                      <w:color w:val="auto"/>
                    </w:rPr>
                  </w:pPr>
                  <w:r>
                    <w:rPr>
                      <w:color w:val="auto"/>
                    </w:rPr>
                    <w:t>总砷</w:t>
                  </w:r>
                </w:p>
              </w:tc>
              <w:tc>
                <w:tcPr>
                  <w:tcW w:w="4088" w:type="dxa"/>
                  <w:tcBorders>
                    <w:tl2br w:val="nil"/>
                    <w:tr2bl w:val="nil"/>
                  </w:tcBorders>
                  <w:vAlign w:val="center"/>
                </w:tcPr>
                <w:p w14:paraId="6E1C2D10">
                  <w:pPr>
                    <w:pStyle w:val="36"/>
                    <w:adjustRightInd w:val="0"/>
                    <w:snapToGrid w:val="0"/>
                    <w:rPr>
                      <w:color w:val="auto"/>
                    </w:rPr>
                  </w:pPr>
                  <w:r>
                    <w:rPr>
                      <w:color w:val="auto"/>
                    </w:rPr>
                    <w:t>0.5</w:t>
                  </w:r>
                </w:p>
              </w:tc>
            </w:tr>
            <w:tr w14:paraId="61486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578E411A">
                  <w:pPr>
                    <w:pStyle w:val="36"/>
                    <w:adjustRightInd w:val="0"/>
                    <w:snapToGrid w:val="0"/>
                    <w:rPr>
                      <w:color w:val="auto"/>
                    </w:rPr>
                  </w:pPr>
                </w:p>
              </w:tc>
              <w:tc>
                <w:tcPr>
                  <w:tcW w:w="2100" w:type="dxa"/>
                  <w:tcBorders>
                    <w:tl2br w:val="nil"/>
                    <w:tr2bl w:val="nil"/>
                  </w:tcBorders>
                  <w:vAlign w:val="center"/>
                </w:tcPr>
                <w:p w14:paraId="58A96A5A">
                  <w:pPr>
                    <w:pStyle w:val="36"/>
                    <w:adjustRightInd w:val="0"/>
                    <w:snapToGrid w:val="0"/>
                    <w:rPr>
                      <w:color w:val="auto"/>
                    </w:rPr>
                  </w:pPr>
                  <w:r>
                    <w:rPr>
                      <w:color w:val="auto"/>
                    </w:rPr>
                    <w:t>总铅</w:t>
                  </w:r>
                </w:p>
              </w:tc>
              <w:tc>
                <w:tcPr>
                  <w:tcW w:w="4088" w:type="dxa"/>
                  <w:tcBorders>
                    <w:tl2br w:val="nil"/>
                    <w:tr2bl w:val="nil"/>
                  </w:tcBorders>
                  <w:vAlign w:val="center"/>
                </w:tcPr>
                <w:p w14:paraId="687C333A">
                  <w:pPr>
                    <w:pStyle w:val="36"/>
                    <w:adjustRightInd w:val="0"/>
                    <w:snapToGrid w:val="0"/>
                    <w:rPr>
                      <w:color w:val="auto"/>
                    </w:rPr>
                  </w:pPr>
                  <w:r>
                    <w:rPr>
                      <w:color w:val="auto"/>
                    </w:rPr>
                    <w:t>1.0</w:t>
                  </w:r>
                </w:p>
              </w:tc>
            </w:tr>
            <w:tr w14:paraId="54916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0FF62110">
                  <w:pPr>
                    <w:pStyle w:val="36"/>
                    <w:adjustRightInd w:val="0"/>
                    <w:snapToGrid w:val="0"/>
                    <w:rPr>
                      <w:color w:val="auto"/>
                    </w:rPr>
                  </w:pPr>
                </w:p>
              </w:tc>
              <w:tc>
                <w:tcPr>
                  <w:tcW w:w="2100" w:type="dxa"/>
                  <w:tcBorders>
                    <w:tl2br w:val="nil"/>
                    <w:tr2bl w:val="nil"/>
                  </w:tcBorders>
                  <w:vAlign w:val="center"/>
                </w:tcPr>
                <w:p w14:paraId="71BE580B">
                  <w:pPr>
                    <w:pStyle w:val="36"/>
                    <w:adjustRightInd w:val="0"/>
                    <w:snapToGrid w:val="0"/>
                    <w:rPr>
                      <w:color w:val="auto"/>
                    </w:rPr>
                  </w:pPr>
                  <w:r>
                    <w:rPr>
                      <w:color w:val="auto"/>
                    </w:rPr>
                    <w:t>总银</w:t>
                  </w:r>
                </w:p>
              </w:tc>
              <w:tc>
                <w:tcPr>
                  <w:tcW w:w="4088" w:type="dxa"/>
                  <w:tcBorders>
                    <w:tl2br w:val="nil"/>
                    <w:tr2bl w:val="nil"/>
                  </w:tcBorders>
                  <w:vAlign w:val="center"/>
                </w:tcPr>
                <w:p w14:paraId="719B2684">
                  <w:pPr>
                    <w:pStyle w:val="36"/>
                    <w:adjustRightInd w:val="0"/>
                    <w:snapToGrid w:val="0"/>
                    <w:rPr>
                      <w:color w:val="auto"/>
                    </w:rPr>
                  </w:pPr>
                  <w:r>
                    <w:rPr>
                      <w:color w:val="auto"/>
                    </w:rPr>
                    <w:t>0.5</w:t>
                  </w:r>
                </w:p>
              </w:tc>
            </w:tr>
            <w:tr w14:paraId="0A654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28323DA9">
                  <w:pPr>
                    <w:pStyle w:val="36"/>
                    <w:adjustRightInd w:val="0"/>
                    <w:snapToGrid w:val="0"/>
                    <w:rPr>
                      <w:color w:val="auto"/>
                    </w:rPr>
                  </w:pPr>
                </w:p>
              </w:tc>
              <w:tc>
                <w:tcPr>
                  <w:tcW w:w="2100" w:type="dxa"/>
                  <w:tcBorders>
                    <w:tl2br w:val="nil"/>
                    <w:tr2bl w:val="nil"/>
                  </w:tcBorders>
                  <w:vAlign w:val="center"/>
                </w:tcPr>
                <w:p w14:paraId="49374A78">
                  <w:pPr>
                    <w:pStyle w:val="36"/>
                    <w:adjustRightInd w:val="0"/>
                    <w:snapToGrid w:val="0"/>
                    <w:rPr>
                      <w:rFonts w:hint="eastAsia" w:eastAsia="宋体"/>
                      <w:color w:val="auto"/>
                      <w:lang w:eastAsia="zh-CN"/>
                    </w:rPr>
                  </w:pPr>
                  <w:r>
                    <w:rPr>
                      <w:color w:val="auto"/>
                    </w:rPr>
                    <w:t>总Α(Bq/L)</w:t>
                  </w:r>
                </w:p>
              </w:tc>
              <w:tc>
                <w:tcPr>
                  <w:tcW w:w="4088" w:type="dxa"/>
                  <w:tcBorders>
                    <w:tl2br w:val="nil"/>
                    <w:tr2bl w:val="nil"/>
                  </w:tcBorders>
                  <w:vAlign w:val="center"/>
                </w:tcPr>
                <w:p w14:paraId="0672FD9F">
                  <w:pPr>
                    <w:pStyle w:val="36"/>
                    <w:adjustRightInd w:val="0"/>
                    <w:snapToGrid w:val="0"/>
                    <w:rPr>
                      <w:color w:val="auto"/>
                    </w:rPr>
                  </w:pPr>
                  <w:r>
                    <w:rPr>
                      <w:color w:val="auto"/>
                    </w:rPr>
                    <w:t>1</w:t>
                  </w:r>
                </w:p>
              </w:tc>
            </w:tr>
            <w:tr w14:paraId="0DE25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7E13AA06">
                  <w:pPr>
                    <w:pStyle w:val="36"/>
                    <w:adjustRightInd w:val="0"/>
                    <w:snapToGrid w:val="0"/>
                    <w:rPr>
                      <w:color w:val="auto"/>
                    </w:rPr>
                  </w:pPr>
                </w:p>
              </w:tc>
              <w:tc>
                <w:tcPr>
                  <w:tcW w:w="2100" w:type="dxa"/>
                  <w:tcBorders>
                    <w:tl2br w:val="nil"/>
                    <w:tr2bl w:val="nil"/>
                  </w:tcBorders>
                  <w:vAlign w:val="center"/>
                </w:tcPr>
                <w:p w14:paraId="32AD4CF2">
                  <w:pPr>
                    <w:pStyle w:val="36"/>
                    <w:adjustRightInd w:val="0"/>
                    <w:snapToGrid w:val="0"/>
                    <w:rPr>
                      <w:rFonts w:hint="eastAsia" w:eastAsia="宋体"/>
                      <w:color w:val="auto"/>
                      <w:lang w:eastAsia="zh-CN"/>
                    </w:rPr>
                  </w:pPr>
                  <w:r>
                    <w:rPr>
                      <w:color w:val="auto"/>
                    </w:rPr>
                    <w:t>总Β(Bq/L)</w:t>
                  </w:r>
                </w:p>
              </w:tc>
              <w:tc>
                <w:tcPr>
                  <w:tcW w:w="4088" w:type="dxa"/>
                  <w:tcBorders>
                    <w:tl2br w:val="nil"/>
                    <w:tr2bl w:val="nil"/>
                  </w:tcBorders>
                  <w:vAlign w:val="center"/>
                </w:tcPr>
                <w:p w14:paraId="521F61E9">
                  <w:pPr>
                    <w:pStyle w:val="36"/>
                    <w:adjustRightInd w:val="0"/>
                    <w:snapToGrid w:val="0"/>
                    <w:rPr>
                      <w:color w:val="auto"/>
                    </w:rPr>
                  </w:pPr>
                  <w:r>
                    <w:rPr>
                      <w:color w:val="auto"/>
                    </w:rPr>
                    <w:t>10</w:t>
                  </w:r>
                </w:p>
              </w:tc>
            </w:tr>
            <w:tr w14:paraId="71F5C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vMerge w:val="continue"/>
                  <w:tcBorders>
                    <w:tl2br w:val="nil"/>
                    <w:tr2bl w:val="nil"/>
                  </w:tcBorders>
                  <w:vAlign w:val="center"/>
                </w:tcPr>
                <w:p w14:paraId="054C9CFC">
                  <w:pPr>
                    <w:pStyle w:val="36"/>
                    <w:adjustRightInd w:val="0"/>
                    <w:snapToGrid w:val="0"/>
                    <w:rPr>
                      <w:color w:val="auto"/>
                    </w:rPr>
                  </w:pPr>
                </w:p>
              </w:tc>
              <w:tc>
                <w:tcPr>
                  <w:tcW w:w="2100" w:type="dxa"/>
                  <w:tcBorders>
                    <w:tl2br w:val="nil"/>
                    <w:tr2bl w:val="nil"/>
                  </w:tcBorders>
                  <w:vAlign w:val="center"/>
                </w:tcPr>
                <w:p w14:paraId="704DF563">
                  <w:pPr>
                    <w:pStyle w:val="36"/>
                    <w:adjustRightInd w:val="0"/>
                    <w:snapToGrid w:val="0"/>
                    <w:rPr>
                      <w:color w:val="auto"/>
                    </w:rPr>
                  </w:pPr>
                  <w:r>
                    <w:rPr>
                      <w:color w:val="auto"/>
                    </w:rPr>
                    <w:t>总余氯</w:t>
                  </w:r>
                  <w:r>
                    <w:rPr>
                      <w:color w:val="auto"/>
                      <w:vertAlign w:val="superscript"/>
                    </w:rPr>
                    <w:t>1）2）</w:t>
                  </w:r>
                </w:p>
              </w:tc>
              <w:tc>
                <w:tcPr>
                  <w:tcW w:w="4088" w:type="dxa"/>
                  <w:tcBorders>
                    <w:tl2br w:val="nil"/>
                    <w:tr2bl w:val="nil"/>
                  </w:tcBorders>
                  <w:vAlign w:val="center"/>
                </w:tcPr>
                <w:p w14:paraId="2849951C">
                  <w:pPr>
                    <w:pStyle w:val="36"/>
                    <w:adjustRightInd w:val="0"/>
                    <w:snapToGrid w:val="0"/>
                    <w:rPr>
                      <w:color w:val="auto"/>
                    </w:rPr>
                  </w:pPr>
                  <w:r>
                    <w:rPr>
                      <w:color w:val="auto"/>
                    </w:rPr>
                    <w:t>-</w:t>
                  </w:r>
                </w:p>
              </w:tc>
            </w:tr>
            <w:tr w14:paraId="43B97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3" w:type="dxa"/>
                  <w:gridSpan w:val="3"/>
                  <w:tcBorders>
                    <w:tl2br w:val="nil"/>
                    <w:tr2bl w:val="nil"/>
                  </w:tcBorders>
                  <w:vAlign w:val="center"/>
                </w:tcPr>
                <w:p w14:paraId="1B623BD7">
                  <w:pPr>
                    <w:pStyle w:val="36"/>
                    <w:adjustRightInd w:val="0"/>
                    <w:snapToGrid w:val="0"/>
                    <w:jc w:val="both"/>
                    <w:rPr>
                      <w:color w:val="auto"/>
                    </w:rPr>
                  </w:pPr>
                  <w:r>
                    <w:rPr>
                      <w:color w:val="auto"/>
                    </w:rPr>
                    <w:t>注：1）采用含氯消毒剂消毒控制要求工艺控制要求为：</w:t>
                  </w:r>
                </w:p>
                <w:p w14:paraId="1357561B">
                  <w:pPr>
                    <w:pStyle w:val="36"/>
                    <w:adjustRightInd w:val="0"/>
                    <w:snapToGrid w:val="0"/>
                    <w:rPr>
                      <w:color w:val="auto"/>
                    </w:rPr>
                  </w:pPr>
                  <w:r>
                    <w:rPr>
                      <w:color w:val="auto"/>
                    </w:rPr>
                    <w:t>排放标准：消毒接触池接触时间≥1h，接触池出口总余氯3~10mg/L。</w:t>
                  </w:r>
                </w:p>
                <w:p w14:paraId="30FC1C8A">
                  <w:pPr>
                    <w:pStyle w:val="36"/>
                    <w:adjustRightInd w:val="0"/>
                    <w:snapToGrid w:val="0"/>
                    <w:rPr>
                      <w:color w:val="auto"/>
                    </w:rPr>
                  </w:pPr>
                  <w:r>
                    <w:rPr>
                      <w:color w:val="auto"/>
                    </w:rPr>
                    <w:t>预处理标准：消毒接触池接触时间≥1h，接触池出口总余氯2~8mg/L。</w:t>
                  </w:r>
                </w:p>
                <w:p w14:paraId="54DE6D70">
                  <w:pPr>
                    <w:pStyle w:val="36"/>
                    <w:adjustRightInd w:val="0"/>
                    <w:snapToGrid w:val="0"/>
                    <w:ind w:firstLine="422" w:firstLineChars="200"/>
                    <w:jc w:val="both"/>
                    <w:rPr>
                      <w:color w:val="auto"/>
                    </w:rPr>
                  </w:pPr>
                  <w:r>
                    <w:rPr>
                      <w:color w:val="auto"/>
                    </w:rPr>
                    <w:t>2）采用其他消毒剂对总余氯不作要求。</w:t>
                  </w:r>
                </w:p>
              </w:tc>
            </w:tr>
          </w:tbl>
          <w:p w14:paraId="418E85D3">
            <w:pPr>
              <w:ind w:firstLine="482"/>
              <w:rPr>
                <w:b/>
                <w:color w:val="auto"/>
              </w:rPr>
            </w:pPr>
            <w:r>
              <w:rPr>
                <w:b/>
                <w:color w:val="auto"/>
              </w:rPr>
              <w:t>4、固体废物污染控制标准</w:t>
            </w:r>
          </w:p>
          <w:p w14:paraId="6111243E">
            <w:pPr>
              <w:widowControl/>
              <w:ind w:firstLine="480"/>
              <w:rPr>
                <w:color w:val="auto"/>
                <w:szCs w:val="24"/>
              </w:rPr>
            </w:pPr>
            <w:r>
              <w:rPr>
                <w:color w:val="auto"/>
                <w:szCs w:val="24"/>
              </w:rPr>
              <w:t>（1）施工期</w:t>
            </w:r>
          </w:p>
          <w:p w14:paraId="718296ED">
            <w:pPr>
              <w:widowControl/>
              <w:ind w:firstLine="480"/>
              <w:rPr>
                <w:color w:val="auto"/>
                <w:szCs w:val="24"/>
              </w:rPr>
            </w:pPr>
            <w:r>
              <w:rPr>
                <w:color w:val="auto"/>
                <w:szCs w:val="24"/>
              </w:rPr>
              <w:t>项目施工期产生的一般固体废物处置执行《一般工业固体废物贮存和填埋污染控制标准》（GB18599-2020）。</w:t>
            </w:r>
          </w:p>
          <w:p w14:paraId="12497D4F">
            <w:pPr>
              <w:widowControl/>
              <w:ind w:firstLine="480"/>
              <w:jc w:val="left"/>
              <w:rPr>
                <w:color w:val="auto"/>
                <w:kern w:val="0"/>
                <w:szCs w:val="24"/>
                <w:lang w:bidi="ar"/>
              </w:rPr>
            </w:pPr>
            <w:r>
              <w:rPr>
                <w:color w:val="auto"/>
                <w:szCs w:val="24"/>
              </w:rPr>
              <w:t>（2）运营期</w:t>
            </w:r>
          </w:p>
          <w:p w14:paraId="53E5B8A8">
            <w:pPr>
              <w:widowControl/>
              <w:ind w:firstLine="480"/>
              <w:jc w:val="left"/>
              <w:rPr>
                <w:rFonts w:hint="eastAsia" w:eastAsia="宋体"/>
                <w:color w:val="auto"/>
                <w:lang w:eastAsia="zh-CN"/>
              </w:rPr>
            </w:pPr>
            <w:r>
              <w:rPr>
                <w:color w:val="auto"/>
                <w:kern w:val="0"/>
                <w:szCs w:val="24"/>
                <w:lang w:bidi="ar"/>
              </w:rPr>
              <w:t>一般工业固废执行《一般工业固体废物贮存、处置场污染控制标准》（GB18599-2020）及其修改单要求；</w:t>
            </w:r>
          </w:p>
          <w:p w14:paraId="1CB49B78">
            <w:pPr>
              <w:ind w:firstLine="480"/>
              <w:rPr>
                <w:color w:val="auto"/>
                <w:szCs w:val="24"/>
              </w:rPr>
            </w:pPr>
            <w:r>
              <w:rPr>
                <w:color w:val="auto"/>
                <w:kern w:val="0"/>
                <w:szCs w:val="24"/>
                <w:lang w:bidi="ar"/>
              </w:rPr>
              <w:t>危险废物执行《危险废物贮存污染控制标准》（GB18597-2023）；化粪池、污水处理站</w:t>
            </w:r>
            <w:r>
              <w:rPr>
                <w:color w:val="auto"/>
                <w:szCs w:val="24"/>
              </w:rPr>
              <w:t>污泥执行《医疗机构水污染物排放标准》（GB18466-2005）中医疗机构污泥控制标准。</w:t>
            </w:r>
          </w:p>
          <w:p w14:paraId="6EA8018E">
            <w:pPr>
              <w:ind w:firstLine="422"/>
              <w:jc w:val="center"/>
              <w:rPr>
                <w:b/>
                <w:snapToGrid w:val="0"/>
                <w:color w:val="auto"/>
                <w:kern w:val="18"/>
                <w:sz w:val="21"/>
                <w:szCs w:val="21"/>
              </w:rPr>
            </w:pPr>
            <w:r>
              <w:rPr>
                <w:b/>
                <w:snapToGrid w:val="0"/>
                <w:color w:val="auto"/>
                <w:kern w:val="18"/>
                <w:sz w:val="21"/>
                <w:szCs w:val="21"/>
              </w:rPr>
              <w:t>表3-1</w:t>
            </w:r>
            <w:r>
              <w:rPr>
                <w:rFonts w:hint="eastAsia"/>
                <w:b/>
                <w:snapToGrid w:val="0"/>
                <w:color w:val="auto"/>
                <w:kern w:val="18"/>
                <w:sz w:val="21"/>
                <w:szCs w:val="21"/>
                <w:lang w:val="en-US" w:eastAsia="zh-CN"/>
              </w:rPr>
              <w:t>6</w:t>
            </w:r>
            <w:r>
              <w:rPr>
                <w:b/>
                <w:snapToGrid w:val="0"/>
                <w:color w:val="auto"/>
                <w:kern w:val="18"/>
                <w:sz w:val="21"/>
                <w:szCs w:val="21"/>
              </w:rPr>
              <w:t>医疗机构污泥控制标准值</w:t>
            </w:r>
          </w:p>
          <w:tbl>
            <w:tblPr>
              <w:tblStyle w:val="19"/>
              <w:tblW w:w="74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0"/>
              <w:gridCol w:w="1478"/>
              <w:gridCol w:w="1000"/>
              <w:gridCol w:w="991"/>
              <w:gridCol w:w="1034"/>
              <w:gridCol w:w="1306"/>
            </w:tblGrid>
            <w:tr w14:paraId="548A5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610" w:type="dxa"/>
                  <w:vAlign w:val="center"/>
                </w:tcPr>
                <w:p w14:paraId="7F117B8B">
                  <w:pPr>
                    <w:pStyle w:val="36"/>
                    <w:adjustRightInd w:val="0"/>
                    <w:snapToGrid w:val="0"/>
                    <w:rPr>
                      <w:color w:val="auto"/>
                    </w:rPr>
                  </w:pPr>
                  <w:r>
                    <w:rPr>
                      <w:color w:val="auto"/>
                    </w:rPr>
                    <w:t>医疗机构类别</w:t>
                  </w:r>
                </w:p>
              </w:tc>
              <w:tc>
                <w:tcPr>
                  <w:tcW w:w="1478" w:type="dxa"/>
                  <w:vAlign w:val="center"/>
                </w:tcPr>
                <w:p w14:paraId="00D39D7C">
                  <w:pPr>
                    <w:pStyle w:val="36"/>
                    <w:adjustRightInd w:val="0"/>
                    <w:snapToGrid w:val="0"/>
                    <w:rPr>
                      <w:color w:val="auto"/>
                    </w:rPr>
                  </w:pPr>
                  <w:r>
                    <w:rPr>
                      <w:color w:val="auto"/>
                    </w:rPr>
                    <w:t>粪大肠菌群数（MPN/g）</w:t>
                  </w:r>
                </w:p>
              </w:tc>
              <w:tc>
                <w:tcPr>
                  <w:tcW w:w="1000" w:type="dxa"/>
                  <w:vAlign w:val="center"/>
                </w:tcPr>
                <w:p w14:paraId="231179EE">
                  <w:pPr>
                    <w:pStyle w:val="36"/>
                    <w:adjustRightInd w:val="0"/>
                    <w:snapToGrid w:val="0"/>
                    <w:rPr>
                      <w:color w:val="auto"/>
                    </w:rPr>
                  </w:pPr>
                  <w:r>
                    <w:rPr>
                      <w:color w:val="auto"/>
                    </w:rPr>
                    <w:t>肠道致病菌</w:t>
                  </w:r>
                </w:p>
              </w:tc>
              <w:tc>
                <w:tcPr>
                  <w:tcW w:w="991" w:type="dxa"/>
                  <w:vAlign w:val="center"/>
                </w:tcPr>
                <w:p w14:paraId="7EB9AF37">
                  <w:pPr>
                    <w:pStyle w:val="36"/>
                    <w:adjustRightInd w:val="0"/>
                    <w:snapToGrid w:val="0"/>
                    <w:rPr>
                      <w:color w:val="auto"/>
                    </w:rPr>
                  </w:pPr>
                  <w:r>
                    <w:rPr>
                      <w:color w:val="auto"/>
                    </w:rPr>
                    <w:t>肠道病毒</w:t>
                  </w:r>
                </w:p>
              </w:tc>
              <w:tc>
                <w:tcPr>
                  <w:tcW w:w="1034" w:type="dxa"/>
                  <w:vAlign w:val="center"/>
                </w:tcPr>
                <w:p w14:paraId="468AC8E6">
                  <w:pPr>
                    <w:pStyle w:val="36"/>
                    <w:adjustRightInd w:val="0"/>
                    <w:snapToGrid w:val="0"/>
                    <w:rPr>
                      <w:color w:val="auto"/>
                    </w:rPr>
                  </w:pPr>
                  <w:r>
                    <w:rPr>
                      <w:color w:val="auto"/>
                    </w:rPr>
                    <w:t>结核杆菌</w:t>
                  </w:r>
                </w:p>
              </w:tc>
              <w:tc>
                <w:tcPr>
                  <w:tcW w:w="1306" w:type="dxa"/>
                  <w:vAlign w:val="center"/>
                </w:tcPr>
                <w:p w14:paraId="372ECCD4">
                  <w:pPr>
                    <w:pStyle w:val="36"/>
                    <w:adjustRightInd w:val="0"/>
                    <w:snapToGrid w:val="0"/>
                    <w:rPr>
                      <w:color w:val="auto"/>
                    </w:rPr>
                  </w:pPr>
                  <w:r>
                    <w:rPr>
                      <w:color w:val="auto"/>
                    </w:rPr>
                    <w:t>蛔虫卵死亡率(%)</w:t>
                  </w:r>
                </w:p>
              </w:tc>
            </w:tr>
            <w:tr w14:paraId="76B1B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10" w:type="dxa"/>
                  <w:vAlign w:val="center"/>
                </w:tcPr>
                <w:p w14:paraId="29AACAFC">
                  <w:pPr>
                    <w:pStyle w:val="36"/>
                    <w:adjustRightInd w:val="0"/>
                    <w:snapToGrid w:val="0"/>
                    <w:rPr>
                      <w:color w:val="auto"/>
                    </w:rPr>
                  </w:pPr>
                  <w:r>
                    <w:rPr>
                      <w:color w:val="auto"/>
                    </w:rPr>
                    <w:t>综合性医疗机构及其他医院</w:t>
                  </w:r>
                </w:p>
              </w:tc>
              <w:tc>
                <w:tcPr>
                  <w:tcW w:w="1478" w:type="dxa"/>
                  <w:vAlign w:val="center"/>
                </w:tcPr>
                <w:p w14:paraId="1F15EFB6">
                  <w:pPr>
                    <w:pStyle w:val="36"/>
                    <w:adjustRightInd w:val="0"/>
                    <w:snapToGrid w:val="0"/>
                    <w:rPr>
                      <w:color w:val="auto"/>
                    </w:rPr>
                  </w:pPr>
                  <w:r>
                    <w:rPr>
                      <w:color w:val="auto"/>
                    </w:rPr>
                    <w:t>≤100</w:t>
                  </w:r>
                </w:p>
              </w:tc>
              <w:tc>
                <w:tcPr>
                  <w:tcW w:w="1000" w:type="dxa"/>
                  <w:vAlign w:val="center"/>
                </w:tcPr>
                <w:p w14:paraId="287939AB">
                  <w:pPr>
                    <w:pStyle w:val="36"/>
                    <w:adjustRightInd w:val="0"/>
                    <w:snapToGrid w:val="0"/>
                    <w:rPr>
                      <w:color w:val="auto"/>
                    </w:rPr>
                  </w:pPr>
                  <w:r>
                    <w:rPr>
                      <w:color w:val="auto"/>
                    </w:rPr>
                    <w:t>—</w:t>
                  </w:r>
                </w:p>
              </w:tc>
              <w:tc>
                <w:tcPr>
                  <w:tcW w:w="991" w:type="dxa"/>
                  <w:vAlign w:val="center"/>
                </w:tcPr>
                <w:p w14:paraId="69A9B289">
                  <w:pPr>
                    <w:pStyle w:val="36"/>
                    <w:adjustRightInd w:val="0"/>
                    <w:snapToGrid w:val="0"/>
                    <w:rPr>
                      <w:color w:val="auto"/>
                    </w:rPr>
                  </w:pPr>
                  <w:r>
                    <w:rPr>
                      <w:color w:val="auto"/>
                    </w:rPr>
                    <w:t>—</w:t>
                  </w:r>
                </w:p>
              </w:tc>
              <w:tc>
                <w:tcPr>
                  <w:tcW w:w="1034" w:type="dxa"/>
                  <w:vAlign w:val="center"/>
                </w:tcPr>
                <w:p w14:paraId="09102397">
                  <w:pPr>
                    <w:pStyle w:val="36"/>
                    <w:adjustRightInd w:val="0"/>
                    <w:snapToGrid w:val="0"/>
                    <w:rPr>
                      <w:color w:val="auto"/>
                    </w:rPr>
                  </w:pPr>
                  <w:r>
                    <w:rPr>
                      <w:color w:val="auto"/>
                    </w:rPr>
                    <w:t>—</w:t>
                  </w:r>
                </w:p>
              </w:tc>
              <w:tc>
                <w:tcPr>
                  <w:tcW w:w="1306" w:type="dxa"/>
                  <w:vAlign w:val="center"/>
                </w:tcPr>
                <w:p w14:paraId="1CFA02CA">
                  <w:pPr>
                    <w:pStyle w:val="36"/>
                    <w:adjustRightInd w:val="0"/>
                    <w:snapToGrid w:val="0"/>
                    <w:rPr>
                      <w:color w:val="auto"/>
                    </w:rPr>
                  </w:pPr>
                  <w:r>
                    <w:rPr>
                      <w:color w:val="auto"/>
                    </w:rPr>
                    <w:t>&gt;95</w:t>
                  </w:r>
                </w:p>
              </w:tc>
            </w:tr>
          </w:tbl>
          <w:p w14:paraId="4DCAFE1C">
            <w:pPr>
              <w:ind w:firstLine="0" w:firstLineChars="0"/>
              <w:rPr>
                <w:color w:val="auto"/>
              </w:rPr>
            </w:pPr>
          </w:p>
        </w:tc>
      </w:tr>
      <w:tr w14:paraId="0C9C64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3" w:type="dxa"/>
            <w:vAlign w:val="center"/>
          </w:tcPr>
          <w:p w14:paraId="0DCF1550">
            <w:pPr>
              <w:ind w:firstLine="0" w:firstLineChars="0"/>
              <w:rPr>
                <w:color w:val="auto"/>
              </w:rPr>
            </w:pPr>
            <w:r>
              <w:rPr>
                <w:color w:val="auto"/>
              </w:rPr>
              <w:t>总量控制指标</w:t>
            </w:r>
          </w:p>
        </w:tc>
        <w:tc>
          <w:tcPr>
            <w:tcW w:w="7959" w:type="dxa"/>
            <w:vAlign w:val="center"/>
          </w:tcPr>
          <w:p w14:paraId="663E59CF">
            <w:pPr>
              <w:pStyle w:val="8"/>
              <w:numPr>
                <w:ilvl w:val="0"/>
                <w:numId w:val="6"/>
              </w:numPr>
              <w:rPr>
                <w:rFonts w:hint="eastAsia"/>
                <w:color w:val="auto"/>
                <w:lang w:val="en-US" w:eastAsia="zh-CN"/>
              </w:rPr>
            </w:pPr>
            <w:r>
              <w:rPr>
                <w:rFonts w:hint="eastAsia"/>
                <w:color w:val="auto"/>
                <w:lang w:val="en-US" w:eastAsia="zh-CN"/>
              </w:rPr>
              <w:t>废气：项目废气不设总量控制指标。</w:t>
            </w:r>
          </w:p>
          <w:p w14:paraId="1829F23C">
            <w:pPr>
              <w:pStyle w:val="8"/>
              <w:numPr>
                <w:ilvl w:val="0"/>
                <w:numId w:val="6"/>
              </w:numPr>
              <w:rPr>
                <w:rFonts w:hint="default"/>
                <w:color w:val="auto"/>
                <w:lang w:val="en-US" w:eastAsia="zh-CN"/>
              </w:rPr>
            </w:pPr>
            <w:r>
              <w:rPr>
                <w:rFonts w:hint="eastAsia"/>
                <w:color w:val="auto"/>
                <w:lang w:val="en-US" w:eastAsia="zh-CN"/>
              </w:rPr>
              <w:t>废水：废水总排放量：166.554m³/d（江川区医共体总院）、43.445m³/d（江城镇卫生院），江川区医共体总院废水经处理达标后排入星云湖南片区污水处理厂，江城镇卫生院废水经处理达标后排入星云湖北片区污水处理厂，考核总量纳入星云湖南北片区污水处理厂的控制指标。</w:t>
            </w:r>
          </w:p>
          <w:p w14:paraId="296A1A40">
            <w:pPr>
              <w:pStyle w:val="8"/>
              <w:numPr>
                <w:ilvl w:val="0"/>
                <w:numId w:val="6"/>
              </w:numPr>
              <w:rPr>
                <w:rFonts w:hint="default"/>
                <w:color w:val="auto"/>
                <w:lang w:val="en-US" w:eastAsia="zh-CN"/>
              </w:rPr>
            </w:pPr>
            <w:r>
              <w:rPr>
                <w:rFonts w:hint="eastAsia"/>
                <w:color w:val="auto"/>
                <w:lang w:val="en-US" w:eastAsia="zh-CN"/>
              </w:rPr>
              <w:t>固体废弃物：本项目产生的固体废弃物要求进行全部有效处置，处置率100%，不设总量控制指标。</w:t>
            </w:r>
          </w:p>
          <w:p w14:paraId="4578A1D6">
            <w:pPr>
              <w:ind w:left="0" w:leftChars="0" w:firstLine="480" w:firstLineChars="200"/>
              <w:rPr>
                <w:rFonts w:hint="default"/>
                <w:color w:val="auto"/>
                <w:lang w:val="en-US"/>
              </w:rPr>
            </w:pPr>
          </w:p>
        </w:tc>
      </w:tr>
    </w:tbl>
    <w:p w14:paraId="66EBE2CA">
      <w:pPr>
        <w:pStyle w:val="3"/>
        <w:jc w:val="center"/>
        <w:rPr>
          <w:color w:val="auto"/>
        </w:rPr>
      </w:pPr>
      <w:r>
        <w:rPr>
          <w:color w:val="auto"/>
        </w:rPr>
        <w:br w:type="page"/>
      </w:r>
      <w:bookmarkStart w:id="5" w:name="_Toc11318"/>
      <w:r>
        <w:rPr>
          <w:color w:val="auto"/>
        </w:rPr>
        <w:t>四、主要环境影响和保护措施</w:t>
      </w:r>
      <w:bookmarkEnd w:id="5"/>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9"/>
        <w:gridCol w:w="7563"/>
      </w:tblGrid>
      <w:tr w14:paraId="7C9EE0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50" w:hRule="atLeast"/>
        </w:trPr>
        <w:tc>
          <w:tcPr>
            <w:tcW w:w="959" w:type="dxa"/>
            <w:vAlign w:val="center"/>
          </w:tcPr>
          <w:p w14:paraId="45A257B6">
            <w:pPr>
              <w:ind w:firstLine="0" w:firstLineChars="0"/>
              <w:jc w:val="center"/>
              <w:rPr>
                <w:color w:val="auto"/>
              </w:rPr>
            </w:pPr>
            <w:r>
              <w:rPr>
                <w:color w:val="auto"/>
              </w:rPr>
              <w:t>施工期环境保护措施</w:t>
            </w:r>
          </w:p>
        </w:tc>
        <w:tc>
          <w:tcPr>
            <w:tcW w:w="7563" w:type="dxa"/>
            <w:vAlign w:val="center"/>
          </w:tcPr>
          <w:p w14:paraId="400F0206">
            <w:pPr>
              <w:pStyle w:val="33"/>
              <w:ind w:firstLine="0" w:firstLineChars="0"/>
              <w:rPr>
                <w:color w:val="auto"/>
                <w:szCs w:val="24"/>
              </w:rPr>
            </w:pPr>
            <w:r>
              <w:rPr>
                <w:color w:val="auto"/>
                <w:szCs w:val="24"/>
              </w:rPr>
              <w:t>一、施工期施工工序及产污环节简述</w:t>
            </w:r>
          </w:p>
          <w:p w14:paraId="198503E6">
            <w:pPr>
              <w:widowControl/>
              <w:ind w:firstLine="480"/>
              <w:jc w:val="left"/>
              <w:rPr>
                <w:color w:val="auto"/>
                <w:szCs w:val="24"/>
              </w:rPr>
            </w:pPr>
            <w:r>
              <w:rPr>
                <w:color w:val="auto"/>
                <w:szCs w:val="24"/>
              </w:rPr>
              <w:t>本项目在施工期间将进行</w:t>
            </w:r>
            <w:r>
              <w:rPr>
                <w:rFonts w:hint="eastAsia"/>
                <w:color w:val="auto"/>
                <w:szCs w:val="24"/>
                <w:lang w:eastAsia="zh-CN"/>
              </w:rPr>
              <w:t>玉溪市江川区医共体总医院</w:t>
            </w:r>
            <w:r>
              <w:rPr>
                <w:color w:val="auto"/>
                <w:szCs w:val="24"/>
              </w:rPr>
              <w:t>综合住院楼的建设、设备安装等，将对项目所在地周围环境产生一定的影响。</w:t>
            </w:r>
          </w:p>
          <w:p w14:paraId="3B4BB012">
            <w:pPr>
              <w:widowControl/>
              <w:numPr>
                <w:ilvl w:val="0"/>
                <w:numId w:val="7"/>
              </w:numPr>
              <w:ind w:firstLine="480"/>
              <w:jc w:val="left"/>
              <w:rPr>
                <w:color w:val="auto"/>
                <w:szCs w:val="24"/>
              </w:rPr>
            </w:pPr>
            <w:r>
              <w:rPr>
                <w:color w:val="auto"/>
                <w:szCs w:val="24"/>
              </w:rPr>
              <w:t>施工期环境保护措施：</w:t>
            </w:r>
          </w:p>
          <w:p w14:paraId="486B7BEE">
            <w:pPr>
              <w:pStyle w:val="2"/>
              <w:numPr>
                <w:ilvl w:val="0"/>
                <w:numId w:val="0"/>
              </w:numP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江川区医共体总院：</w:t>
            </w:r>
          </w:p>
          <w:p w14:paraId="6DD35A54">
            <w:pPr>
              <w:widowControl/>
              <w:ind w:firstLine="480"/>
              <w:jc w:val="left"/>
              <w:rPr>
                <w:color w:val="auto"/>
                <w:szCs w:val="24"/>
              </w:rPr>
            </w:pPr>
            <w:r>
              <w:rPr>
                <w:color w:val="auto"/>
                <w:szCs w:val="24"/>
              </w:rPr>
              <w:t>1、大气环境</w:t>
            </w:r>
          </w:p>
          <w:p w14:paraId="4D6CD491">
            <w:pPr>
              <w:widowControl/>
              <w:ind w:firstLine="480"/>
              <w:jc w:val="left"/>
              <w:rPr>
                <w:color w:val="auto"/>
                <w:szCs w:val="24"/>
              </w:rPr>
            </w:pPr>
            <w:r>
              <w:rPr>
                <w:rFonts w:hint="eastAsia"/>
                <w:color w:val="auto"/>
                <w:szCs w:val="24"/>
              </w:rPr>
              <w:t>施工期废气主要为施工扬尘、运输扬尘、施工机械和运输车辆尾气，具体大气污染防治措施如下：</w:t>
            </w:r>
          </w:p>
          <w:p w14:paraId="25F6B990">
            <w:pPr>
              <w:widowControl/>
              <w:ind w:firstLine="480"/>
              <w:jc w:val="left"/>
              <w:rPr>
                <w:color w:val="auto"/>
                <w:szCs w:val="24"/>
              </w:rPr>
            </w:pPr>
            <w:r>
              <w:rPr>
                <w:rFonts w:hint="eastAsia"/>
                <w:color w:val="auto"/>
                <w:szCs w:val="24"/>
              </w:rPr>
              <w:t>（1）施工厂界应设置围挡，高度不低于2.5m，并对施工场地进行洒水降尘、及时清扫垃圾，避免大风产生扬尘。扬尘较大的施工作业要进行洒水压尘。主要通道、进出道路、办公区地面进行硬化处理。</w:t>
            </w:r>
          </w:p>
          <w:p w14:paraId="2D77B506">
            <w:pPr>
              <w:widowControl/>
              <w:ind w:firstLine="480"/>
              <w:jc w:val="left"/>
              <w:rPr>
                <w:color w:val="auto"/>
                <w:szCs w:val="24"/>
              </w:rPr>
            </w:pPr>
            <w:r>
              <w:rPr>
                <w:rFonts w:hint="eastAsia"/>
                <w:color w:val="auto"/>
                <w:szCs w:val="24"/>
              </w:rPr>
              <w:t>（2）施工场地清理阶段做到先洒水，后清扫，施工后期建筑垃圾及时清理。</w:t>
            </w:r>
          </w:p>
          <w:p w14:paraId="2F621387">
            <w:pPr>
              <w:widowControl/>
              <w:ind w:firstLine="480"/>
              <w:jc w:val="left"/>
              <w:rPr>
                <w:color w:val="auto"/>
                <w:szCs w:val="24"/>
              </w:rPr>
            </w:pPr>
            <w:r>
              <w:rPr>
                <w:rFonts w:hint="eastAsia"/>
                <w:color w:val="auto"/>
                <w:szCs w:val="24"/>
              </w:rPr>
              <w:t>（3）加强施工现场运输车辆管理，运输车辆必须车身整洁，装载车厢完好、严密，装载货物堆码整齐，严禁在装运过程中沿途抛、洒、滴、漏，不得污染道路；</w:t>
            </w:r>
          </w:p>
          <w:p w14:paraId="068F6604">
            <w:pPr>
              <w:widowControl/>
              <w:ind w:firstLine="480"/>
              <w:jc w:val="left"/>
              <w:rPr>
                <w:color w:val="auto"/>
                <w:szCs w:val="24"/>
              </w:rPr>
            </w:pPr>
            <w:r>
              <w:rPr>
                <w:rFonts w:hint="eastAsia"/>
                <w:color w:val="auto"/>
                <w:szCs w:val="24"/>
              </w:rPr>
              <w:t>（4）施工建筑材料定点堆放，在大风天气对散料堆场采用水喷淋防尘，用篷布遮盖建筑材料，尽量按量购进建筑材料，避免在场内长时间堆放。</w:t>
            </w:r>
          </w:p>
          <w:p w14:paraId="6DDE871D">
            <w:pPr>
              <w:widowControl/>
              <w:ind w:firstLine="480"/>
              <w:jc w:val="left"/>
              <w:rPr>
                <w:color w:val="auto"/>
                <w:szCs w:val="24"/>
              </w:rPr>
            </w:pPr>
            <w:r>
              <w:rPr>
                <w:rFonts w:hint="eastAsia"/>
                <w:color w:val="auto"/>
                <w:szCs w:val="24"/>
              </w:rPr>
              <w:t>（5）施工产生的建筑垃圾应统一堆放并用篷布遮盖，并及时清运。</w:t>
            </w:r>
          </w:p>
          <w:p w14:paraId="39B88977">
            <w:pPr>
              <w:widowControl/>
              <w:ind w:firstLine="480"/>
              <w:jc w:val="left"/>
              <w:rPr>
                <w:color w:val="auto"/>
                <w:szCs w:val="24"/>
              </w:rPr>
            </w:pPr>
            <w:r>
              <w:rPr>
                <w:rFonts w:hint="eastAsia"/>
                <w:color w:val="auto"/>
                <w:szCs w:val="24"/>
              </w:rPr>
              <w:t>（6）建设单位应在施工期间加强对车辆及施工机械的维修，尽量减少尾气的排放。</w:t>
            </w:r>
          </w:p>
          <w:p w14:paraId="50D8C985">
            <w:pPr>
              <w:widowControl/>
              <w:ind w:firstLine="480"/>
              <w:jc w:val="left"/>
              <w:rPr>
                <w:color w:val="auto"/>
                <w:szCs w:val="24"/>
              </w:rPr>
            </w:pPr>
            <w:r>
              <w:rPr>
                <w:color w:val="auto"/>
                <w:szCs w:val="24"/>
              </w:rPr>
              <w:t>2、水环境</w:t>
            </w:r>
          </w:p>
          <w:p w14:paraId="5EB02B86">
            <w:pPr>
              <w:widowControl/>
              <w:ind w:firstLine="480"/>
              <w:jc w:val="left"/>
              <w:rPr>
                <w:color w:val="auto"/>
                <w:szCs w:val="24"/>
              </w:rPr>
            </w:pPr>
            <w:r>
              <w:rPr>
                <w:rFonts w:hint="eastAsia"/>
                <w:color w:val="auto"/>
                <w:szCs w:val="24"/>
              </w:rPr>
              <w:t>项目施工期产生的污水主要为生活污水及施工污水。具体水污染防治措施如下：</w:t>
            </w:r>
          </w:p>
          <w:p w14:paraId="00AF3CE4">
            <w:pPr>
              <w:widowControl/>
              <w:ind w:firstLine="480"/>
              <w:jc w:val="left"/>
              <w:rPr>
                <w:color w:val="auto"/>
                <w:szCs w:val="24"/>
              </w:rPr>
            </w:pPr>
            <w:r>
              <w:rPr>
                <w:rFonts w:hint="eastAsia"/>
                <w:color w:val="auto"/>
                <w:szCs w:val="24"/>
              </w:rPr>
              <w:t>（1）尽量避免雨季进行大规模的地面开挖作业，暴雨期间停止地基开挖等扰动地表类的施工，禁止任何施工废水排入周边地表水。</w:t>
            </w:r>
          </w:p>
          <w:p w14:paraId="7CF3E7BE">
            <w:pPr>
              <w:widowControl/>
              <w:ind w:firstLine="480"/>
              <w:jc w:val="left"/>
              <w:rPr>
                <w:color w:val="auto"/>
                <w:szCs w:val="24"/>
              </w:rPr>
            </w:pPr>
            <w:r>
              <w:rPr>
                <w:rFonts w:hint="eastAsia"/>
                <w:color w:val="auto"/>
                <w:szCs w:val="24"/>
              </w:rPr>
              <w:t>（2）在地势低处设置临时排水沟，排水沟末端设置1座临时沉砂池，回用于施工场地洒水抑尘和水质要求不高的施工工艺。</w:t>
            </w:r>
          </w:p>
          <w:p w14:paraId="053C3CE9">
            <w:pPr>
              <w:widowControl/>
              <w:ind w:firstLine="480"/>
              <w:jc w:val="left"/>
              <w:rPr>
                <w:color w:val="auto"/>
                <w:szCs w:val="24"/>
              </w:rPr>
            </w:pPr>
            <w:r>
              <w:rPr>
                <w:rFonts w:hint="eastAsia"/>
                <w:color w:val="auto"/>
                <w:szCs w:val="24"/>
              </w:rPr>
              <w:t>（3）施工人员均来自城区及周边村庄，不在项目区食宿，生活废水依托医院已建设施处理。施工人员产生的少量清洗废水和施工机械冲洗废水采用临时沉淀池（1个，有效容积不小于2m</w:t>
            </w:r>
            <w:r>
              <w:rPr>
                <w:rFonts w:hint="eastAsia"/>
                <w:color w:val="auto"/>
                <w:szCs w:val="24"/>
                <w:vertAlign w:val="superscript"/>
              </w:rPr>
              <w:t>3</w:t>
            </w:r>
            <w:r>
              <w:rPr>
                <w:rFonts w:hint="eastAsia"/>
                <w:color w:val="auto"/>
                <w:szCs w:val="24"/>
              </w:rPr>
              <w:t>）收集沉淀后用于施工场地洒水抑尘和水质要求不高的施工工艺。</w:t>
            </w:r>
          </w:p>
          <w:p w14:paraId="3D3559D4">
            <w:pPr>
              <w:widowControl/>
              <w:ind w:firstLine="480"/>
              <w:jc w:val="left"/>
              <w:rPr>
                <w:color w:val="auto"/>
                <w:szCs w:val="24"/>
              </w:rPr>
            </w:pPr>
            <w:r>
              <w:rPr>
                <w:rFonts w:hint="eastAsia"/>
                <w:color w:val="auto"/>
                <w:szCs w:val="24"/>
              </w:rPr>
              <w:t>（4）设置雨水收集池，收集雨天降水，用于施工场地洒水抑尘和水质要求不高的施工工艺。</w:t>
            </w:r>
          </w:p>
          <w:p w14:paraId="5C9B1E23">
            <w:pPr>
              <w:widowControl/>
              <w:ind w:firstLine="480"/>
              <w:jc w:val="left"/>
              <w:rPr>
                <w:rFonts w:hint="eastAsia"/>
                <w:color w:val="auto"/>
                <w:szCs w:val="24"/>
              </w:rPr>
            </w:pPr>
            <w:r>
              <w:rPr>
                <w:rFonts w:hint="eastAsia"/>
                <w:color w:val="auto"/>
                <w:szCs w:val="24"/>
              </w:rPr>
              <w:t>（5）项目在地基开挖等施工过程中可能会产生一定的基坑涌水，项目拟设置基坑涌水沉淀池对涌水进行处理，处理后回用于施工场地洒水抑尘和水质要求不高的施工工艺。</w:t>
            </w:r>
          </w:p>
          <w:p w14:paraId="7EB33198">
            <w:pPr>
              <w:widowControl/>
              <w:ind w:firstLine="480"/>
              <w:jc w:val="left"/>
              <w:rPr>
                <w:color w:val="auto"/>
                <w:szCs w:val="24"/>
              </w:rPr>
            </w:pPr>
            <w:r>
              <w:rPr>
                <w:color w:val="auto"/>
                <w:szCs w:val="24"/>
              </w:rPr>
              <w:t>3、声环境</w:t>
            </w:r>
          </w:p>
          <w:p w14:paraId="50E54FFD">
            <w:pPr>
              <w:widowControl/>
              <w:ind w:firstLine="480"/>
              <w:jc w:val="left"/>
              <w:rPr>
                <w:color w:val="auto"/>
                <w:szCs w:val="24"/>
              </w:rPr>
            </w:pPr>
            <w:r>
              <w:rPr>
                <w:rFonts w:hint="eastAsia"/>
                <w:color w:val="auto"/>
                <w:szCs w:val="24"/>
              </w:rPr>
              <w:t>项目施工期噪声主要来自于运输车辆和各种施工机械，建设单位拟采取以下噪声污染防治措施：</w:t>
            </w:r>
          </w:p>
          <w:p w14:paraId="189C81AF">
            <w:pPr>
              <w:widowControl/>
              <w:ind w:firstLine="480"/>
              <w:jc w:val="left"/>
              <w:rPr>
                <w:color w:val="auto"/>
                <w:szCs w:val="24"/>
              </w:rPr>
            </w:pPr>
            <w:r>
              <w:rPr>
                <w:rFonts w:hint="eastAsia"/>
                <w:color w:val="auto"/>
                <w:szCs w:val="24"/>
              </w:rPr>
              <w:t>（1）选用低噪声设备，并安装减震设施，避免多个高噪声设备同时施工，对一些固定的、噪声强度较大的施工设备如电锯、切割机等可固定设备应尽量设置在设备专用房或操作间内，避免露天作业。</w:t>
            </w:r>
          </w:p>
          <w:p w14:paraId="27170D0E">
            <w:pPr>
              <w:widowControl/>
              <w:ind w:firstLine="480"/>
              <w:jc w:val="left"/>
              <w:rPr>
                <w:color w:val="auto"/>
                <w:szCs w:val="24"/>
              </w:rPr>
            </w:pPr>
            <w:r>
              <w:rPr>
                <w:rFonts w:hint="eastAsia"/>
                <w:color w:val="auto"/>
                <w:szCs w:val="24"/>
              </w:rPr>
              <w:t>（2）合理安排高噪声设备施工时间，禁止在中午（12:00～14:30）和夜间（22:00～次日6:00）施工，如需连续作业时，应在周边地区张贴安民告示，并征得有关主管部门同意后，方可施工。</w:t>
            </w:r>
          </w:p>
          <w:p w14:paraId="560B9D6B">
            <w:pPr>
              <w:widowControl/>
              <w:ind w:firstLine="480"/>
              <w:jc w:val="left"/>
              <w:rPr>
                <w:color w:val="auto"/>
                <w:szCs w:val="24"/>
              </w:rPr>
            </w:pPr>
            <w:r>
              <w:rPr>
                <w:rFonts w:hint="eastAsia"/>
                <w:color w:val="auto"/>
                <w:szCs w:val="24"/>
              </w:rPr>
              <w:t>（3）施工运输路线的选择应注意对敏感目标的避让，运输车辆需控制车速，并禁止鸣笛，以降低施工噪声对周围环境的影响。</w:t>
            </w:r>
          </w:p>
          <w:p w14:paraId="75AF9E3E">
            <w:pPr>
              <w:widowControl/>
              <w:ind w:firstLine="480"/>
              <w:jc w:val="left"/>
              <w:rPr>
                <w:color w:val="auto"/>
                <w:szCs w:val="24"/>
              </w:rPr>
            </w:pPr>
            <w:r>
              <w:rPr>
                <w:rFonts w:hint="eastAsia"/>
                <w:color w:val="auto"/>
                <w:szCs w:val="24"/>
              </w:rPr>
              <w:t>（4）加强管理，降低人为噪声影响：按操作规范操作机械设备等过程中减少碰撞噪声，并对工人进行环保方面的教育，做到文明作业，减少作业噪声。</w:t>
            </w:r>
          </w:p>
          <w:p w14:paraId="52D818A4">
            <w:pPr>
              <w:widowControl/>
              <w:ind w:firstLine="480"/>
              <w:jc w:val="left"/>
              <w:rPr>
                <w:color w:val="auto"/>
                <w:szCs w:val="24"/>
              </w:rPr>
            </w:pPr>
            <w:r>
              <w:rPr>
                <w:rFonts w:hint="eastAsia"/>
                <w:color w:val="auto"/>
                <w:szCs w:val="24"/>
              </w:rPr>
              <w:t>施工期间噪声多产生于昼间，为短期、无规律性的行为，施工期结束后，相应的噪声污染即随之消失，不会对周围环境产生长期不良影响。</w:t>
            </w:r>
          </w:p>
          <w:p w14:paraId="772E1758">
            <w:pPr>
              <w:widowControl/>
              <w:ind w:firstLine="480"/>
              <w:jc w:val="left"/>
              <w:rPr>
                <w:color w:val="auto"/>
                <w:szCs w:val="24"/>
              </w:rPr>
            </w:pPr>
            <w:r>
              <w:rPr>
                <w:color w:val="auto"/>
                <w:szCs w:val="24"/>
              </w:rPr>
              <w:t>4、固体废物</w:t>
            </w:r>
          </w:p>
          <w:p w14:paraId="4D843A1C">
            <w:pPr>
              <w:widowControl/>
              <w:ind w:firstLine="480"/>
              <w:jc w:val="left"/>
              <w:rPr>
                <w:color w:val="auto"/>
                <w:szCs w:val="24"/>
              </w:rPr>
            </w:pPr>
            <w:r>
              <w:rPr>
                <w:rFonts w:hint="eastAsia"/>
                <w:color w:val="auto"/>
                <w:szCs w:val="24"/>
              </w:rPr>
              <w:t>项目施工期固体废物主要为施工期开挖土石方、建筑垃圾和施工人员生活垃圾。针对施工期产生的固体废物，项目在施工期拟采取如下控制措施：</w:t>
            </w:r>
          </w:p>
          <w:p w14:paraId="599CA9C5">
            <w:pPr>
              <w:widowControl/>
              <w:ind w:firstLine="480"/>
              <w:jc w:val="left"/>
              <w:rPr>
                <w:color w:val="auto"/>
                <w:szCs w:val="24"/>
              </w:rPr>
            </w:pPr>
            <w:r>
              <w:rPr>
                <w:rFonts w:hint="eastAsia"/>
                <w:color w:val="auto"/>
                <w:szCs w:val="24"/>
              </w:rPr>
              <w:t>（1）项目对于不能平衡部分</w:t>
            </w:r>
            <w:r>
              <w:rPr>
                <w:rFonts w:hint="eastAsia"/>
                <w:color w:val="auto"/>
                <w:szCs w:val="24"/>
                <w:lang w:val="en-US" w:eastAsia="zh-CN"/>
              </w:rPr>
              <w:t>的土石方</w:t>
            </w:r>
            <w:r>
              <w:rPr>
                <w:rFonts w:hint="eastAsia"/>
                <w:color w:val="auto"/>
                <w:szCs w:val="24"/>
              </w:rPr>
              <w:t>交由有资质的渣土清运公司外运至政府指定的堆土场规范堆放，并按市政相关管理部门要求进行处理处置。</w:t>
            </w:r>
          </w:p>
          <w:p w14:paraId="2E2D5F3A">
            <w:pPr>
              <w:widowControl/>
              <w:ind w:firstLine="480"/>
              <w:jc w:val="left"/>
              <w:rPr>
                <w:color w:val="auto"/>
                <w:szCs w:val="24"/>
              </w:rPr>
            </w:pPr>
            <w:r>
              <w:rPr>
                <w:rFonts w:hint="eastAsia"/>
                <w:color w:val="auto"/>
                <w:szCs w:val="24"/>
              </w:rPr>
              <w:t>（2）建筑垃圾进行集中收集、回收利用，不可利用的建筑垃圾拟委托有资质的单位运至相关主管部门指定的建筑垃圾处置场规范处置。</w:t>
            </w:r>
          </w:p>
          <w:p w14:paraId="0051AEA4">
            <w:pPr>
              <w:widowControl/>
              <w:ind w:firstLine="480"/>
              <w:jc w:val="left"/>
              <w:rPr>
                <w:color w:val="auto"/>
                <w:szCs w:val="24"/>
              </w:rPr>
            </w:pPr>
            <w:r>
              <w:rPr>
                <w:rFonts w:hint="eastAsia"/>
                <w:color w:val="auto"/>
                <w:szCs w:val="24"/>
              </w:rPr>
              <w:t>（3）在施工场地设垃圾收集点，并交由当地环卫部门处理，运送途中应避免洒落。在施工期间应对收集点进行维护管理，防止四处散落，并应定期消毒，减少蚊虫和病菌的滋生。</w:t>
            </w:r>
          </w:p>
          <w:p w14:paraId="38CD7A5E">
            <w:pPr>
              <w:widowControl/>
              <w:ind w:firstLine="480"/>
              <w:jc w:val="left"/>
              <w:rPr>
                <w:color w:val="auto"/>
                <w:szCs w:val="24"/>
              </w:rPr>
            </w:pPr>
            <w:r>
              <w:rPr>
                <w:color w:val="auto"/>
                <w:szCs w:val="24"/>
              </w:rPr>
              <w:t>项目施工期产生的固体均能得到妥善的处置，处置率100%，对周围环境影响较小。</w:t>
            </w:r>
          </w:p>
          <w:p w14:paraId="685184EC">
            <w:pPr>
              <w:pStyle w:val="2"/>
              <w:numPr>
                <w:ilvl w:val="0"/>
                <w:numId w:val="0"/>
              </w:numPr>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江城卫生院：</w:t>
            </w:r>
          </w:p>
          <w:p w14:paraId="344626E0">
            <w:pPr>
              <w:widowControl/>
              <w:ind w:firstLine="480"/>
              <w:jc w:val="left"/>
              <w:rPr>
                <w:color w:val="auto"/>
                <w:szCs w:val="24"/>
              </w:rPr>
            </w:pPr>
            <w:r>
              <w:rPr>
                <w:color w:val="auto"/>
                <w:szCs w:val="24"/>
              </w:rPr>
              <w:t>1、大气环境</w:t>
            </w:r>
          </w:p>
          <w:p w14:paraId="2B91C8F4">
            <w:pPr>
              <w:widowControl/>
              <w:ind w:firstLine="480"/>
              <w:jc w:val="left"/>
              <w:rPr>
                <w:color w:val="auto"/>
                <w:szCs w:val="24"/>
              </w:rPr>
            </w:pPr>
            <w:r>
              <w:rPr>
                <w:rFonts w:hint="eastAsia"/>
                <w:color w:val="auto"/>
                <w:szCs w:val="24"/>
              </w:rPr>
              <w:t>施工期废气主要为施工扬尘、运输扬尘、施工机械和运输车辆尾气，具体大气污染防治措施如下：</w:t>
            </w:r>
          </w:p>
          <w:p w14:paraId="19167A5E">
            <w:pPr>
              <w:widowControl/>
              <w:ind w:firstLine="480"/>
              <w:jc w:val="left"/>
              <w:rPr>
                <w:color w:val="auto"/>
                <w:szCs w:val="24"/>
              </w:rPr>
            </w:pPr>
            <w:r>
              <w:rPr>
                <w:rFonts w:hint="eastAsia"/>
                <w:color w:val="auto"/>
                <w:szCs w:val="24"/>
              </w:rPr>
              <w:t>（1）施工厂界应设置围挡，高度不低于2.5m，并对施工场地进行洒水降尘、及时清扫垃圾，避免大风产生扬尘。扬尘较大的施工作业要进行洒水压尘。主要通道、进出道路、办公区地面进行硬化处理。</w:t>
            </w:r>
          </w:p>
          <w:p w14:paraId="4CE01EFC">
            <w:pPr>
              <w:widowControl/>
              <w:ind w:firstLine="480"/>
              <w:jc w:val="left"/>
              <w:rPr>
                <w:color w:val="auto"/>
                <w:szCs w:val="24"/>
              </w:rPr>
            </w:pPr>
            <w:r>
              <w:rPr>
                <w:rFonts w:hint="eastAsia"/>
                <w:color w:val="auto"/>
                <w:szCs w:val="24"/>
              </w:rPr>
              <w:t>（2）施工场地清理阶段做到先洒水，后清扫，施工后期建筑垃圾及时清理。</w:t>
            </w:r>
          </w:p>
          <w:p w14:paraId="7DCEE45A">
            <w:pPr>
              <w:widowControl/>
              <w:ind w:firstLine="480"/>
              <w:jc w:val="left"/>
              <w:rPr>
                <w:color w:val="auto"/>
                <w:szCs w:val="24"/>
              </w:rPr>
            </w:pPr>
            <w:r>
              <w:rPr>
                <w:rFonts w:hint="eastAsia"/>
                <w:color w:val="auto"/>
                <w:szCs w:val="24"/>
              </w:rPr>
              <w:t>（3）加强施工现场运输车辆管理，运输车辆必须车身整洁，装载车厢完好、严密，装载货物堆码整齐，严禁在装运过程中沿途抛、洒、滴、漏，不得污染道路；</w:t>
            </w:r>
          </w:p>
          <w:p w14:paraId="2E7E875F">
            <w:pPr>
              <w:widowControl/>
              <w:ind w:firstLine="480"/>
              <w:jc w:val="left"/>
              <w:rPr>
                <w:color w:val="auto"/>
                <w:szCs w:val="24"/>
              </w:rPr>
            </w:pPr>
            <w:r>
              <w:rPr>
                <w:rFonts w:hint="eastAsia"/>
                <w:color w:val="auto"/>
                <w:szCs w:val="24"/>
              </w:rPr>
              <w:t>（4）施工建筑材料定点堆放，在大风天气对散料堆场采用水喷淋防尘，用篷布遮盖建筑材料，尽量按量购进建筑材料，避免在场内长时间堆放。</w:t>
            </w:r>
          </w:p>
          <w:p w14:paraId="182B5ECA">
            <w:pPr>
              <w:widowControl/>
              <w:ind w:firstLine="480"/>
              <w:jc w:val="left"/>
              <w:rPr>
                <w:color w:val="auto"/>
                <w:szCs w:val="24"/>
              </w:rPr>
            </w:pPr>
            <w:r>
              <w:rPr>
                <w:rFonts w:hint="eastAsia"/>
                <w:color w:val="auto"/>
                <w:szCs w:val="24"/>
              </w:rPr>
              <w:t>（5）施工产生的建筑垃圾应统一堆放并用篷布遮盖，并及时清运。</w:t>
            </w:r>
          </w:p>
          <w:p w14:paraId="3EFFEDEA">
            <w:pPr>
              <w:widowControl/>
              <w:ind w:firstLine="480"/>
              <w:jc w:val="left"/>
              <w:rPr>
                <w:color w:val="auto"/>
                <w:szCs w:val="24"/>
              </w:rPr>
            </w:pPr>
            <w:r>
              <w:rPr>
                <w:rFonts w:hint="eastAsia"/>
                <w:color w:val="auto"/>
                <w:szCs w:val="24"/>
              </w:rPr>
              <w:t>（6）建设单位应在施工期间加强对车辆及施工机械的维修，尽量减少尾气的排放。</w:t>
            </w:r>
          </w:p>
          <w:p w14:paraId="07343EA0">
            <w:pPr>
              <w:widowControl/>
              <w:ind w:firstLine="480"/>
              <w:jc w:val="left"/>
              <w:rPr>
                <w:color w:val="auto"/>
                <w:szCs w:val="24"/>
              </w:rPr>
            </w:pPr>
            <w:r>
              <w:rPr>
                <w:color w:val="auto"/>
                <w:szCs w:val="24"/>
              </w:rPr>
              <w:t>2、水环境</w:t>
            </w:r>
          </w:p>
          <w:p w14:paraId="406BDBA3">
            <w:pPr>
              <w:widowControl/>
              <w:ind w:firstLine="480"/>
              <w:jc w:val="left"/>
              <w:rPr>
                <w:color w:val="auto"/>
                <w:szCs w:val="24"/>
              </w:rPr>
            </w:pPr>
            <w:r>
              <w:rPr>
                <w:rFonts w:hint="eastAsia"/>
                <w:color w:val="auto"/>
                <w:szCs w:val="24"/>
              </w:rPr>
              <w:t>项目施工期产生的污水主要为生活污水及施工污水。具体水污染防治措施如下：</w:t>
            </w:r>
          </w:p>
          <w:p w14:paraId="328469B6">
            <w:pPr>
              <w:widowControl/>
              <w:ind w:firstLine="480"/>
              <w:jc w:val="left"/>
              <w:rPr>
                <w:color w:val="auto"/>
                <w:szCs w:val="24"/>
              </w:rPr>
            </w:pPr>
            <w:r>
              <w:rPr>
                <w:rFonts w:hint="eastAsia"/>
                <w:color w:val="auto"/>
                <w:szCs w:val="24"/>
              </w:rPr>
              <w:t>（1）尽量避免雨季进行大规模的地面开挖作业，暴雨期间停止地基开挖等扰动地表类的施工，禁止任何施工废水排入周边地表水。</w:t>
            </w:r>
          </w:p>
          <w:p w14:paraId="4BDDDC1E">
            <w:pPr>
              <w:widowControl/>
              <w:ind w:firstLine="480"/>
              <w:jc w:val="left"/>
              <w:rPr>
                <w:color w:val="auto"/>
                <w:szCs w:val="24"/>
              </w:rPr>
            </w:pPr>
            <w:r>
              <w:rPr>
                <w:rFonts w:hint="eastAsia"/>
                <w:color w:val="auto"/>
                <w:szCs w:val="24"/>
              </w:rPr>
              <w:t>（2）在地势低处设置临时排水沟，排水沟末端设置1座临时沉砂池，回用于施工场地洒水抑尘和水质要求不高的施工工艺。</w:t>
            </w:r>
          </w:p>
          <w:p w14:paraId="760C86E7">
            <w:pPr>
              <w:widowControl/>
              <w:ind w:firstLine="480"/>
              <w:jc w:val="left"/>
              <w:rPr>
                <w:color w:val="auto"/>
                <w:szCs w:val="24"/>
              </w:rPr>
            </w:pPr>
            <w:r>
              <w:rPr>
                <w:rFonts w:hint="eastAsia"/>
                <w:color w:val="auto"/>
                <w:szCs w:val="24"/>
              </w:rPr>
              <w:t>（3）施工人员均来自城区及周边村庄，不在项目区食宿，生活废水依托医院已建设施处理。施工人员产生的少量清洗废水和施工机械冲洗废水采用临时沉淀池（1个，有效容积不小于2m</w:t>
            </w:r>
            <w:r>
              <w:rPr>
                <w:rFonts w:hint="eastAsia"/>
                <w:color w:val="auto"/>
                <w:szCs w:val="24"/>
                <w:vertAlign w:val="superscript"/>
              </w:rPr>
              <w:t>3</w:t>
            </w:r>
            <w:r>
              <w:rPr>
                <w:rFonts w:hint="eastAsia"/>
                <w:color w:val="auto"/>
                <w:szCs w:val="24"/>
              </w:rPr>
              <w:t>）收集沉淀后用于施工场地洒水抑尘和水质要求不高的施工工艺。</w:t>
            </w:r>
          </w:p>
          <w:p w14:paraId="4A0F33E7">
            <w:pPr>
              <w:widowControl/>
              <w:ind w:firstLine="480"/>
              <w:jc w:val="left"/>
              <w:rPr>
                <w:color w:val="auto"/>
                <w:szCs w:val="24"/>
              </w:rPr>
            </w:pPr>
            <w:r>
              <w:rPr>
                <w:rFonts w:hint="eastAsia"/>
                <w:color w:val="auto"/>
                <w:szCs w:val="24"/>
              </w:rPr>
              <w:t>（4）设置雨水收集池，收集雨天降水，用于施工场地洒水抑尘和水质要求不高的施工工艺。</w:t>
            </w:r>
          </w:p>
          <w:p w14:paraId="4B779EC0">
            <w:pPr>
              <w:widowControl/>
              <w:ind w:firstLine="480"/>
              <w:jc w:val="left"/>
              <w:rPr>
                <w:rFonts w:hint="eastAsia"/>
                <w:color w:val="auto"/>
                <w:szCs w:val="24"/>
              </w:rPr>
            </w:pPr>
            <w:r>
              <w:rPr>
                <w:rFonts w:hint="eastAsia"/>
                <w:color w:val="auto"/>
                <w:szCs w:val="24"/>
              </w:rPr>
              <w:t>（5）项目在地基开挖等施工过程中可能会产生一定的基坑涌水，项目拟设置基坑涌水沉淀池对涌水进行处理，处理后回用于施工场地洒水抑尘和水质要求不高的施工工艺。</w:t>
            </w:r>
          </w:p>
          <w:p w14:paraId="63DE515A">
            <w:pPr>
              <w:widowControl/>
              <w:ind w:firstLine="480"/>
              <w:jc w:val="left"/>
              <w:rPr>
                <w:rFonts w:hint="default"/>
                <w:color w:val="auto"/>
                <w:szCs w:val="24"/>
                <w:lang w:val="en-US" w:eastAsia="zh-CN"/>
              </w:rPr>
            </w:pPr>
            <w:r>
              <w:rPr>
                <w:rFonts w:hint="eastAsia"/>
                <w:color w:val="auto"/>
                <w:szCs w:val="24"/>
                <w:lang w:eastAsia="zh-CN"/>
              </w:rPr>
              <w:t>（</w:t>
            </w:r>
            <w:r>
              <w:rPr>
                <w:rFonts w:hint="eastAsia"/>
                <w:color w:val="auto"/>
                <w:szCs w:val="24"/>
                <w:lang w:val="en-US" w:eastAsia="zh-CN"/>
              </w:rPr>
              <w:t>6</w:t>
            </w:r>
            <w:r>
              <w:rPr>
                <w:rFonts w:hint="eastAsia"/>
                <w:color w:val="auto"/>
                <w:szCs w:val="24"/>
                <w:lang w:eastAsia="zh-CN"/>
              </w:rPr>
              <w:t>）</w:t>
            </w:r>
            <w:r>
              <w:rPr>
                <w:rFonts w:hint="eastAsia"/>
                <w:color w:val="auto"/>
                <w:szCs w:val="24"/>
                <w:lang w:val="en-US" w:eastAsia="zh-CN"/>
              </w:rPr>
              <w:t>经核实，江城卫生院在施工期先依托原有污水处理站处理医院医疗废水，原有污水处理站等综合楼建设完成之后再进行拆除。</w:t>
            </w:r>
          </w:p>
          <w:p w14:paraId="497DC400">
            <w:pPr>
              <w:widowControl/>
              <w:ind w:firstLine="480"/>
              <w:jc w:val="left"/>
              <w:rPr>
                <w:rFonts w:hint="eastAsia"/>
                <w:color w:val="auto"/>
                <w:szCs w:val="24"/>
                <w:lang w:val="en-US" w:eastAsia="zh-CN"/>
              </w:rPr>
            </w:pPr>
            <w:r>
              <w:rPr>
                <w:rFonts w:hint="eastAsia"/>
                <w:color w:val="auto"/>
                <w:szCs w:val="24"/>
                <w:lang w:val="en-US" w:eastAsia="zh-CN"/>
              </w:rPr>
              <w:t>江城卫生院在建设过程中需拆除污水处理设施，在拆除后需过渡期建议如下：</w:t>
            </w:r>
          </w:p>
          <w:p w14:paraId="43C2CA8E">
            <w:pPr>
              <w:pStyle w:val="40"/>
              <w:tabs>
                <w:tab w:val="left" w:pos="2040"/>
              </w:tabs>
              <w:spacing w:line="360" w:lineRule="auto"/>
              <w:ind w:firstLine="480"/>
              <w:jc w:val="left"/>
              <w:rPr>
                <w:rFonts w:hint="eastAsia"/>
                <w:color w:val="auto"/>
                <w:szCs w:val="24"/>
              </w:rPr>
            </w:pPr>
            <w:r>
              <w:rPr>
                <w:rFonts w:hint="eastAsia"/>
                <w:color w:val="auto"/>
                <w:kern w:val="0"/>
                <w:szCs w:val="24"/>
                <w:lang w:val="en-US" w:eastAsia="zh-CN"/>
              </w:rPr>
              <w:t>1、项目污水处理厂将在施工期最后拆除，施工期间依托原有污水处理站（50m³），污水经污水处理站接入市政管网达标排放，不再回用绿化。拆除污水处理站后需建设临时污水收集池（不小于60m³），拆除和新建同时进行新建污水处理站在1天内建好，污水处理站施工期间污水全部进入临时污水收集池污水未经处理不得排入市政污水管网；</w:t>
            </w:r>
            <w:r>
              <w:rPr>
                <w:rFonts w:hint="eastAsia"/>
                <w:color w:val="auto"/>
                <w:szCs w:val="24"/>
                <w:lang w:val="en-US" w:eastAsia="zh-CN"/>
              </w:rPr>
              <w:t>2拆除期间禁止</w:t>
            </w:r>
            <w:r>
              <w:rPr>
                <w:rFonts w:hint="eastAsia"/>
                <w:color w:val="auto"/>
                <w:szCs w:val="24"/>
              </w:rPr>
              <w:t>检验科</w:t>
            </w:r>
            <w:r>
              <w:rPr>
                <w:rFonts w:hint="eastAsia"/>
                <w:color w:val="auto"/>
                <w:szCs w:val="24"/>
                <w:lang w:eastAsia="zh-CN"/>
              </w:rPr>
              <w:t>化验废水排放；</w:t>
            </w:r>
            <w:r>
              <w:rPr>
                <w:rFonts w:hint="eastAsia"/>
                <w:color w:val="auto"/>
                <w:szCs w:val="24"/>
                <w:lang w:val="en-US" w:eastAsia="zh-CN"/>
              </w:rPr>
              <w:t>3</w:t>
            </w:r>
            <w:r>
              <w:rPr>
                <w:rFonts w:hint="eastAsia"/>
                <w:color w:val="auto"/>
                <w:szCs w:val="24"/>
                <w:lang w:eastAsia="zh-CN"/>
              </w:rPr>
              <w:t>在建设期间做好排放口监测，保证污水达标排放</w:t>
            </w:r>
            <w:r>
              <w:rPr>
                <w:rFonts w:hint="eastAsia"/>
                <w:color w:val="auto"/>
                <w:szCs w:val="24"/>
                <w:lang w:val="en-US" w:eastAsia="zh-CN"/>
              </w:rPr>
              <w:t>入市政管网</w:t>
            </w:r>
            <w:r>
              <w:rPr>
                <w:rFonts w:hint="eastAsia"/>
                <w:color w:val="auto"/>
                <w:szCs w:val="24"/>
                <w:lang w:eastAsia="zh-CN"/>
              </w:rPr>
              <w:t>。</w:t>
            </w:r>
          </w:p>
          <w:p w14:paraId="0C0219D8">
            <w:pPr>
              <w:widowControl/>
              <w:ind w:firstLine="480"/>
              <w:jc w:val="left"/>
              <w:rPr>
                <w:color w:val="auto"/>
                <w:szCs w:val="24"/>
              </w:rPr>
            </w:pPr>
            <w:r>
              <w:rPr>
                <w:color w:val="auto"/>
                <w:szCs w:val="24"/>
              </w:rPr>
              <w:t>3、声环境</w:t>
            </w:r>
          </w:p>
          <w:p w14:paraId="2A3DA2C1">
            <w:pPr>
              <w:widowControl/>
              <w:ind w:firstLine="480"/>
              <w:jc w:val="left"/>
              <w:rPr>
                <w:color w:val="auto"/>
                <w:szCs w:val="24"/>
              </w:rPr>
            </w:pPr>
            <w:r>
              <w:rPr>
                <w:rFonts w:hint="eastAsia"/>
                <w:color w:val="auto"/>
                <w:szCs w:val="24"/>
              </w:rPr>
              <w:t>项目施工期噪声主要来自于运输车辆和各种施工机械，建设单位拟采取以下噪声污染防治措施：</w:t>
            </w:r>
          </w:p>
          <w:p w14:paraId="40EB7BE2">
            <w:pPr>
              <w:widowControl/>
              <w:ind w:firstLine="480"/>
              <w:jc w:val="left"/>
              <w:rPr>
                <w:color w:val="auto"/>
                <w:szCs w:val="24"/>
              </w:rPr>
            </w:pPr>
            <w:r>
              <w:rPr>
                <w:rFonts w:hint="eastAsia"/>
                <w:color w:val="auto"/>
                <w:szCs w:val="24"/>
              </w:rPr>
              <w:t>（1）选用低噪声设备，并安装减震设施，避免多个高噪声设备同时施工，对一些固定的、噪声强度较大的施工设备如电锯、切割机等可固定设备应尽量设置在设备专用房或操作间内，避免露天作业。</w:t>
            </w:r>
          </w:p>
          <w:p w14:paraId="3FA6F0EF">
            <w:pPr>
              <w:widowControl/>
              <w:ind w:firstLine="480"/>
              <w:jc w:val="left"/>
              <w:rPr>
                <w:color w:val="auto"/>
                <w:szCs w:val="24"/>
              </w:rPr>
            </w:pPr>
            <w:r>
              <w:rPr>
                <w:rFonts w:hint="eastAsia"/>
                <w:color w:val="auto"/>
                <w:szCs w:val="24"/>
              </w:rPr>
              <w:t>（2）合理安排高噪声设备施工时间，禁止在中午（12:00～14:30）和夜间（22:00～次日6:00）施工，如需连续作业时，应在周边地区张贴安民告示，并征得有关主管部门同意后，方可施工。</w:t>
            </w:r>
          </w:p>
          <w:p w14:paraId="3732A77F">
            <w:pPr>
              <w:widowControl/>
              <w:ind w:firstLine="480"/>
              <w:jc w:val="left"/>
              <w:rPr>
                <w:color w:val="auto"/>
                <w:szCs w:val="24"/>
              </w:rPr>
            </w:pPr>
            <w:r>
              <w:rPr>
                <w:rFonts w:hint="eastAsia"/>
                <w:color w:val="auto"/>
                <w:szCs w:val="24"/>
              </w:rPr>
              <w:t>（3）施工运输路线的选择应注意对敏感目标的避让，运输车辆需控制车速，并禁止鸣笛，以降低施工噪声对周围环境的影响。</w:t>
            </w:r>
          </w:p>
          <w:p w14:paraId="37B1B380">
            <w:pPr>
              <w:widowControl/>
              <w:ind w:firstLine="480"/>
              <w:jc w:val="left"/>
              <w:rPr>
                <w:color w:val="auto"/>
                <w:szCs w:val="24"/>
              </w:rPr>
            </w:pPr>
            <w:r>
              <w:rPr>
                <w:rFonts w:hint="eastAsia"/>
                <w:color w:val="auto"/>
                <w:szCs w:val="24"/>
              </w:rPr>
              <w:t>（4）加强管理，降低人为噪声影响：按操作规范操作机械设备等过程中减少碰撞噪声，并对工人进行环保方面的教育，做到文明作业，减少作业噪声。</w:t>
            </w:r>
          </w:p>
          <w:p w14:paraId="46BA16C7">
            <w:pPr>
              <w:widowControl/>
              <w:ind w:firstLine="480"/>
              <w:jc w:val="left"/>
              <w:rPr>
                <w:color w:val="auto"/>
                <w:szCs w:val="24"/>
              </w:rPr>
            </w:pPr>
            <w:r>
              <w:rPr>
                <w:rFonts w:hint="eastAsia"/>
                <w:color w:val="auto"/>
                <w:szCs w:val="24"/>
              </w:rPr>
              <w:t>施工期间噪声多产生于昼间，为短期、无规律性的行为，施工期结束后，相应的噪声污染即随之消失，不会对周围环境产生长期不良影响。</w:t>
            </w:r>
          </w:p>
          <w:p w14:paraId="58CD0CB6">
            <w:pPr>
              <w:widowControl/>
              <w:ind w:firstLine="480"/>
              <w:jc w:val="left"/>
              <w:rPr>
                <w:color w:val="auto"/>
                <w:szCs w:val="24"/>
              </w:rPr>
            </w:pPr>
            <w:r>
              <w:rPr>
                <w:color w:val="auto"/>
                <w:szCs w:val="24"/>
              </w:rPr>
              <w:t>4、固体废物</w:t>
            </w:r>
          </w:p>
          <w:p w14:paraId="353EDCFF">
            <w:pPr>
              <w:widowControl/>
              <w:ind w:firstLine="480"/>
              <w:jc w:val="left"/>
              <w:rPr>
                <w:color w:val="auto"/>
                <w:szCs w:val="24"/>
              </w:rPr>
            </w:pPr>
            <w:r>
              <w:rPr>
                <w:rFonts w:hint="eastAsia"/>
                <w:color w:val="auto"/>
                <w:szCs w:val="24"/>
              </w:rPr>
              <w:t>项目施工期固体废物主要为施工期开挖土石方、建筑垃圾和施工人员生活垃圾。针对施工期产生的固体废物，项目在施工期拟采取如下控制措施：</w:t>
            </w:r>
          </w:p>
          <w:p w14:paraId="7497E074">
            <w:pPr>
              <w:widowControl/>
              <w:ind w:firstLine="480"/>
              <w:jc w:val="left"/>
              <w:rPr>
                <w:color w:val="auto"/>
                <w:szCs w:val="24"/>
              </w:rPr>
            </w:pPr>
            <w:r>
              <w:rPr>
                <w:rFonts w:hint="eastAsia"/>
                <w:color w:val="auto"/>
                <w:szCs w:val="24"/>
              </w:rPr>
              <w:t>（1）项目对于不能平衡部分</w:t>
            </w:r>
            <w:r>
              <w:rPr>
                <w:rFonts w:hint="eastAsia"/>
                <w:color w:val="auto"/>
                <w:szCs w:val="24"/>
                <w:lang w:val="en-US" w:eastAsia="zh-CN"/>
              </w:rPr>
              <w:t>的土石方</w:t>
            </w:r>
            <w:r>
              <w:rPr>
                <w:rFonts w:hint="eastAsia"/>
                <w:color w:val="auto"/>
                <w:szCs w:val="24"/>
              </w:rPr>
              <w:t>交由有资质的渣土清运公司外运至政府指定的堆土场规范堆放，并按市政相关管理部门要求进行处理处置。</w:t>
            </w:r>
          </w:p>
          <w:p w14:paraId="5E7DEC11">
            <w:pPr>
              <w:widowControl/>
              <w:ind w:firstLine="480"/>
              <w:jc w:val="left"/>
              <w:rPr>
                <w:color w:val="auto"/>
                <w:szCs w:val="24"/>
              </w:rPr>
            </w:pPr>
            <w:r>
              <w:rPr>
                <w:rFonts w:hint="eastAsia"/>
                <w:color w:val="auto"/>
                <w:szCs w:val="24"/>
              </w:rPr>
              <w:t>（2）建筑垃圾进行集中收集、回收利用，不可利用的建筑垃圾拟委托有资质的单位运至相关主管部门指定的建筑垃圾处置场规范处置。</w:t>
            </w:r>
          </w:p>
          <w:p w14:paraId="23E47290">
            <w:pPr>
              <w:widowControl/>
              <w:ind w:firstLine="480"/>
              <w:jc w:val="left"/>
              <w:rPr>
                <w:color w:val="auto"/>
                <w:szCs w:val="24"/>
              </w:rPr>
            </w:pPr>
            <w:r>
              <w:rPr>
                <w:rFonts w:hint="eastAsia"/>
                <w:color w:val="auto"/>
                <w:szCs w:val="24"/>
              </w:rPr>
              <w:t>（3）在施工场地设垃圾收集点，并交由当地环卫部门处理，运送途中应避免洒落。在施工期间应对收集点进行维护管理，防止四处散落，并应定期消毒，减少蚊虫和病菌的滋生。</w:t>
            </w:r>
          </w:p>
          <w:p w14:paraId="2DABE855">
            <w:pPr>
              <w:widowControl/>
              <w:ind w:firstLine="480"/>
              <w:jc w:val="left"/>
              <w:rPr>
                <w:color w:val="auto"/>
              </w:rPr>
            </w:pPr>
            <w:r>
              <w:rPr>
                <w:color w:val="auto"/>
                <w:szCs w:val="24"/>
              </w:rPr>
              <w:t>项目施工期产生的固体均能得到妥善的处置，处置率100%，对周围环境影响较小。</w:t>
            </w:r>
          </w:p>
        </w:tc>
      </w:tr>
      <w:tr w14:paraId="63CF88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31" w:hRule="atLeast"/>
        </w:trPr>
        <w:tc>
          <w:tcPr>
            <w:tcW w:w="959" w:type="dxa"/>
            <w:vAlign w:val="center"/>
          </w:tcPr>
          <w:p w14:paraId="71C85F01">
            <w:pPr>
              <w:ind w:firstLine="0" w:firstLineChars="0"/>
              <w:jc w:val="center"/>
              <w:rPr>
                <w:color w:val="auto"/>
              </w:rPr>
            </w:pPr>
            <w:r>
              <w:rPr>
                <w:color w:val="auto"/>
              </w:rPr>
              <w:t>运营期环境影响和保护措施</w:t>
            </w:r>
          </w:p>
        </w:tc>
        <w:tc>
          <w:tcPr>
            <w:tcW w:w="7563" w:type="dxa"/>
            <w:vAlign w:val="center"/>
          </w:tcPr>
          <w:p w14:paraId="610C0235">
            <w:pPr>
              <w:widowControl/>
              <w:ind w:firstLine="480"/>
              <w:jc w:val="left"/>
              <w:rPr>
                <w:color w:val="auto"/>
              </w:rPr>
            </w:pPr>
            <w:r>
              <w:rPr>
                <w:color w:val="auto"/>
                <w:kern w:val="0"/>
                <w:szCs w:val="24"/>
                <w:lang w:bidi="ar"/>
              </w:rPr>
              <w:t>本项目运营期产生的污染物主要为废气、废水、噪声和固废。</w:t>
            </w:r>
          </w:p>
          <w:p w14:paraId="4758AB9B">
            <w:pPr>
              <w:widowControl/>
              <w:numPr>
                <w:ilvl w:val="0"/>
                <w:numId w:val="8"/>
              </w:numPr>
              <w:ind w:firstLine="482"/>
              <w:jc w:val="left"/>
              <w:rPr>
                <w:b/>
                <w:bCs/>
                <w:color w:val="auto"/>
              </w:rPr>
            </w:pPr>
            <w:r>
              <w:rPr>
                <w:b/>
                <w:bCs/>
                <w:color w:val="auto"/>
              </w:rPr>
              <w:t>废气</w:t>
            </w:r>
          </w:p>
          <w:p w14:paraId="3848AFAA">
            <w:pPr>
              <w:widowControl/>
              <w:numPr>
                <w:ilvl w:val="0"/>
                <w:numId w:val="0"/>
              </w:numPr>
              <w:ind w:leftChars="200"/>
              <w:jc w:val="left"/>
              <w:rPr>
                <w:rFonts w:hint="eastAsia"/>
                <w:b/>
                <w:bCs/>
                <w:color w:val="auto"/>
                <w:lang w:val="en-US" w:eastAsia="zh-CN"/>
              </w:rPr>
            </w:pPr>
            <w:r>
              <w:rPr>
                <w:rFonts w:hint="eastAsia"/>
                <w:b/>
                <w:bCs/>
                <w:color w:val="auto"/>
                <w:lang w:val="en-US" w:eastAsia="zh-CN"/>
              </w:rPr>
              <w:t>江川区医共体总院：</w:t>
            </w:r>
          </w:p>
          <w:p w14:paraId="2C7348EA">
            <w:pPr>
              <w:tabs>
                <w:tab w:val="left" w:pos="2040"/>
              </w:tabs>
              <w:ind w:firstLine="470" w:firstLineChars="196"/>
              <w:rPr>
                <w:rFonts w:hint="eastAsia"/>
                <w:color w:val="auto"/>
                <w:kern w:val="0"/>
                <w:lang w:val="en-US" w:eastAsia="zh-CN"/>
              </w:rPr>
            </w:pPr>
            <w:r>
              <w:rPr>
                <w:rFonts w:hint="eastAsia"/>
                <w:color w:val="auto"/>
                <w:kern w:val="0"/>
                <w:lang w:val="en-US" w:eastAsia="zh-CN"/>
              </w:rPr>
              <w:t>本次扩建改造项目江川区医共体总院产生的废气主要为新建消毒中心产生的甲醛挥发废气。</w:t>
            </w:r>
          </w:p>
          <w:p w14:paraId="7F78D603">
            <w:pPr>
              <w:numPr>
                <w:ilvl w:val="0"/>
                <w:numId w:val="9"/>
              </w:numPr>
              <w:tabs>
                <w:tab w:val="left" w:pos="2040"/>
              </w:tabs>
              <w:ind w:firstLine="470" w:firstLineChars="196"/>
              <w:rPr>
                <w:rFonts w:hint="eastAsia"/>
                <w:color w:val="auto"/>
                <w:kern w:val="0"/>
                <w:lang w:val="en-US" w:eastAsia="zh-CN"/>
              </w:rPr>
            </w:pPr>
            <w:r>
              <w:rPr>
                <w:rFonts w:hint="eastAsia"/>
                <w:color w:val="auto"/>
                <w:kern w:val="0"/>
                <w:lang w:val="en-US" w:eastAsia="zh-CN"/>
              </w:rPr>
              <w:t>甲醛残气</w:t>
            </w:r>
          </w:p>
          <w:p w14:paraId="613CEC9A">
            <w:pPr>
              <w:tabs>
                <w:tab w:val="left" w:pos="2040"/>
              </w:tabs>
              <w:ind w:firstLine="470" w:firstLineChars="196"/>
              <w:rPr>
                <w:rFonts w:hint="eastAsia"/>
                <w:color w:val="auto"/>
                <w:kern w:val="0"/>
                <w:lang w:val="en-US" w:eastAsia="zh-CN"/>
              </w:rPr>
            </w:pPr>
            <w:r>
              <w:rPr>
                <w:rFonts w:hint="eastAsia"/>
                <w:color w:val="auto"/>
                <w:kern w:val="0"/>
                <w:lang w:val="en-US" w:eastAsia="zh-CN"/>
              </w:rPr>
              <w:t>甲醛灭菌剂参数：采用2%质量浓度甲醛溶液，溶液密度参考《化学品安全技术说明书》取1.08kg/L，年消耗量50L（项目实际用量）；</w:t>
            </w:r>
          </w:p>
          <w:p w14:paraId="4A334115">
            <w:pPr>
              <w:tabs>
                <w:tab w:val="left" w:pos="2040"/>
              </w:tabs>
              <w:ind w:firstLine="470" w:firstLineChars="196"/>
              <w:rPr>
                <w:rFonts w:hint="eastAsia"/>
                <w:color w:val="auto"/>
                <w:kern w:val="0"/>
                <w:lang w:val="en-US" w:eastAsia="zh-CN"/>
              </w:rPr>
            </w:pPr>
            <w:r>
              <w:rPr>
                <w:rFonts w:hint="eastAsia"/>
                <w:color w:val="auto"/>
                <w:kern w:val="0"/>
                <w:lang w:val="en-US" w:eastAsia="zh-CN"/>
              </w:rPr>
              <w:t>灭菌器参数：选用医疗常规小型低温甲醛灭菌器，容积按厂家常见规格取0.1m³（无厂家参数时，取值范围0.08-0.15m³，需备注），设备密封性符合行业标准，灭菌后残留甲醛经内置处理，仅开门/关门阶段少量释放；</w:t>
            </w:r>
          </w:p>
          <w:p w14:paraId="59F530D8">
            <w:pPr>
              <w:tabs>
                <w:tab w:val="left" w:pos="2040"/>
              </w:tabs>
              <w:ind w:firstLine="470" w:firstLineChars="196"/>
              <w:rPr>
                <w:rFonts w:hint="eastAsia"/>
                <w:color w:val="auto"/>
                <w:kern w:val="0"/>
                <w:lang w:val="en-US" w:eastAsia="zh-CN"/>
              </w:rPr>
            </w:pPr>
            <w:r>
              <w:rPr>
                <w:rFonts w:hint="eastAsia"/>
                <w:color w:val="auto"/>
                <w:kern w:val="0"/>
                <w:lang w:val="en-US" w:eastAsia="zh-CN"/>
              </w:rPr>
              <w:t>运行频次：结合医疗消毒中心业务量，按每日3次、年运营365天计，年灭菌次数1095次（可替换项目实际日运行次数）；</w:t>
            </w:r>
          </w:p>
          <w:p w14:paraId="372D0BDC">
            <w:pPr>
              <w:tabs>
                <w:tab w:val="left" w:pos="2040"/>
              </w:tabs>
              <w:ind w:firstLine="470" w:firstLineChars="196"/>
              <w:rPr>
                <w:rFonts w:hint="eastAsia"/>
                <w:color w:val="auto"/>
                <w:kern w:val="0"/>
                <w:lang w:val="en-US" w:eastAsia="zh-CN"/>
              </w:rPr>
            </w:pPr>
            <w:r>
              <w:rPr>
                <w:rFonts w:hint="eastAsia"/>
                <w:color w:val="auto"/>
                <w:kern w:val="0"/>
                <w:lang w:val="en-US" w:eastAsia="zh-CN"/>
              </w:rPr>
              <w:t>释放比例：参考同类环评案例及灭菌器行业经验，开门/关门单次甲醛释放量按年耗纯甲醛总量的10%计（保守取值，覆盖设备密封轻微泄漏场景）；</w:t>
            </w:r>
          </w:p>
          <w:p w14:paraId="61D9428A">
            <w:pPr>
              <w:tabs>
                <w:tab w:val="left" w:pos="2040"/>
              </w:tabs>
              <w:ind w:firstLine="470" w:firstLineChars="196"/>
              <w:rPr>
                <w:rFonts w:hint="eastAsia"/>
                <w:color w:val="auto"/>
                <w:kern w:val="0"/>
                <w:lang w:val="en-US" w:eastAsia="zh-CN"/>
              </w:rPr>
            </w:pPr>
            <w:r>
              <w:rPr>
                <w:rFonts w:hint="eastAsia"/>
                <w:color w:val="auto"/>
                <w:kern w:val="0"/>
                <w:lang w:val="en-US" w:eastAsia="zh-CN"/>
              </w:rPr>
              <w:t>释放空间：灭菌间实际面积20㎡、层高3m，计算容积V=面积×层高=60m³；</w:t>
            </w:r>
          </w:p>
          <w:p w14:paraId="7BBDFD95">
            <w:pPr>
              <w:tabs>
                <w:tab w:val="left" w:pos="2040"/>
              </w:tabs>
              <w:ind w:firstLine="470" w:firstLineChars="196"/>
              <w:rPr>
                <w:rFonts w:hint="eastAsia"/>
                <w:color w:val="auto"/>
                <w:kern w:val="0"/>
                <w:lang w:val="en-US" w:eastAsia="zh-CN"/>
              </w:rPr>
            </w:pPr>
            <w:r>
              <w:rPr>
                <w:rFonts w:hint="eastAsia"/>
                <w:color w:val="auto"/>
                <w:kern w:val="0"/>
                <w:lang w:val="en-US" w:eastAsia="zh-CN"/>
              </w:rPr>
              <w:t>通风条件：灭菌间设机械通风+局部排风，机械通风换气次数8次/h，局部排风风量500m³/h，每日同步运行8h；</w:t>
            </w:r>
          </w:p>
          <w:p w14:paraId="6F518734">
            <w:pPr>
              <w:tabs>
                <w:tab w:val="left" w:pos="2040"/>
              </w:tabs>
              <w:ind w:firstLine="470" w:firstLineChars="196"/>
              <w:rPr>
                <w:rFonts w:hint="eastAsia"/>
                <w:color w:val="auto"/>
                <w:kern w:val="0"/>
                <w:lang w:val="en-US" w:eastAsia="zh-CN"/>
              </w:rPr>
            </w:pPr>
            <w:r>
              <w:rPr>
                <w:rFonts w:hint="eastAsia"/>
                <w:color w:val="auto"/>
                <w:kern w:val="0"/>
                <w:lang w:val="en-US" w:eastAsia="zh-CN"/>
              </w:rPr>
              <w:t>参考标准：GBZ2.1-2019《工作场所有害因素职业接触限值第1部分：化学有害因素》，甲醛时间加权平均容许浓度（PC-TWA）0.5mg/m³，短时间接触容许浓度（PC-STEL）1.0mg/m³。</w:t>
            </w:r>
          </w:p>
          <w:p w14:paraId="5004DD68">
            <w:pPr>
              <w:tabs>
                <w:tab w:val="left" w:pos="2040"/>
              </w:tabs>
              <w:ind w:firstLine="470" w:firstLineChars="196"/>
              <w:rPr>
                <w:rFonts w:hint="default"/>
                <w:color w:val="auto"/>
                <w:kern w:val="0"/>
                <w:lang w:val="en-US" w:eastAsia="zh-CN"/>
              </w:rPr>
            </w:pPr>
            <w:r>
              <w:rPr>
                <w:rFonts w:hint="default"/>
                <w:color w:val="auto"/>
                <w:kern w:val="0"/>
                <w:lang w:val="en-US" w:eastAsia="zh-CN"/>
              </w:rPr>
              <w:t> 纯甲醛年消耗量</w:t>
            </w:r>
            <w:r>
              <w:rPr>
                <w:rFonts w:hint="eastAsia"/>
                <w:color w:val="auto"/>
                <w:kern w:val="0"/>
                <w:lang w:val="en-US" w:eastAsia="zh-CN"/>
              </w:rPr>
              <w:t>：</w:t>
            </w:r>
          </w:p>
          <w:p w14:paraId="632B7940">
            <w:pPr>
              <w:tabs>
                <w:tab w:val="left" w:pos="2040"/>
              </w:tabs>
              <w:ind w:firstLine="470" w:firstLineChars="196"/>
              <w:rPr>
                <w:rFonts w:hint="default"/>
                <w:color w:val="auto"/>
                <w:kern w:val="0"/>
                <w:lang w:val="en-US" w:eastAsia="zh-CN"/>
              </w:rPr>
            </w:pPr>
            <w:r>
              <w:rPr>
                <w:rFonts w:hint="default"/>
                <w:color w:val="auto"/>
                <w:kern w:val="0"/>
                <w:lang w:val="en-US" w:eastAsia="zh-CN"/>
              </w:rPr>
              <w:t>M纯=50L×1.08kg/L×2%=1.08kg/年=1080000mg/年</w:t>
            </w:r>
          </w:p>
          <w:p w14:paraId="247EF088">
            <w:pPr>
              <w:tabs>
                <w:tab w:val="left" w:pos="2040"/>
              </w:tabs>
              <w:ind w:firstLine="470" w:firstLineChars="196"/>
              <w:rPr>
                <w:rFonts w:hint="default"/>
                <w:color w:val="auto"/>
                <w:kern w:val="0"/>
                <w:lang w:val="en-US" w:eastAsia="zh-CN"/>
              </w:rPr>
            </w:pPr>
            <w:r>
              <w:rPr>
                <w:rFonts w:hint="default"/>
                <w:color w:val="auto"/>
                <w:kern w:val="0"/>
                <w:lang w:val="en-US" w:eastAsia="zh-CN"/>
              </w:rPr>
              <w:t>年总释放甲醛量</w:t>
            </w:r>
            <w:r>
              <w:rPr>
                <w:rFonts w:hint="eastAsia"/>
                <w:color w:val="auto"/>
                <w:kern w:val="0"/>
                <w:lang w:val="en-US" w:eastAsia="zh-CN"/>
              </w:rPr>
              <w:t>：</w:t>
            </w:r>
          </w:p>
          <w:p w14:paraId="7ECDDFD6">
            <w:pPr>
              <w:tabs>
                <w:tab w:val="left" w:pos="2040"/>
              </w:tabs>
              <w:ind w:firstLine="470" w:firstLineChars="196"/>
              <w:rPr>
                <w:rFonts w:hint="default"/>
                <w:color w:val="auto"/>
                <w:kern w:val="0"/>
                <w:lang w:val="en-US" w:eastAsia="zh-CN"/>
              </w:rPr>
            </w:pPr>
            <w:r>
              <w:rPr>
                <w:rFonts w:hint="default"/>
                <w:color w:val="auto"/>
                <w:kern w:val="0"/>
                <w:lang w:val="en-US" w:eastAsia="zh-CN"/>
              </w:rPr>
              <w:t>M总放=1080000mg/年×10%=108000mg/年</w:t>
            </w:r>
          </w:p>
          <w:p w14:paraId="30B32557">
            <w:pPr>
              <w:tabs>
                <w:tab w:val="left" w:pos="2040"/>
              </w:tabs>
              <w:ind w:firstLine="470" w:firstLineChars="196"/>
              <w:rPr>
                <w:rFonts w:hint="default"/>
                <w:color w:val="auto"/>
                <w:kern w:val="0"/>
                <w:lang w:val="en-US" w:eastAsia="zh-CN"/>
              </w:rPr>
            </w:pPr>
            <w:r>
              <w:rPr>
                <w:rFonts w:hint="default"/>
                <w:color w:val="auto"/>
                <w:kern w:val="0"/>
                <w:lang w:val="en-US" w:eastAsia="zh-CN"/>
              </w:rPr>
              <w:t>单次开门/关门甲醛释放量</w:t>
            </w:r>
          </w:p>
          <w:p w14:paraId="022FAD9B">
            <w:pPr>
              <w:tabs>
                <w:tab w:val="left" w:pos="2040"/>
              </w:tabs>
              <w:ind w:firstLine="470" w:firstLineChars="196"/>
              <w:rPr>
                <w:rFonts w:hint="default"/>
                <w:color w:val="auto"/>
                <w:kern w:val="0"/>
                <w:lang w:val="en-US" w:eastAsia="zh-CN"/>
              </w:rPr>
            </w:pPr>
            <w:r>
              <w:rPr>
                <w:rFonts w:hint="default"/>
                <w:color w:val="auto"/>
                <w:kern w:val="0"/>
                <w:lang w:val="en-US" w:eastAsia="zh-CN"/>
              </w:rPr>
              <w:t>M单放=108000mg/年÷1095次≈98.6mg/次</w:t>
            </w:r>
          </w:p>
          <w:p w14:paraId="64070414">
            <w:pPr>
              <w:tabs>
                <w:tab w:val="left" w:pos="2040"/>
              </w:tabs>
              <w:ind w:firstLine="470" w:firstLineChars="196"/>
              <w:rPr>
                <w:rFonts w:hint="default"/>
                <w:color w:val="auto"/>
                <w:kern w:val="0"/>
                <w:lang w:val="en-US" w:eastAsia="zh-CN"/>
              </w:rPr>
            </w:pPr>
            <w:r>
              <w:rPr>
                <w:rFonts w:hint="eastAsia"/>
                <w:color w:val="auto"/>
                <w:kern w:val="0"/>
                <w:lang w:val="en-US" w:eastAsia="zh-CN"/>
              </w:rPr>
              <w:t>按每日3次、年运营365天计，年灭菌次数1095次，本项目甲醛废气排放量为0.296g/d,0.108kg/a。</w:t>
            </w:r>
          </w:p>
          <w:p w14:paraId="7F6A25C0">
            <w:pPr>
              <w:tabs>
                <w:tab w:val="left" w:pos="2040"/>
              </w:tabs>
              <w:ind w:firstLine="470" w:firstLineChars="196"/>
              <w:rPr>
                <w:rFonts w:hint="default"/>
                <w:color w:val="auto"/>
                <w:kern w:val="0"/>
                <w:lang w:val="en-US" w:eastAsia="zh-CN"/>
              </w:rPr>
            </w:pPr>
            <w:r>
              <w:rPr>
                <w:rFonts w:hint="default"/>
                <w:color w:val="auto"/>
                <w:kern w:val="0"/>
                <w:lang w:val="en-US" w:eastAsia="zh-CN"/>
              </w:rPr>
              <w:t>灭菌间无通风甲醛瞬时峰值浓度</w:t>
            </w:r>
          </w:p>
          <w:p w14:paraId="3248736E">
            <w:pPr>
              <w:tabs>
                <w:tab w:val="left" w:pos="2040"/>
              </w:tabs>
              <w:ind w:firstLine="470" w:firstLineChars="196"/>
              <w:rPr>
                <w:rFonts w:hint="default"/>
                <w:color w:val="auto"/>
                <w:kern w:val="0"/>
                <w:lang w:val="en-US" w:eastAsia="zh-CN"/>
              </w:rPr>
            </w:pPr>
            <w:r>
              <w:rPr>
                <w:rFonts w:hint="default"/>
                <w:color w:val="auto"/>
                <w:kern w:val="0"/>
                <w:lang w:val="en-US" w:eastAsia="zh-CN"/>
              </w:rPr>
              <w:t>以灭菌间容积60m³为例，C峰=98.6mg÷60m³≈1.64mg/m³</w:t>
            </w:r>
          </w:p>
          <w:p w14:paraId="41A5A02C">
            <w:pPr>
              <w:tabs>
                <w:tab w:val="left" w:pos="2040"/>
              </w:tabs>
              <w:ind w:firstLine="470" w:firstLineChars="196"/>
              <w:rPr>
                <w:rFonts w:hint="default"/>
                <w:color w:val="auto"/>
                <w:kern w:val="0"/>
                <w:lang w:val="en-US" w:eastAsia="zh-CN"/>
              </w:rPr>
            </w:pPr>
            <w:r>
              <w:rPr>
                <w:rFonts w:hint="default"/>
                <w:color w:val="auto"/>
                <w:kern w:val="0"/>
                <w:lang w:val="en-US" w:eastAsia="zh-CN"/>
              </w:rPr>
              <w:t>通风条件下甲醛平均浓度</w:t>
            </w:r>
          </w:p>
          <w:p w14:paraId="621A29B8">
            <w:pPr>
              <w:tabs>
                <w:tab w:val="left" w:pos="2040"/>
              </w:tabs>
              <w:ind w:firstLine="470" w:firstLineChars="196"/>
              <w:rPr>
                <w:rFonts w:hint="default"/>
                <w:color w:val="auto"/>
                <w:kern w:val="0"/>
                <w:lang w:val="en-US" w:eastAsia="zh-CN"/>
              </w:rPr>
            </w:pPr>
            <w:r>
              <w:rPr>
                <w:rFonts w:hint="default"/>
                <w:color w:val="auto"/>
                <w:kern w:val="0"/>
                <w:lang w:val="en-US" w:eastAsia="zh-CN"/>
              </w:rPr>
              <w:t>以通风换气次数8次/h、衰减1h计，C平=1.64mg/m³÷（8次/h×1h）≈0.21mg/m³</w:t>
            </w:r>
          </w:p>
          <w:p w14:paraId="780587CE">
            <w:pPr>
              <w:pStyle w:val="57"/>
              <w:spacing w:before="1" w:line="377" w:lineRule="auto"/>
              <w:ind w:left="115" w:right="108" w:firstLine="419"/>
              <w:rPr>
                <w:color w:val="auto"/>
                <w:spacing w:val="-2"/>
              </w:rPr>
            </w:pPr>
            <w:r>
              <w:rPr>
                <w:color w:val="auto"/>
              </w:rPr>
              <w:t>该部分</w:t>
            </w:r>
            <w:r>
              <w:rPr>
                <w:rFonts w:hint="eastAsia"/>
                <w:color w:val="auto"/>
                <w:lang w:val="en-US" w:eastAsia="zh-CN"/>
              </w:rPr>
              <w:t>甲醛</w:t>
            </w:r>
            <w:r>
              <w:rPr>
                <w:color w:val="auto"/>
                <w:spacing w:val="-1"/>
              </w:rPr>
              <w:t>废气以无组织形式排放，</w:t>
            </w:r>
            <w:r>
              <w:rPr>
                <w:color w:val="auto"/>
                <w:spacing w:val="10"/>
              </w:rPr>
              <w:t>综上所述，本项目的废气排放量较小，对周边的大气环境影响轻微，故本项</w:t>
            </w:r>
            <w:r>
              <w:rPr>
                <w:color w:val="auto"/>
                <w:spacing w:val="9"/>
              </w:rPr>
              <w:t>目大气污</w:t>
            </w:r>
            <w:r>
              <w:rPr>
                <w:color w:val="auto"/>
                <w:spacing w:val="7"/>
              </w:rPr>
              <w:t>染物的环境影响可接受。</w:t>
            </w:r>
          </w:p>
          <w:p w14:paraId="758CA6EE">
            <w:pPr>
              <w:widowControl/>
              <w:ind w:firstLine="482"/>
              <w:jc w:val="left"/>
              <w:rPr>
                <w:rFonts w:hint="eastAsia" w:eastAsia="宋体"/>
                <w:color w:val="auto"/>
                <w:lang w:val="en-US" w:eastAsia="zh-CN"/>
              </w:rPr>
            </w:pPr>
            <w:r>
              <w:rPr>
                <w:b/>
                <w:bCs/>
                <w:color w:val="auto"/>
                <w:kern w:val="0"/>
                <w:szCs w:val="24"/>
                <w:lang w:bidi="ar"/>
              </w:rPr>
              <w:t>废气监测要求</w:t>
            </w:r>
            <w:r>
              <w:rPr>
                <w:rFonts w:hint="eastAsia"/>
                <w:b/>
                <w:bCs/>
                <w:color w:val="auto"/>
                <w:kern w:val="0"/>
                <w:szCs w:val="24"/>
                <w:lang w:val="en-US" w:eastAsia="zh-CN" w:bidi="ar"/>
              </w:rPr>
              <w:t>:</w:t>
            </w:r>
          </w:p>
          <w:p w14:paraId="3DDD48A5">
            <w:pPr>
              <w:pStyle w:val="57"/>
              <w:spacing w:before="1" w:line="359" w:lineRule="auto"/>
              <w:ind w:left="4" w:right="4" w:firstLine="480"/>
              <w:jc w:val="both"/>
              <w:rPr>
                <w:color w:val="auto"/>
                <w:spacing w:val="-2"/>
              </w:rPr>
            </w:pPr>
            <w:r>
              <w:rPr>
                <w:color w:val="auto"/>
                <w:spacing w:val="-2"/>
              </w:rPr>
              <w:t>根据《排污单位自行监测技术指南总则》（HJ819-2017）、根据《排污单位自行监测技术指南总则》（HJ819-2017）、《排污许可证申请与核发技术规范医疗机构》（HJ1105-2020），建设单位定期委托有资质的检（监）测机构代其开展自行监测，根据监测结果编写自行监测年度报告并上报当地环境保护主管部门。按照相关环保规定要求，需根据废气污染物无组织排放情况在厂界设置采样点。</w:t>
            </w:r>
          </w:p>
          <w:p w14:paraId="59A595E3">
            <w:pPr>
              <w:pStyle w:val="38"/>
              <w:ind w:firstLine="514"/>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5</w:t>
            </w:r>
            <w:r>
              <w:rPr>
                <w:rFonts w:ascii="Times New Roman" w:hAnsi="Times New Roman" w:eastAsia="宋体"/>
                <w:b/>
                <w:bCs/>
                <w:color w:val="auto"/>
              </w:rPr>
              <w:t>废气污染源监测计划</w:t>
            </w:r>
          </w:p>
          <w:tbl>
            <w:tblPr>
              <w:tblStyle w:val="56"/>
              <w:tblW w:w="4998"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298"/>
              <w:gridCol w:w="296"/>
              <w:gridCol w:w="641"/>
              <w:gridCol w:w="894"/>
              <w:gridCol w:w="950"/>
              <w:gridCol w:w="4255"/>
            </w:tblGrid>
            <w:tr w14:paraId="2376EFB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203" w:type="pct"/>
                  <w:textDirection w:val="tbRlV"/>
                  <w:vAlign w:val="top"/>
                </w:tcPr>
                <w:p w14:paraId="21FE1465">
                  <w:pPr>
                    <w:pStyle w:val="2"/>
                    <w:jc w:val="center"/>
                    <w:rPr>
                      <w:b/>
                      <w:bCs/>
                      <w:color w:val="auto"/>
                      <w:sz w:val="21"/>
                      <w:szCs w:val="21"/>
                    </w:rPr>
                  </w:pPr>
                  <w:r>
                    <w:rPr>
                      <w:b/>
                      <w:bCs/>
                      <w:color w:val="auto"/>
                      <w:sz w:val="21"/>
                      <w:szCs w:val="21"/>
                    </w:rPr>
                    <w:t>类别</w:t>
                  </w:r>
                </w:p>
              </w:tc>
              <w:tc>
                <w:tcPr>
                  <w:tcW w:w="639" w:type="pct"/>
                  <w:gridSpan w:val="2"/>
                  <w:vAlign w:val="top"/>
                </w:tcPr>
                <w:p w14:paraId="4E4D4C69">
                  <w:pPr>
                    <w:pStyle w:val="2"/>
                    <w:jc w:val="center"/>
                    <w:rPr>
                      <w:b/>
                      <w:bCs/>
                      <w:color w:val="auto"/>
                      <w:sz w:val="21"/>
                      <w:szCs w:val="21"/>
                    </w:rPr>
                  </w:pPr>
                  <w:r>
                    <w:rPr>
                      <w:b/>
                      <w:bCs/>
                      <w:color w:val="auto"/>
                      <w:sz w:val="21"/>
                      <w:szCs w:val="21"/>
                    </w:rPr>
                    <w:t>监测点位</w:t>
                  </w:r>
                </w:p>
              </w:tc>
              <w:tc>
                <w:tcPr>
                  <w:tcW w:w="609" w:type="pct"/>
                  <w:vAlign w:val="top"/>
                </w:tcPr>
                <w:p w14:paraId="1520419D">
                  <w:pPr>
                    <w:pStyle w:val="2"/>
                    <w:jc w:val="center"/>
                    <w:rPr>
                      <w:b/>
                      <w:bCs/>
                      <w:color w:val="auto"/>
                      <w:sz w:val="21"/>
                      <w:szCs w:val="21"/>
                    </w:rPr>
                  </w:pPr>
                  <w:r>
                    <w:rPr>
                      <w:b/>
                      <w:bCs/>
                      <w:color w:val="auto"/>
                      <w:sz w:val="21"/>
                      <w:szCs w:val="21"/>
                    </w:rPr>
                    <w:t>监测项目</w:t>
                  </w:r>
                </w:p>
              </w:tc>
              <w:tc>
                <w:tcPr>
                  <w:tcW w:w="647" w:type="pct"/>
                  <w:vAlign w:val="top"/>
                </w:tcPr>
                <w:p w14:paraId="0AF1306F">
                  <w:pPr>
                    <w:pStyle w:val="2"/>
                    <w:jc w:val="center"/>
                    <w:rPr>
                      <w:b/>
                      <w:bCs/>
                      <w:color w:val="auto"/>
                      <w:sz w:val="21"/>
                      <w:szCs w:val="21"/>
                    </w:rPr>
                  </w:pPr>
                  <w:r>
                    <w:rPr>
                      <w:b/>
                      <w:bCs/>
                      <w:color w:val="auto"/>
                      <w:sz w:val="21"/>
                      <w:szCs w:val="21"/>
                    </w:rPr>
                    <w:t>监测频率</w:t>
                  </w:r>
                </w:p>
              </w:tc>
              <w:tc>
                <w:tcPr>
                  <w:tcW w:w="2899" w:type="pct"/>
                  <w:vAlign w:val="top"/>
                </w:tcPr>
                <w:p w14:paraId="26DC8DD2">
                  <w:pPr>
                    <w:pStyle w:val="2"/>
                    <w:jc w:val="center"/>
                    <w:rPr>
                      <w:b/>
                      <w:bCs/>
                      <w:color w:val="auto"/>
                      <w:sz w:val="21"/>
                      <w:szCs w:val="21"/>
                    </w:rPr>
                  </w:pPr>
                  <w:r>
                    <w:rPr>
                      <w:b/>
                      <w:bCs/>
                      <w:color w:val="auto"/>
                      <w:sz w:val="21"/>
                      <w:szCs w:val="21"/>
                    </w:rPr>
                    <w:t>执行标准</w:t>
                  </w:r>
                </w:p>
              </w:tc>
            </w:tr>
            <w:tr w14:paraId="089D669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159" w:hRule="atLeast"/>
              </w:trPr>
              <w:tc>
                <w:tcPr>
                  <w:tcW w:w="203" w:type="pct"/>
                  <w:vMerge w:val="restart"/>
                  <w:tcBorders>
                    <w:top w:val="nil"/>
                  </w:tcBorders>
                  <w:textDirection w:val="tbRlV"/>
                  <w:vAlign w:val="top"/>
                </w:tcPr>
                <w:p w14:paraId="0CE9E03A">
                  <w:pPr>
                    <w:pStyle w:val="2"/>
                    <w:jc w:val="center"/>
                    <w:rPr>
                      <w:rFonts w:hint="eastAsia" w:eastAsia="宋体"/>
                      <w:color w:val="auto"/>
                      <w:sz w:val="21"/>
                      <w:szCs w:val="21"/>
                      <w:lang w:val="en-US" w:eastAsia="zh-CN"/>
                    </w:rPr>
                  </w:pPr>
                  <w:r>
                    <w:rPr>
                      <w:rFonts w:hint="eastAsia"/>
                      <w:color w:val="auto"/>
                      <w:sz w:val="21"/>
                      <w:szCs w:val="21"/>
                      <w:lang w:val="en-US" w:eastAsia="zh-CN"/>
                    </w:rPr>
                    <w:t>废气</w:t>
                  </w:r>
                </w:p>
              </w:tc>
              <w:tc>
                <w:tcPr>
                  <w:tcW w:w="202" w:type="pct"/>
                  <w:vMerge w:val="restart"/>
                  <w:tcBorders>
                    <w:bottom w:val="nil"/>
                  </w:tcBorders>
                  <w:textDirection w:val="tbRlV"/>
                  <w:vAlign w:val="top"/>
                </w:tcPr>
                <w:p w14:paraId="4AB49605">
                  <w:pPr>
                    <w:pStyle w:val="2"/>
                    <w:jc w:val="center"/>
                    <w:rPr>
                      <w:color w:val="auto"/>
                      <w:sz w:val="21"/>
                      <w:szCs w:val="21"/>
                    </w:rPr>
                  </w:pPr>
                  <w:r>
                    <w:rPr>
                      <w:color w:val="auto"/>
                      <w:sz w:val="21"/>
                      <w:szCs w:val="21"/>
                    </w:rPr>
                    <w:t>无组织</w:t>
                  </w:r>
                </w:p>
              </w:tc>
              <w:tc>
                <w:tcPr>
                  <w:tcW w:w="437" w:type="pct"/>
                  <w:vAlign w:val="top"/>
                </w:tcPr>
                <w:p w14:paraId="0B72AE1B">
                  <w:pPr>
                    <w:pStyle w:val="2"/>
                    <w:jc w:val="center"/>
                    <w:rPr>
                      <w:color w:val="auto"/>
                      <w:sz w:val="21"/>
                      <w:szCs w:val="21"/>
                    </w:rPr>
                  </w:pPr>
                </w:p>
                <w:p w14:paraId="757134F3">
                  <w:pPr>
                    <w:pStyle w:val="2"/>
                    <w:jc w:val="center"/>
                    <w:rPr>
                      <w:color w:val="auto"/>
                      <w:sz w:val="21"/>
                      <w:szCs w:val="21"/>
                    </w:rPr>
                  </w:pPr>
                  <w:r>
                    <w:rPr>
                      <w:color w:val="auto"/>
                      <w:sz w:val="21"/>
                      <w:szCs w:val="21"/>
                    </w:rPr>
                    <w:t>厂界</w:t>
                  </w:r>
                </w:p>
              </w:tc>
              <w:tc>
                <w:tcPr>
                  <w:tcW w:w="609" w:type="pct"/>
                  <w:vAlign w:val="top"/>
                </w:tcPr>
                <w:p w14:paraId="03D66CBF">
                  <w:pPr>
                    <w:pStyle w:val="2"/>
                    <w:jc w:val="center"/>
                    <w:rPr>
                      <w:color w:val="auto"/>
                      <w:sz w:val="21"/>
                      <w:szCs w:val="21"/>
                    </w:rPr>
                  </w:pPr>
                </w:p>
                <w:p w14:paraId="16ED164E">
                  <w:pPr>
                    <w:pStyle w:val="2"/>
                    <w:jc w:val="center"/>
                    <w:rPr>
                      <w:color w:val="auto"/>
                      <w:sz w:val="21"/>
                      <w:szCs w:val="21"/>
                    </w:rPr>
                  </w:pPr>
                  <w:r>
                    <w:rPr>
                      <w:color w:val="auto"/>
                      <w:sz w:val="21"/>
                      <w:szCs w:val="21"/>
                    </w:rPr>
                    <w:t>H2S、NH3、</w:t>
                  </w:r>
                  <w:r>
                    <w:rPr>
                      <w:rFonts w:hint="eastAsia"/>
                      <w:color w:val="auto"/>
                      <w:szCs w:val="24"/>
                      <w:lang w:val="en-US" w:eastAsia="zh-CN"/>
                    </w:rPr>
                    <w:t>甲醛</w:t>
                  </w:r>
                </w:p>
              </w:tc>
              <w:tc>
                <w:tcPr>
                  <w:tcW w:w="647" w:type="pct"/>
                  <w:vAlign w:val="top"/>
                </w:tcPr>
                <w:p w14:paraId="4AAAC5D4">
                  <w:pPr>
                    <w:pStyle w:val="2"/>
                    <w:jc w:val="center"/>
                    <w:rPr>
                      <w:color w:val="auto"/>
                      <w:sz w:val="21"/>
                      <w:szCs w:val="21"/>
                    </w:rPr>
                  </w:pPr>
                </w:p>
                <w:p w14:paraId="13A393CF">
                  <w:pPr>
                    <w:pStyle w:val="2"/>
                    <w:jc w:val="center"/>
                    <w:rPr>
                      <w:color w:val="auto"/>
                      <w:sz w:val="21"/>
                      <w:szCs w:val="21"/>
                    </w:rPr>
                  </w:pPr>
                  <w:r>
                    <w:rPr>
                      <w:color w:val="auto"/>
                      <w:sz w:val="21"/>
                      <w:szCs w:val="21"/>
                    </w:rPr>
                    <w:t>一年一次</w:t>
                  </w:r>
                </w:p>
              </w:tc>
              <w:tc>
                <w:tcPr>
                  <w:tcW w:w="2899" w:type="pct"/>
                  <w:vAlign w:val="top"/>
                </w:tcPr>
                <w:p w14:paraId="345C26C0">
                  <w:pPr>
                    <w:pStyle w:val="2"/>
                    <w:jc w:val="center"/>
                    <w:rPr>
                      <w:color w:val="auto"/>
                      <w:sz w:val="21"/>
                      <w:szCs w:val="21"/>
                    </w:rPr>
                  </w:pPr>
                  <w:r>
                    <w:rPr>
                      <w:color w:val="auto"/>
                      <w:sz w:val="21"/>
                      <w:szCs w:val="21"/>
                    </w:rPr>
                    <w:t>H2S、NH3执行《医疗机构水污染物排放</w:t>
                  </w:r>
                </w:p>
                <w:p w14:paraId="0AF0E088">
                  <w:pPr>
                    <w:pStyle w:val="2"/>
                    <w:jc w:val="center"/>
                    <w:rPr>
                      <w:color w:val="auto"/>
                      <w:sz w:val="21"/>
                      <w:szCs w:val="21"/>
                    </w:rPr>
                  </w:pPr>
                  <w:r>
                    <w:rPr>
                      <w:color w:val="auto"/>
                      <w:sz w:val="21"/>
                      <w:szCs w:val="21"/>
                    </w:rPr>
                    <w:t>标准》</w:t>
                  </w:r>
                </w:p>
                <w:p w14:paraId="600086D1">
                  <w:pPr>
                    <w:pStyle w:val="2"/>
                    <w:jc w:val="center"/>
                    <w:rPr>
                      <w:color w:val="auto"/>
                      <w:sz w:val="21"/>
                      <w:szCs w:val="21"/>
                    </w:rPr>
                  </w:pPr>
                  <w:r>
                    <w:rPr>
                      <w:color w:val="auto"/>
                      <w:sz w:val="21"/>
                      <w:szCs w:val="21"/>
                    </w:rPr>
                    <w:t>（GB18466—2005）表3标准；</w:t>
                  </w:r>
                </w:p>
                <w:p w14:paraId="351E900E">
                  <w:pPr>
                    <w:pStyle w:val="2"/>
                    <w:jc w:val="center"/>
                    <w:rPr>
                      <w:color w:val="auto"/>
                      <w:sz w:val="21"/>
                      <w:szCs w:val="21"/>
                    </w:rPr>
                  </w:pPr>
                  <w:r>
                    <w:rPr>
                      <w:rFonts w:hint="eastAsia"/>
                      <w:color w:val="auto"/>
                      <w:szCs w:val="24"/>
                      <w:lang w:val="en-US" w:eastAsia="zh-CN"/>
                    </w:rPr>
                    <w:t>甲醛残气</w:t>
                  </w:r>
                  <w:r>
                    <w:rPr>
                      <w:rFonts w:hint="eastAsia"/>
                      <w:color w:val="auto"/>
                      <w:szCs w:val="24"/>
                    </w:rPr>
                    <w:t>废气</w:t>
                  </w:r>
                  <w:r>
                    <w:rPr>
                      <w:rFonts w:hint="eastAsia"/>
                      <w:color w:val="auto"/>
                      <w:szCs w:val="24"/>
                      <w:lang w:val="en-US" w:eastAsia="zh-CN"/>
                    </w:rPr>
                    <w:t>排放</w:t>
                  </w:r>
                  <w:r>
                    <w:rPr>
                      <w:rFonts w:hint="eastAsia"/>
                      <w:color w:val="auto"/>
                    </w:rPr>
                    <w:t>执行《大气污染物综合排放标准》（</w:t>
                  </w:r>
                  <w:r>
                    <w:rPr>
                      <w:color w:val="auto"/>
                    </w:rPr>
                    <w:t>GB16297-1996</w:t>
                  </w:r>
                  <w:r>
                    <w:rPr>
                      <w:rFonts w:hint="eastAsia"/>
                      <w:color w:val="auto"/>
                    </w:rPr>
                    <w:t>）</w:t>
                  </w:r>
                </w:p>
              </w:tc>
            </w:tr>
            <w:tr w14:paraId="26E8675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203" w:type="pct"/>
                  <w:vMerge w:val="continue"/>
                  <w:tcBorders>
                    <w:top w:val="nil"/>
                  </w:tcBorders>
                  <w:textDirection w:val="tbRlV"/>
                  <w:vAlign w:val="top"/>
                </w:tcPr>
                <w:p w14:paraId="1C809399">
                  <w:pPr>
                    <w:pStyle w:val="2"/>
                    <w:jc w:val="center"/>
                    <w:rPr>
                      <w:color w:val="auto"/>
                      <w:sz w:val="21"/>
                      <w:szCs w:val="21"/>
                    </w:rPr>
                  </w:pPr>
                </w:p>
              </w:tc>
              <w:tc>
                <w:tcPr>
                  <w:tcW w:w="202" w:type="pct"/>
                  <w:vMerge w:val="continue"/>
                  <w:tcBorders>
                    <w:top w:val="nil"/>
                  </w:tcBorders>
                  <w:textDirection w:val="tbRlV"/>
                  <w:vAlign w:val="top"/>
                </w:tcPr>
                <w:p w14:paraId="0969DBC9">
                  <w:pPr>
                    <w:pStyle w:val="2"/>
                    <w:jc w:val="center"/>
                    <w:rPr>
                      <w:color w:val="auto"/>
                      <w:sz w:val="21"/>
                      <w:szCs w:val="21"/>
                    </w:rPr>
                  </w:pPr>
                </w:p>
              </w:tc>
              <w:tc>
                <w:tcPr>
                  <w:tcW w:w="437" w:type="pct"/>
                  <w:vAlign w:val="top"/>
                </w:tcPr>
                <w:p w14:paraId="24964A2D">
                  <w:pPr>
                    <w:pStyle w:val="2"/>
                    <w:jc w:val="center"/>
                    <w:rPr>
                      <w:color w:val="auto"/>
                      <w:sz w:val="21"/>
                      <w:szCs w:val="21"/>
                    </w:rPr>
                  </w:pPr>
                  <w:r>
                    <w:rPr>
                      <w:color w:val="auto"/>
                      <w:sz w:val="21"/>
                      <w:szCs w:val="21"/>
                    </w:rPr>
                    <w:t>厂房外</w:t>
                  </w:r>
                </w:p>
              </w:tc>
              <w:tc>
                <w:tcPr>
                  <w:tcW w:w="609" w:type="pct"/>
                  <w:vAlign w:val="top"/>
                </w:tcPr>
                <w:p w14:paraId="57C4E5F0">
                  <w:pPr>
                    <w:pStyle w:val="2"/>
                    <w:jc w:val="center"/>
                    <w:rPr>
                      <w:color w:val="auto"/>
                      <w:sz w:val="21"/>
                      <w:szCs w:val="21"/>
                    </w:rPr>
                  </w:pPr>
                  <w:r>
                    <w:rPr>
                      <w:color w:val="auto"/>
                      <w:sz w:val="21"/>
                      <w:szCs w:val="21"/>
                    </w:rPr>
                    <w:t>NMHC</w:t>
                  </w:r>
                </w:p>
              </w:tc>
              <w:tc>
                <w:tcPr>
                  <w:tcW w:w="647" w:type="pct"/>
                  <w:vAlign w:val="top"/>
                </w:tcPr>
                <w:p w14:paraId="3B6AC79C">
                  <w:pPr>
                    <w:pStyle w:val="2"/>
                    <w:jc w:val="center"/>
                    <w:rPr>
                      <w:color w:val="auto"/>
                      <w:sz w:val="21"/>
                      <w:szCs w:val="21"/>
                    </w:rPr>
                  </w:pPr>
                  <w:r>
                    <w:rPr>
                      <w:color w:val="auto"/>
                      <w:sz w:val="21"/>
                      <w:szCs w:val="21"/>
                    </w:rPr>
                    <w:t>一年一次</w:t>
                  </w:r>
                </w:p>
              </w:tc>
              <w:tc>
                <w:tcPr>
                  <w:tcW w:w="2899" w:type="pct"/>
                  <w:vAlign w:val="top"/>
                </w:tcPr>
                <w:p w14:paraId="679F3AA4">
                  <w:pPr>
                    <w:pStyle w:val="2"/>
                    <w:jc w:val="center"/>
                    <w:rPr>
                      <w:color w:val="auto"/>
                      <w:sz w:val="21"/>
                      <w:szCs w:val="21"/>
                    </w:rPr>
                  </w:pPr>
                  <w:r>
                    <w:rPr>
                      <w:color w:val="auto"/>
                      <w:sz w:val="21"/>
                      <w:szCs w:val="21"/>
                    </w:rPr>
                    <w:t>《大气污染物综合排放标准》</w:t>
                  </w:r>
                </w:p>
                <w:p w14:paraId="08B2F863">
                  <w:pPr>
                    <w:pStyle w:val="2"/>
                    <w:jc w:val="center"/>
                    <w:rPr>
                      <w:color w:val="auto"/>
                      <w:sz w:val="21"/>
                      <w:szCs w:val="21"/>
                    </w:rPr>
                  </w:pPr>
                  <w:r>
                    <w:rPr>
                      <w:color w:val="auto"/>
                      <w:sz w:val="21"/>
                      <w:szCs w:val="21"/>
                    </w:rPr>
                    <w:t>（DB32/4041-2021）</w:t>
                  </w:r>
                </w:p>
              </w:tc>
            </w:tr>
          </w:tbl>
          <w:p w14:paraId="22AE62B1">
            <w:pPr>
              <w:widowControl/>
              <w:numPr>
                <w:ilvl w:val="0"/>
                <w:numId w:val="0"/>
              </w:numPr>
              <w:ind w:firstLine="482" w:firstLineChars="200"/>
              <w:jc w:val="left"/>
              <w:rPr>
                <w:rFonts w:hint="default" w:eastAsia="宋体"/>
                <w:b/>
                <w:bCs/>
                <w:color w:val="auto"/>
                <w:lang w:val="en-US" w:eastAsia="zh-CN"/>
              </w:rPr>
            </w:pPr>
            <w:r>
              <w:rPr>
                <w:rFonts w:hint="eastAsia"/>
                <w:b/>
                <w:bCs/>
                <w:color w:val="auto"/>
                <w:lang w:val="en-US" w:eastAsia="zh-CN"/>
              </w:rPr>
              <w:t>江城卫生院：</w:t>
            </w:r>
          </w:p>
          <w:p w14:paraId="2B82DABA">
            <w:pPr>
              <w:widowControl/>
              <w:ind w:firstLine="482"/>
              <w:jc w:val="left"/>
              <w:rPr>
                <w:b/>
                <w:bCs/>
                <w:color w:val="auto"/>
                <w:szCs w:val="24"/>
              </w:rPr>
            </w:pPr>
            <w:r>
              <w:rPr>
                <w:b/>
                <w:bCs/>
                <w:color w:val="auto"/>
                <w:szCs w:val="24"/>
              </w:rPr>
              <w:t>1、废气源强分析</w:t>
            </w:r>
          </w:p>
          <w:p w14:paraId="54F1A4E5">
            <w:pPr>
              <w:widowControl/>
              <w:ind w:firstLine="480"/>
              <w:jc w:val="left"/>
              <w:rPr>
                <w:color w:val="auto"/>
              </w:rPr>
            </w:pPr>
            <w:r>
              <w:rPr>
                <w:color w:val="auto"/>
                <w:szCs w:val="24"/>
              </w:rPr>
              <w:t>项目运营期间产生的废气主要为恶臭、备用柴油发电机废气、</w:t>
            </w:r>
            <w:r>
              <w:rPr>
                <w:color w:val="auto"/>
              </w:rPr>
              <w:t>厨房油烟</w:t>
            </w:r>
            <w:r>
              <w:rPr>
                <w:rFonts w:hint="eastAsia"/>
                <w:color w:val="auto"/>
              </w:rPr>
              <w:t>、传染病房楼含病原微生物废气和检验科、实验室含病原微生物废气</w:t>
            </w:r>
            <w:r>
              <w:rPr>
                <w:color w:val="auto"/>
                <w:szCs w:val="24"/>
              </w:rPr>
              <w:t>等，本次扩建工程不新增废气来源，扩建后污水处理设施废气量略有增加。</w:t>
            </w:r>
          </w:p>
          <w:p w14:paraId="2F311298">
            <w:pPr>
              <w:tabs>
                <w:tab w:val="left" w:pos="2040"/>
              </w:tabs>
              <w:ind w:firstLine="480"/>
              <w:rPr>
                <w:color w:val="auto"/>
                <w:szCs w:val="24"/>
              </w:rPr>
            </w:pPr>
            <w:r>
              <w:rPr>
                <w:color w:val="auto"/>
                <w:szCs w:val="24"/>
              </w:rPr>
              <w:t>（1）恶臭</w:t>
            </w:r>
          </w:p>
          <w:p w14:paraId="0B96E06C">
            <w:pPr>
              <w:tabs>
                <w:tab w:val="left" w:pos="2040"/>
              </w:tabs>
              <w:ind w:firstLine="480"/>
              <w:rPr>
                <w:color w:val="auto"/>
                <w:szCs w:val="24"/>
              </w:rPr>
            </w:pPr>
            <w:r>
              <w:rPr>
                <w:color w:val="auto"/>
                <w:szCs w:val="24"/>
              </w:rPr>
              <w:t>项目运营期间恶臭主要产生于污水处理站、化粪池、医疗废物暂存间、垃圾桶、卫生间。</w:t>
            </w:r>
          </w:p>
          <w:p w14:paraId="4787F678">
            <w:pPr>
              <w:pStyle w:val="2"/>
              <w:numPr>
                <w:ilvl w:val="0"/>
                <w:numId w:val="10"/>
              </w:numPr>
              <w:rPr>
                <w:color w:val="auto"/>
              </w:rPr>
            </w:pPr>
            <w:r>
              <w:rPr>
                <w:color w:val="auto"/>
                <w:sz w:val="24"/>
              </w:rPr>
              <w:t>污水处理站恶臭</w:t>
            </w:r>
          </w:p>
          <w:p w14:paraId="4F4C8821">
            <w:pPr>
              <w:tabs>
                <w:tab w:val="left" w:pos="2040"/>
              </w:tabs>
              <w:ind w:firstLine="480"/>
              <w:rPr>
                <w:color w:val="auto"/>
                <w:szCs w:val="24"/>
              </w:rPr>
            </w:pPr>
            <w:r>
              <w:rPr>
                <w:color w:val="auto"/>
                <w:szCs w:val="24"/>
              </w:rPr>
              <w:t>污水处理站的恶臭来源于污水、污泥中有机物的分解、发酵过程中散发的恶臭气体，主要成分为H</w:t>
            </w:r>
            <w:r>
              <w:rPr>
                <w:color w:val="auto"/>
                <w:szCs w:val="24"/>
                <w:vertAlign w:val="subscript"/>
              </w:rPr>
              <w:t>2</w:t>
            </w:r>
            <w:r>
              <w:rPr>
                <w:color w:val="auto"/>
                <w:szCs w:val="24"/>
              </w:rPr>
              <w:t>S和NH</w:t>
            </w:r>
            <w:r>
              <w:rPr>
                <w:color w:val="auto"/>
                <w:szCs w:val="24"/>
                <w:vertAlign w:val="subscript"/>
              </w:rPr>
              <w:t>3</w:t>
            </w:r>
            <w:r>
              <w:rPr>
                <w:color w:val="auto"/>
                <w:szCs w:val="24"/>
              </w:rPr>
              <w:t>，主要产生于生化处理单元，排放方式为无组织排放。参照</w:t>
            </w:r>
            <w:r>
              <w:rPr>
                <w:rFonts w:hint="eastAsia"/>
                <w:color w:val="auto"/>
                <w:szCs w:val="24"/>
                <w:lang w:eastAsia="zh-CN"/>
              </w:rPr>
              <w:t>《环境影响评价案例分析》（2015年版）</w:t>
            </w:r>
            <w:r>
              <w:rPr>
                <w:color w:val="auto"/>
                <w:szCs w:val="24"/>
              </w:rPr>
              <w:t>，每处理1g的BOD</w:t>
            </w:r>
            <w:r>
              <w:rPr>
                <w:color w:val="auto"/>
                <w:szCs w:val="24"/>
                <w:vertAlign w:val="subscript"/>
              </w:rPr>
              <w:t>5</w:t>
            </w:r>
            <w:r>
              <w:rPr>
                <w:color w:val="auto"/>
                <w:szCs w:val="24"/>
              </w:rPr>
              <w:t>可产生0.0031g的NH</w:t>
            </w:r>
            <w:r>
              <w:rPr>
                <w:color w:val="auto"/>
                <w:szCs w:val="24"/>
                <w:vertAlign w:val="subscript"/>
              </w:rPr>
              <w:t>3</w:t>
            </w:r>
            <w:r>
              <w:rPr>
                <w:color w:val="auto"/>
                <w:szCs w:val="24"/>
              </w:rPr>
              <w:t>、0.00012g的H</w:t>
            </w:r>
            <w:r>
              <w:rPr>
                <w:color w:val="auto"/>
                <w:szCs w:val="24"/>
                <w:vertAlign w:val="subscript"/>
              </w:rPr>
              <w:t>2</w:t>
            </w:r>
            <w:r>
              <w:rPr>
                <w:color w:val="auto"/>
                <w:szCs w:val="24"/>
              </w:rPr>
              <w:t>S。本项目</w:t>
            </w:r>
            <w:r>
              <w:rPr>
                <w:rFonts w:hint="eastAsia"/>
                <w:color w:val="auto"/>
                <w:szCs w:val="24"/>
              </w:rPr>
              <w:t>现污水排放量为</w:t>
            </w:r>
            <w:r>
              <w:rPr>
                <w:rFonts w:hint="eastAsia"/>
                <w:color w:val="auto"/>
                <w:szCs w:val="24"/>
                <w:lang w:val="en-US" w:eastAsia="zh-CN"/>
              </w:rPr>
              <w:t>13.12</w:t>
            </w:r>
            <w:r>
              <w:rPr>
                <w:color w:val="auto"/>
                <w:szCs w:val="24"/>
              </w:rPr>
              <w:t>m</w:t>
            </w:r>
            <w:r>
              <w:rPr>
                <w:color w:val="auto"/>
                <w:szCs w:val="24"/>
                <w:vertAlign w:val="superscript"/>
              </w:rPr>
              <w:t>3</w:t>
            </w:r>
            <w:r>
              <w:rPr>
                <w:color w:val="auto"/>
                <w:szCs w:val="24"/>
              </w:rPr>
              <w:t>/d</w:t>
            </w:r>
            <w:r>
              <w:rPr>
                <w:rFonts w:hint="eastAsia"/>
                <w:color w:val="auto"/>
                <w:szCs w:val="24"/>
                <w:lang w:eastAsia="zh-CN"/>
              </w:rPr>
              <w:t>，</w:t>
            </w:r>
            <w:r>
              <w:rPr>
                <w:rFonts w:hint="eastAsia"/>
                <w:color w:val="auto"/>
                <w:szCs w:val="24"/>
                <w:lang w:val="en-US" w:eastAsia="zh-CN"/>
              </w:rPr>
              <w:t>根据类比</w:t>
            </w:r>
            <w:r>
              <w:rPr>
                <w:color w:val="auto"/>
                <w:szCs w:val="24"/>
              </w:rPr>
              <w:t>《江川区人民医院2022年自行监测（四季度）》中出水水质BOD</w:t>
            </w:r>
            <w:r>
              <w:rPr>
                <w:color w:val="auto"/>
                <w:szCs w:val="24"/>
                <w:vertAlign w:val="subscript"/>
              </w:rPr>
              <w:t>5</w:t>
            </w:r>
            <w:r>
              <w:rPr>
                <w:color w:val="auto"/>
                <w:szCs w:val="24"/>
              </w:rPr>
              <w:t>浓度为48mg/L（进水浓度以150mg/L计），则污水处理站</w:t>
            </w:r>
            <w:r>
              <w:rPr>
                <w:rFonts w:hint="eastAsia"/>
                <w:color w:val="auto"/>
                <w:szCs w:val="24"/>
              </w:rPr>
              <w:t>现BOD5削减量为</w:t>
            </w:r>
            <w:r>
              <w:rPr>
                <w:rFonts w:hint="eastAsia"/>
                <w:color w:val="auto"/>
                <w:szCs w:val="24"/>
                <w:lang w:val="en-US" w:eastAsia="zh-CN"/>
              </w:rPr>
              <w:t>1.34t/</w:t>
            </w:r>
            <w:r>
              <w:rPr>
                <w:rFonts w:hint="eastAsia"/>
                <w:color w:val="auto"/>
                <w:szCs w:val="24"/>
              </w:rPr>
              <w:t>a，</w:t>
            </w:r>
            <w:r>
              <w:rPr>
                <w:color w:val="auto"/>
                <w:szCs w:val="24"/>
              </w:rPr>
              <w:t>经计算，运营期污水处理站恶臭污染物产生情况如下表：</w:t>
            </w:r>
          </w:p>
          <w:p w14:paraId="26256A92">
            <w:pPr>
              <w:pStyle w:val="38"/>
              <w:rPr>
                <w:rFonts w:ascii="Times New Roman" w:hAnsi="Times New Roman" w:eastAsia="宋体"/>
                <w:b/>
                <w:bCs/>
                <w:color w:val="auto"/>
              </w:rPr>
            </w:pPr>
            <w:r>
              <w:rPr>
                <w:rFonts w:ascii="Times New Roman" w:hAnsi="Times New Roman" w:eastAsia="宋体"/>
                <w:b/>
                <w:bCs/>
                <w:color w:val="auto"/>
              </w:rPr>
              <w:t>表4-1污水处理站恶臭污染物产生源强</w:t>
            </w:r>
          </w:p>
          <w:tbl>
            <w:tblPr>
              <w:tblStyle w:val="20"/>
              <w:tblW w:w="73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218"/>
              <w:gridCol w:w="1218"/>
              <w:gridCol w:w="1218"/>
              <w:gridCol w:w="1218"/>
              <w:gridCol w:w="1218"/>
            </w:tblGrid>
            <w:tr w14:paraId="5AD84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trPr>
              <w:tc>
                <w:tcPr>
                  <w:tcW w:w="1218" w:type="dxa"/>
                  <w:vAlign w:val="center"/>
                </w:tcPr>
                <w:p w14:paraId="3D8BA476">
                  <w:pPr>
                    <w:tabs>
                      <w:tab w:val="left" w:pos="2040"/>
                    </w:tabs>
                    <w:spacing w:line="240" w:lineRule="auto"/>
                    <w:ind w:firstLine="0" w:firstLineChars="0"/>
                    <w:jc w:val="center"/>
                    <w:rPr>
                      <w:color w:val="auto"/>
                      <w:sz w:val="21"/>
                      <w:szCs w:val="21"/>
                    </w:rPr>
                  </w:pPr>
                  <w:r>
                    <w:rPr>
                      <w:color w:val="auto"/>
                      <w:sz w:val="21"/>
                      <w:szCs w:val="21"/>
                    </w:rPr>
                    <w:t>项目</w:t>
                  </w:r>
                </w:p>
              </w:tc>
              <w:tc>
                <w:tcPr>
                  <w:tcW w:w="1218" w:type="dxa"/>
                  <w:vAlign w:val="center"/>
                </w:tcPr>
                <w:p w14:paraId="6AACB573">
                  <w:pPr>
                    <w:tabs>
                      <w:tab w:val="left" w:pos="2040"/>
                    </w:tabs>
                    <w:spacing w:line="240" w:lineRule="auto"/>
                    <w:ind w:firstLine="0" w:firstLineChars="0"/>
                    <w:jc w:val="center"/>
                    <w:rPr>
                      <w:color w:val="auto"/>
                      <w:sz w:val="21"/>
                      <w:szCs w:val="21"/>
                    </w:rPr>
                  </w:pPr>
                  <w:r>
                    <w:rPr>
                      <w:color w:val="auto"/>
                      <w:sz w:val="21"/>
                      <w:szCs w:val="21"/>
                    </w:rPr>
                    <w:t>BOD</w:t>
                  </w:r>
                  <w:r>
                    <w:rPr>
                      <w:color w:val="auto"/>
                      <w:sz w:val="21"/>
                      <w:szCs w:val="21"/>
                      <w:vertAlign w:val="subscript"/>
                    </w:rPr>
                    <w:t>5</w:t>
                  </w:r>
                  <w:r>
                    <w:rPr>
                      <w:color w:val="auto"/>
                      <w:sz w:val="21"/>
                      <w:szCs w:val="21"/>
                    </w:rPr>
                    <w:t>去除量（t/a）</w:t>
                  </w:r>
                </w:p>
              </w:tc>
              <w:tc>
                <w:tcPr>
                  <w:tcW w:w="2436" w:type="dxa"/>
                  <w:gridSpan w:val="2"/>
                  <w:vAlign w:val="center"/>
                </w:tcPr>
                <w:p w14:paraId="540A429C">
                  <w:pPr>
                    <w:tabs>
                      <w:tab w:val="left" w:pos="2040"/>
                    </w:tabs>
                    <w:spacing w:line="240" w:lineRule="auto"/>
                    <w:ind w:firstLine="0" w:firstLineChars="0"/>
                    <w:jc w:val="center"/>
                    <w:rPr>
                      <w:color w:val="auto"/>
                      <w:sz w:val="21"/>
                      <w:szCs w:val="21"/>
                    </w:rPr>
                  </w:pPr>
                  <w:r>
                    <w:rPr>
                      <w:color w:val="auto"/>
                      <w:sz w:val="21"/>
                      <w:szCs w:val="21"/>
                    </w:rPr>
                    <w:t>恶臭产生量（t/a）</w:t>
                  </w:r>
                </w:p>
              </w:tc>
              <w:tc>
                <w:tcPr>
                  <w:tcW w:w="2436" w:type="dxa"/>
                  <w:gridSpan w:val="2"/>
                  <w:vAlign w:val="center"/>
                </w:tcPr>
                <w:p w14:paraId="3D236E97">
                  <w:pPr>
                    <w:tabs>
                      <w:tab w:val="left" w:pos="2040"/>
                    </w:tabs>
                    <w:spacing w:line="240" w:lineRule="auto"/>
                    <w:ind w:firstLine="0" w:firstLineChars="0"/>
                    <w:jc w:val="center"/>
                    <w:rPr>
                      <w:color w:val="auto"/>
                      <w:sz w:val="21"/>
                      <w:szCs w:val="21"/>
                    </w:rPr>
                  </w:pPr>
                  <w:r>
                    <w:rPr>
                      <w:color w:val="auto"/>
                      <w:sz w:val="21"/>
                      <w:szCs w:val="21"/>
                    </w:rPr>
                    <w:t>产生速率（kg/h）</w:t>
                  </w:r>
                </w:p>
              </w:tc>
            </w:tr>
            <w:tr w14:paraId="67EAF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218" w:type="dxa"/>
                  <w:vMerge w:val="restart"/>
                  <w:vAlign w:val="center"/>
                </w:tcPr>
                <w:p w14:paraId="6DA8F767">
                  <w:pPr>
                    <w:tabs>
                      <w:tab w:val="left" w:pos="2040"/>
                    </w:tabs>
                    <w:spacing w:line="240" w:lineRule="auto"/>
                    <w:ind w:firstLine="0" w:firstLineChars="0"/>
                    <w:jc w:val="center"/>
                    <w:rPr>
                      <w:color w:val="auto"/>
                      <w:sz w:val="21"/>
                      <w:szCs w:val="21"/>
                    </w:rPr>
                  </w:pPr>
                  <w:r>
                    <w:rPr>
                      <w:color w:val="auto"/>
                      <w:sz w:val="21"/>
                      <w:szCs w:val="21"/>
                    </w:rPr>
                    <w:t>污水处理站</w:t>
                  </w:r>
                </w:p>
              </w:tc>
              <w:tc>
                <w:tcPr>
                  <w:tcW w:w="1218" w:type="dxa"/>
                  <w:vMerge w:val="restart"/>
                  <w:vAlign w:val="center"/>
                </w:tcPr>
                <w:p w14:paraId="6CDFF0F8">
                  <w:pPr>
                    <w:tabs>
                      <w:tab w:val="left" w:pos="2040"/>
                    </w:tabs>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1.34</w:t>
                  </w:r>
                </w:p>
              </w:tc>
              <w:tc>
                <w:tcPr>
                  <w:tcW w:w="1218" w:type="dxa"/>
                  <w:vAlign w:val="center"/>
                </w:tcPr>
                <w:p w14:paraId="54940F04">
                  <w:pPr>
                    <w:tabs>
                      <w:tab w:val="left" w:pos="2040"/>
                    </w:tabs>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218" w:type="dxa"/>
                  <w:vAlign w:val="center"/>
                </w:tcPr>
                <w:p w14:paraId="6064115A">
                  <w:pPr>
                    <w:tabs>
                      <w:tab w:val="left" w:pos="2040"/>
                    </w:tabs>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218" w:type="dxa"/>
                  <w:vAlign w:val="center"/>
                </w:tcPr>
                <w:p w14:paraId="7B371860">
                  <w:pPr>
                    <w:tabs>
                      <w:tab w:val="left" w:pos="2040"/>
                    </w:tabs>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218" w:type="dxa"/>
                  <w:vAlign w:val="center"/>
                </w:tcPr>
                <w:p w14:paraId="356866FF">
                  <w:pPr>
                    <w:tabs>
                      <w:tab w:val="left" w:pos="2040"/>
                    </w:tabs>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r>
            <w:tr w14:paraId="2DB23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218" w:type="dxa"/>
                  <w:vMerge w:val="continue"/>
                  <w:vAlign w:val="center"/>
                </w:tcPr>
                <w:p w14:paraId="712457A4">
                  <w:pPr>
                    <w:tabs>
                      <w:tab w:val="left" w:pos="2040"/>
                    </w:tabs>
                    <w:spacing w:line="240" w:lineRule="auto"/>
                    <w:ind w:firstLine="0" w:firstLineChars="0"/>
                    <w:jc w:val="center"/>
                    <w:rPr>
                      <w:color w:val="auto"/>
                      <w:sz w:val="21"/>
                      <w:szCs w:val="21"/>
                    </w:rPr>
                  </w:pPr>
                </w:p>
              </w:tc>
              <w:tc>
                <w:tcPr>
                  <w:tcW w:w="1218" w:type="dxa"/>
                  <w:vMerge w:val="continue"/>
                  <w:vAlign w:val="center"/>
                </w:tcPr>
                <w:p w14:paraId="3D913B07">
                  <w:pPr>
                    <w:tabs>
                      <w:tab w:val="left" w:pos="2040"/>
                    </w:tabs>
                    <w:spacing w:line="240" w:lineRule="auto"/>
                    <w:ind w:firstLine="0" w:firstLineChars="0"/>
                    <w:jc w:val="center"/>
                    <w:rPr>
                      <w:color w:val="auto"/>
                      <w:sz w:val="21"/>
                      <w:szCs w:val="21"/>
                    </w:rPr>
                  </w:pPr>
                </w:p>
              </w:tc>
              <w:tc>
                <w:tcPr>
                  <w:tcW w:w="1218" w:type="dxa"/>
                  <w:vAlign w:val="center"/>
                </w:tcPr>
                <w:p w14:paraId="1906AFFE">
                  <w:pPr>
                    <w:tabs>
                      <w:tab w:val="left" w:pos="2040"/>
                    </w:tabs>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0.00415</w:t>
                  </w:r>
                </w:p>
              </w:tc>
              <w:tc>
                <w:tcPr>
                  <w:tcW w:w="1218" w:type="dxa"/>
                  <w:vAlign w:val="center"/>
                </w:tcPr>
                <w:p w14:paraId="0282150F">
                  <w:pPr>
                    <w:tabs>
                      <w:tab w:val="left" w:pos="2040"/>
                    </w:tabs>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0.00016</w:t>
                  </w:r>
                </w:p>
              </w:tc>
              <w:tc>
                <w:tcPr>
                  <w:tcW w:w="1218" w:type="dxa"/>
                  <w:vAlign w:val="center"/>
                </w:tcPr>
                <w:p w14:paraId="5515F013">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4.74</w:t>
                  </w:r>
                  <w:r>
                    <w:rPr>
                      <w:color w:val="auto"/>
                      <w:sz w:val="21"/>
                      <w:szCs w:val="21"/>
                    </w:rPr>
                    <w:t>×10</w:t>
                  </w:r>
                  <w:r>
                    <w:rPr>
                      <w:color w:val="auto"/>
                      <w:sz w:val="21"/>
                      <w:szCs w:val="21"/>
                      <w:vertAlign w:val="superscript"/>
                    </w:rPr>
                    <w:t>-4</w:t>
                  </w:r>
                </w:p>
              </w:tc>
              <w:tc>
                <w:tcPr>
                  <w:tcW w:w="1218" w:type="dxa"/>
                  <w:vAlign w:val="center"/>
                </w:tcPr>
                <w:p w14:paraId="29ADD867">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1.83</w:t>
                  </w:r>
                  <w:r>
                    <w:rPr>
                      <w:color w:val="auto"/>
                      <w:sz w:val="21"/>
                      <w:szCs w:val="21"/>
                    </w:rPr>
                    <w:t>×10</w:t>
                  </w:r>
                  <w:r>
                    <w:rPr>
                      <w:color w:val="auto"/>
                      <w:sz w:val="21"/>
                      <w:szCs w:val="21"/>
                      <w:vertAlign w:val="superscript"/>
                    </w:rPr>
                    <w:t>-5</w:t>
                  </w:r>
                </w:p>
              </w:tc>
            </w:tr>
          </w:tbl>
          <w:p w14:paraId="3FFE6A3B">
            <w:pPr>
              <w:pStyle w:val="35"/>
              <w:tabs>
                <w:tab w:val="left" w:pos="2040"/>
              </w:tabs>
              <w:spacing w:beforeLines="0" w:afterLines="0"/>
              <w:ind w:firstLine="482"/>
              <w:rPr>
                <w:color w:val="auto"/>
                <w:szCs w:val="24"/>
              </w:rPr>
            </w:pPr>
            <w:r>
              <w:rPr>
                <w:b/>
                <w:bCs/>
                <w:color w:val="auto"/>
                <w:szCs w:val="24"/>
              </w:rPr>
              <w:t>治理措施：</w:t>
            </w:r>
            <w:r>
              <w:rPr>
                <w:color w:val="auto"/>
                <w:kern w:val="0"/>
                <w:szCs w:val="24"/>
                <w:lang w:bidi="ar"/>
              </w:rPr>
              <w:t>废水采用一级强化处理工艺，污水处理设备为全封闭型设施，仅预留一个投料口，供消毒剂的投加，加消毒剂时打开，平时均为密闭状态，污水处理站的各构筑物将加盖密闭。</w:t>
            </w:r>
          </w:p>
          <w:p w14:paraId="4017D387">
            <w:pPr>
              <w:pStyle w:val="35"/>
              <w:tabs>
                <w:tab w:val="left" w:pos="2040"/>
              </w:tabs>
              <w:spacing w:beforeLines="0" w:afterLines="0"/>
              <w:ind w:firstLine="480"/>
              <w:rPr>
                <w:color w:val="auto"/>
                <w:szCs w:val="24"/>
              </w:rPr>
            </w:pPr>
            <w:r>
              <w:rPr>
                <w:rFonts w:hint="eastAsia" w:ascii="宋体" w:hAnsi="宋体" w:cs="宋体"/>
                <w:color w:val="auto"/>
                <w:szCs w:val="24"/>
              </w:rPr>
              <w:t>②</w:t>
            </w:r>
            <w:r>
              <w:rPr>
                <w:color w:val="auto"/>
                <w:szCs w:val="24"/>
              </w:rPr>
              <w:t>化粪池、医疗废物暂存间、垃圾桶、卫生间恶臭</w:t>
            </w:r>
          </w:p>
          <w:p w14:paraId="24853E53">
            <w:pPr>
              <w:pStyle w:val="35"/>
              <w:tabs>
                <w:tab w:val="left" w:pos="2040"/>
              </w:tabs>
              <w:spacing w:beforeLines="0" w:afterLines="0"/>
              <w:ind w:firstLine="480"/>
              <w:rPr>
                <w:color w:val="auto"/>
              </w:rPr>
            </w:pPr>
            <w:r>
              <w:rPr>
                <w:color w:val="auto"/>
              </w:rPr>
              <w:t>项目运营期的恶臭主要来源于化粪池</w:t>
            </w:r>
            <w:r>
              <w:rPr>
                <w:color w:val="auto"/>
                <w:szCs w:val="24"/>
              </w:rPr>
              <w:t>、医疗废物暂存间、卫生间</w:t>
            </w:r>
            <w:r>
              <w:rPr>
                <w:color w:val="auto"/>
              </w:rPr>
              <w:t>和垃圾收集装置，主要为臭气浓度，呈无组织排放。恶臭气体的主要成分为氨、硫化氢、臭气、甲硫醇等，对大气环境有一定的污染。</w:t>
            </w:r>
          </w:p>
          <w:p w14:paraId="7865AA80">
            <w:pPr>
              <w:pStyle w:val="35"/>
              <w:tabs>
                <w:tab w:val="left" w:pos="2040"/>
              </w:tabs>
              <w:spacing w:beforeLines="0" w:afterLines="0"/>
              <w:ind w:firstLine="482"/>
              <w:rPr>
                <w:color w:val="auto"/>
                <w:szCs w:val="24"/>
              </w:rPr>
            </w:pPr>
            <w:r>
              <w:rPr>
                <w:b/>
                <w:bCs/>
                <w:color w:val="auto"/>
                <w:szCs w:val="24"/>
              </w:rPr>
              <w:t>治理措施：</w:t>
            </w:r>
            <w:r>
              <w:rPr>
                <w:color w:val="auto"/>
                <w:szCs w:val="24"/>
              </w:rPr>
              <w:t>化粪池为地埋式，密闭性较好，故挥发到空气中的恶臭较少；项目区设置一个医疗废物暂存间，收集整个医院的医疗废物，医疗废物中有一些具有刺激性气味的气体，在存储过程中会有少量的H</w:t>
            </w:r>
            <w:r>
              <w:rPr>
                <w:color w:val="auto"/>
                <w:szCs w:val="24"/>
                <w:vertAlign w:val="subscript"/>
              </w:rPr>
              <w:t>2</w:t>
            </w:r>
            <w:r>
              <w:rPr>
                <w:color w:val="auto"/>
                <w:szCs w:val="24"/>
              </w:rPr>
              <w:t>S和NH</w:t>
            </w:r>
            <w:r>
              <w:rPr>
                <w:color w:val="auto"/>
                <w:szCs w:val="24"/>
                <w:vertAlign w:val="subscript"/>
              </w:rPr>
              <w:t>3</w:t>
            </w:r>
            <w:r>
              <w:rPr>
                <w:color w:val="auto"/>
                <w:szCs w:val="24"/>
              </w:rPr>
              <w:t>等恶臭气体产生，由于本项目医疗废物存储间为单独的密闭房间，医疗废物通过专用容器及防漏胶袋密封，臭气溢出极少，呈无组织排放；项目区垃圾桶内的垃圾能做到日产日清，通过及时清运可减轻对环境的不利影响；卫生间在使用过程中会产生一定的臭味，经加强卫生间的清扫频次，保持卫生间的清洁卫生，臭味对周围环境的影响很小。</w:t>
            </w:r>
          </w:p>
          <w:p w14:paraId="6FA37CF6">
            <w:pPr>
              <w:pStyle w:val="35"/>
              <w:numPr>
                <w:ilvl w:val="0"/>
                <w:numId w:val="11"/>
              </w:numPr>
              <w:tabs>
                <w:tab w:val="left" w:pos="2040"/>
              </w:tabs>
              <w:spacing w:beforeLines="0" w:afterLines="0"/>
              <w:ind w:firstLine="480"/>
              <w:rPr>
                <w:color w:val="auto"/>
                <w:szCs w:val="24"/>
              </w:rPr>
            </w:pPr>
            <w:r>
              <w:rPr>
                <w:color w:val="auto"/>
                <w:szCs w:val="24"/>
              </w:rPr>
              <w:t>备用柴油发电机废气</w:t>
            </w:r>
          </w:p>
          <w:p w14:paraId="5B2A7B7E">
            <w:pPr>
              <w:tabs>
                <w:tab w:val="left" w:pos="2040"/>
              </w:tabs>
              <w:ind w:firstLine="480"/>
              <w:rPr>
                <w:color w:val="auto"/>
              </w:rPr>
            </w:pPr>
            <w:r>
              <w:rPr>
                <w:color w:val="auto"/>
              </w:rPr>
              <w:t>本顶目</w:t>
            </w:r>
            <w:r>
              <w:rPr>
                <w:rFonts w:hint="eastAsia"/>
                <w:color w:val="auto"/>
                <w:lang w:val="en-US" w:eastAsia="zh-CN"/>
              </w:rPr>
              <w:t>扩建后</w:t>
            </w:r>
            <w:r>
              <w:rPr>
                <w:color w:val="auto"/>
              </w:rPr>
              <w:t>，</w:t>
            </w:r>
            <w:r>
              <w:rPr>
                <w:rFonts w:hint="eastAsia"/>
                <w:color w:val="auto"/>
              </w:rPr>
              <w:t>新增一台</w:t>
            </w:r>
            <w:r>
              <w:rPr>
                <w:color w:val="auto"/>
              </w:rPr>
              <w:t>备用柴油发电机</w:t>
            </w:r>
            <w:r>
              <w:rPr>
                <w:rFonts w:hint="eastAsia"/>
                <w:color w:val="auto"/>
              </w:rPr>
              <w:t>，</w:t>
            </w:r>
            <w:r>
              <w:rPr>
                <w:color w:val="auto"/>
              </w:rPr>
              <w:t>停电时作为应急电源使用，项目位于城区范围内使用频率很小。柴油产生的燃烧废气中含有S0</w:t>
            </w:r>
            <w:r>
              <w:rPr>
                <w:color w:val="auto"/>
                <w:vertAlign w:val="subscript"/>
              </w:rPr>
              <w:t>2</w:t>
            </w:r>
            <w:r>
              <w:rPr>
                <w:color w:val="auto"/>
              </w:rPr>
              <w:t>、NOx、CO、HnCm和烟尘等污染物。</w:t>
            </w:r>
          </w:p>
          <w:p w14:paraId="785E17AC">
            <w:pPr>
              <w:pStyle w:val="35"/>
              <w:tabs>
                <w:tab w:val="left" w:pos="2040"/>
              </w:tabs>
              <w:spacing w:beforeLines="0" w:afterLines="0"/>
              <w:ind w:firstLine="482"/>
              <w:rPr>
                <w:b/>
                <w:bCs/>
                <w:color w:val="auto"/>
                <w:szCs w:val="24"/>
              </w:rPr>
            </w:pPr>
            <w:r>
              <w:rPr>
                <w:b/>
                <w:bCs/>
                <w:color w:val="auto"/>
                <w:szCs w:val="24"/>
              </w:rPr>
              <w:t>治理措施：</w:t>
            </w:r>
            <w:r>
              <w:rPr>
                <w:color w:val="auto"/>
              </w:rPr>
              <w:t>柴油发电机仅停电时使用，废气排放间断性强，废气排放经烟囱引至楼顶排放，排放量小，对周围环境影响较小。</w:t>
            </w:r>
          </w:p>
          <w:p w14:paraId="5350D6B3">
            <w:pPr>
              <w:pStyle w:val="35"/>
              <w:numPr>
                <w:ilvl w:val="0"/>
                <w:numId w:val="11"/>
              </w:numPr>
              <w:tabs>
                <w:tab w:val="left" w:pos="2040"/>
              </w:tabs>
              <w:spacing w:beforeLines="0" w:afterLines="0"/>
              <w:ind w:firstLine="480"/>
              <w:rPr>
                <w:color w:val="auto"/>
                <w:szCs w:val="24"/>
              </w:rPr>
            </w:pPr>
            <w:r>
              <w:rPr>
                <w:color w:val="auto"/>
                <w:szCs w:val="24"/>
              </w:rPr>
              <w:t>厨房油烟</w:t>
            </w:r>
          </w:p>
          <w:p w14:paraId="6502F012">
            <w:pPr>
              <w:widowControl/>
              <w:ind w:firstLine="480"/>
              <w:jc w:val="left"/>
              <w:rPr>
                <w:color w:val="auto"/>
              </w:rPr>
            </w:pPr>
            <w:r>
              <w:rPr>
                <w:color w:val="auto"/>
                <w:highlight w:val="none"/>
              </w:rPr>
              <w:t>项目区有食堂，每天提供三餐，规模属于中型，食堂就餐人数约</w:t>
            </w:r>
            <w:r>
              <w:rPr>
                <w:rFonts w:hint="eastAsia"/>
                <w:color w:val="auto"/>
                <w:highlight w:val="none"/>
                <w:lang w:val="en-US" w:eastAsia="zh-CN"/>
              </w:rPr>
              <w:t>100</w:t>
            </w:r>
            <w:r>
              <w:rPr>
                <w:color w:val="auto"/>
                <w:highlight w:val="none"/>
              </w:rPr>
              <w:t>人。</w:t>
            </w:r>
            <w:r>
              <w:rPr>
                <w:color w:val="auto"/>
              </w:rPr>
              <w:t>按平衡膳食推荐的以每人每天食用25g食用油计算，则用油量为：</w:t>
            </w:r>
            <w:r>
              <w:rPr>
                <w:rFonts w:hint="eastAsia"/>
                <w:color w:val="auto"/>
                <w:lang w:val="en-US" w:eastAsia="zh-CN"/>
              </w:rPr>
              <w:t>2.5k</w:t>
            </w:r>
            <w:r>
              <w:rPr>
                <w:color w:val="auto"/>
              </w:rPr>
              <w:t>g/d。</w:t>
            </w:r>
          </w:p>
          <w:p w14:paraId="32C37111">
            <w:pPr>
              <w:widowControl/>
              <w:ind w:firstLine="480"/>
              <w:jc w:val="left"/>
              <w:rPr>
                <w:color w:val="auto"/>
              </w:rPr>
            </w:pPr>
            <w:r>
              <w:rPr>
                <w:color w:val="auto"/>
              </w:rPr>
              <w:t>据类比调查，不同的烧炸工况，油烟气中烟气浓度及挥发量均有所不同，油的平均挥发量为总耗油量的2.83%，经估算，本项目食堂产生油烟量约为</w:t>
            </w:r>
            <w:r>
              <w:rPr>
                <w:rFonts w:hint="eastAsia"/>
                <w:color w:val="auto"/>
                <w:lang w:val="en-US" w:eastAsia="zh-CN"/>
              </w:rPr>
              <w:t>0.07</w:t>
            </w:r>
            <w:r>
              <w:rPr>
                <w:color w:val="auto"/>
              </w:rPr>
              <w:t>kg/d，</w:t>
            </w:r>
            <w:r>
              <w:rPr>
                <w:rFonts w:hint="eastAsia"/>
                <w:color w:val="auto"/>
                <w:lang w:val="en-US" w:eastAsia="zh-CN"/>
              </w:rPr>
              <w:t>22.55</w:t>
            </w:r>
            <w:r>
              <w:rPr>
                <w:color w:val="auto"/>
              </w:rPr>
              <w:t>kg/a，高峰时段以6小时计，油烟产生量约为0.0</w:t>
            </w:r>
            <w:r>
              <w:rPr>
                <w:rFonts w:hint="eastAsia"/>
                <w:color w:val="auto"/>
                <w:lang w:val="en-US" w:eastAsia="zh-CN"/>
              </w:rPr>
              <w:t>112</w:t>
            </w:r>
            <w:r>
              <w:rPr>
                <w:color w:val="auto"/>
              </w:rPr>
              <w:t>kg/h。因此，油烟废气经油烟净化装置过滤后去除率不低于75%，风量不小于6000m</w:t>
            </w:r>
            <w:r>
              <w:rPr>
                <w:color w:val="auto"/>
                <w:vertAlign w:val="superscript"/>
              </w:rPr>
              <w:t>3</w:t>
            </w:r>
            <w:r>
              <w:rPr>
                <w:color w:val="auto"/>
              </w:rPr>
              <w:t>/h，排放量为</w:t>
            </w:r>
            <w:r>
              <w:rPr>
                <w:rFonts w:hint="eastAsia"/>
                <w:color w:val="auto"/>
                <w:lang w:val="en-US" w:eastAsia="zh-CN"/>
              </w:rPr>
              <w:t>0.0028</w:t>
            </w:r>
            <w:r>
              <w:rPr>
                <w:color w:val="auto"/>
              </w:rPr>
              <w:t>kg/d，排放浓度</w:t>
            </w:r>
            <w:r>
              <w:rPr>
                <w:rFonts w:hint="eastAsia"/>
                <w:color w:val="auto"/>
                <w:lang w:val="en-US" w:eastAsia="zh-CN"/>
              </w:rPr>
              <w:t>0.078</w:t>
            </w:r>
            <w:r>
              <w:rPr>
                <w:color w:val="auto"/>
              </w:rPr>
              <w:t>mg/m</w:t>
            </w:r>
            <w:r>
              <w:rPr>
                <w:color w:val="auto"/>
                <w:vertAlign w:val="superscript"/>
              </w:rPr>
              <w:t>3</w:t>
            </w:r>
            <w:r>
              <w:rPr>
                <w:color w:val="auto"/>
              </w:rPr>
              <w:t>小于2.0mg/m</w:t>
            </w:r>
            <w:r>
              <w:rPr>
                <w:color w:val="auto"/>
                <w:vertAlign w:val="superscript"/>
              </w:rPr>
              <w:t>3</w:t>
            </w:r>
            <w:r>
              <w:rPr>
                <w:color w:val="auto"/>
              </w:rPr>
              <w:t>，满足《饮食业油烟排放标准(试行)》(GB18486-2001)中型标准要求。</w:t>
            </w:r>
          </w:p>
          <w:p w14:paraId="6E069F65">
            <w:pPr>
              <w:pStyle w:val="35"/>
              <w:tabs>
                <w:tab w:val="left" w:pos="2040"/>
              </w:tabs>
              <w:spacing w:beforeLines="0" w:afterLines="0"/>
              <w:ind w:firstLine="482"/>
              <w:rPr>
                <w:rFonts w:hint="eastAsia" w:eastAsia="宋体"/>
                <w:b/>
                <w:bCs/>
                <w:color w:val="auto"/>
                <w:szCs w:val="24"/>
                <w:lang w:eastAsia="zh-CN"/>
              </w:rPr>
            </w:pPr>
            <w:r>
              <w:rPr>
                <w:b/>
                <w:bCs/>
                <w:color w:val="auto"/>
                <w:szCs w:val="24"/>
              </w:rPr>
              <w:t>治理措施：</w:t>
            </w:r>
          </w:p>
          <w:p w14:paraId="6F33FCBF">
            <w:pPr>
              <w:widowControl/>
              <w:ind w:firstLine="480"/>
              <w:jc w:val="left"/>
              <w:rPr>
                <w:color w:val="auto"/>
              </w:rPr>
            </w:pPr>
            <w:r>
              <w:rPr>
                <w:color w:val="auto"/>
              </w:rPr>
              <w:t>项目区设置的中型厨房。以电能和天然气作为清洁能源，在烹煮过程中食堂油烟废气产生量较少，项目方拟在厨房内设置1台抽油烟机+油烟净化装置，对油烟进行收集处理后自然稀释扩散，对周围环境影响较小。措施可行。</w:t>
            </w:r>
          </w:p>
          <w:p w14:paraId="110FFA36">
            <w:pPr>
              <w:widowControl/>
              <w:ind w:firstLine="480"/>
              <w:jc w:val="left"/>
              <w:rPr>
                <w:color w:val="auto"/>
              </w:rPr>
            </w:pPr>
            <w:r>
              <w:rPr>
                <w:rFonts w:hint="eastAsia"/>
                <w:color w:val="auto"/>
              </w:rPr>
              <w:t>（4）传染病房楼含病原微生物废气:病人所在病房内空气中会携带病菌。通过紫外线灯及等离子空气消毒机进行消毒，感染科内空气向外排放需通过风机吸气经空气安全处置设施（高效过滤器）过滤后排放到室外。</w:t>
            </w:r>
          </w:p>
          <w:p w14:paraId="3249220F">
            <w:pPr>
              <w:widowControl/>
              <w:ind w:firstLine="480"/>
              <w:jc w:val="left"/>
              <w:rPr>
                <w:color w:val="auto"/>
              </w:rPr>
            </w:pPr>
            <w:r>
              <w:rPr>
                <w:rFonts w:hint="eastAsia"/>
                <w:color w:val="auto"/>
              </w:rPr>
              <w:t>（5）检验室含病原微生物废气:检验室操作过程中含病原微生物废气、涉及挥发性有机物使用产生废气。设置通风柜及消毒灭菌柜，废气经收集处理后由管道排入空气中。</w:t>
            </w:r>
          </w:p>
          <w:p w14:paraId="3032A091">
            <w:pPr>
              <w:widowControl/>
              <w:ind w:firstLine="480"/>
              <w:jc w:val="left"/>
              <w:rPr>
                <w:color w:val="auto"/>
              </w:rPr>
            </w:pPr>
            <w:r>
              <w:rPr>
                <w:color w:val="auto"/>
              </w:rPr>
              <w:t>（6）废气污染物产排情况汇总</w:t>
            </w:r>
          </w:p>
          <w:p w14:paraId="07E82935">
            <w:pPr>
              <w:widowControl/>
              <w:ind w:firstLine="480"/>
              <w:jc w:val="left"/>
              <w:rPr>
                <w:color w:val="auto"/>
              </w:rPr>
            </w:pPr>
            <w:r>
              <w:rPr>
                <w:color w:val="auto"/>
              </w:rPr>
              <w:t>综合上文废气污染源强核算过程，本项目废气污染源强核算结果见下表：</w:t>
            </w:r>
          </w:p>
        </w:tc>
      </w:tr>
    </w:tbl>
    <w:p w14:paraId="4F51BEF4">
      <w:pPr>
        <w:ind w:firstLine="0" w:firstLineChars="0"/>
        <w:jc w:val="center"/>
        <w:rPr>
          <w:color w:val="auto"/>
        </w:rPr>
        <w:sectPr>
          <w:pgSz w:w="11906" w:h="16838"/>
          <w:pgMar w:top="1440" w:right="1800" w:bottom="1440" w:left="1800" w:header="851" w:footer="992" w:gutter="0"/>
          <w:pgNumType w:fmt="decimal"/>
          <w:cols w:space="720" w:num="1"/>
          <w:docGrid w:type="lines" w:linePitch="312" w:charSpace="0"/>
        </w:sectPr>
      </w:pPr>
    </w:p>
    <w:tbl>
      <w:tblPr>
        <w:tblStyle w:val="19"/>
        <w:tblW w:w="142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2"/>
        <w:gridCol w:w="13876"/>
      </w:tblGrid>
      <w:tr w14:paraId="0DFA58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96" w:hRule="atLeast"/>
        </w:trPr>
        <w:tc>
          <w:tcPr>
            <w:tcW w:w="392" w:type="dxa"/>
            <w:vAlign w:val="center"/>
          </w:tcPr>
          <w:p w14:paraId="754B15C0">
            <w:pPr>
              <w:ind w:firstLine="0" w:firstLineChars="0"/>
              <w:jc w:val="center"/>
              <w:rPr>
                <w:color w:val="auto"/>
              </w:rPr>
            </w:pPr>
          </w:p>
        </w:tc>
        <w:tc>
          <w:tcPr>
            <w:tcW w:w="13876" w:type="dxa"/>
            <w:vAlign w:val="center"/>
          </w:tcPr>
          <w:p w14:paraId="76F5AD76">
            <w:pPr>
              <w:pStyle w:val="38"/>
              <w:rPr>
                <w:rFonts w:ascii="Times New Roman" w:hAnsi="Times New Roman" w:eastAsia="宋体"/>
                <w:b/>
                <w:bCs/>
                <w:color w:val="auto"/>
              </w:rPr>
            </w:pPr>
          </w:p>
          <w:p w14:paraId="690BD732">
            <w:pPr>
              <w:pStyle w:val="38"/>
              <w:rPr>
                <w:rFonts w:ascii="Times New Roman" w:hAnsi="Times New Roman" w:eastAsia="宋体"/>
                <w:b/>
                <w:bCs/>
                <w:color w:val="auto"/>
              </w:rPr>
            </w:pPr>
            <w:r>
              <w:rPr>
                <w:rFonts w:ascii="Times New Roman" w:hAnsi="Times New Roman" w:eastAsia="宋体"/>
                <w:b/>
                <w:bCs/>
                <w:color w:val="auto"/>
              </w:rPr>
              <w:t>表4-2废气污染物源强核算表</w:t>
            </w:r>
          </w:p>
          <w:tbl>
            <w:tblPr>
              <w:tblStyle w:val="20"/>
              <w:tblW w:w="136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5"/>
              <w:gridCol w:w="684"/>
              <w:gridCol w:w="1218"/>
              <w:gridCol w:w="1063"/>
              <w:gridCol w:w="846"/>
              <w:gridCol w:w="634"/>
              <w:gridCol w:w="1115"/>
              <w:gridCol w:w="1117"/>
              <w:gridCol w:w="697"/>
              <w:gridCol w:w="837"/>
              <w:gridCol w:w="696"/>
              <w:gridCol w:w="1115"/>
              <w:gridCol w:w="1115"/>
              <w:gridCol w:w="1117"/>
              <w:gridCol w:w="837"/>
            </w:tblGrid>
            <w:tr w14:paraId="4077D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05" w:type="dxa"/>
                  <w:vMerge w:val="restart"/>
                  <w:vAlign w:val="center"/>
                </w:tcPr>
                <w:p w14:paraId="51F0B37E">
                  <w:pPr>
                    <w:pStyle w:val="38"/>
                    <w:spacing w:line="240" w:lineRule="auto"/>
                    <w:rPr>
                      <w:rFonts w:ascii="Times New Roman" w:hAnsi="Times New Roman" w:eastAsia="宋体"/>
                      <w:b/>
                      <w:bCs/>
                      <w:color w:val="auto"/>
                    </w:rPr>
                  </w:pPr>
                  <w:r>
                    <w:rPr>
                      <w:rFonts w:ascii="Times New Roman" w:hAnsi="Times New Roman" w:eastAsia="宋体"/>
                      <w:b/>
                      <w:bCs/>
                      <w:color w:val="auto"/>
                    </w:rPr>
                    <w:t>工序</w:t>
                  </w:r>
                </w:p>
              </w:tc>
              <w:tc>
                <w:tcPr>
                  <w:tcW w:w="684" w:type="dxa"/>
                  <w:vMerge w:val="restart"/>
                  <w:vAlign w:val="center"/>
                </w:tcPr>
                <w:p w14:paraId="3C8E919F">
                  <w:pPr>
                    <w:pStyle w:val="38"/>
                    <w:spacing w:line="240" w:lineRule="auto"/>
                    <w:rPr>
                      <w:rFonts w:ascii="Times New Roman" w:hAnsi="Times New Roman" w:eastAsia="宋体"/>
                      <w:b/>
                      <w:bCs/>
                      <w:color w:val="auto"/>
                    </w:rPr>
                  </w:pPr>
                  <w:r>
                    <w:rPr>
                      <w:rFonts w:ascii="Times New Roman" w:hAnsi="Times New Roman" w:eastAsia="宋体"/>
                      <w:b/>
                      <w:bCs/>
                      <w:color w:val="auto"/>
                    </w:rPr>
                    <w:t>装置</w:t>
                  </w:r>
                </w:p>
              </w:tc>
              <w:tc>
                <w:tcPr>
                  <w:tcW w:w="1218" w:type="dxa"/>
                  <w:vMerge w:val="restart"/>
                  <w:vAlign w:val="center"/>
                </w:tcPr>
                <w:p w14:paraId="063BF283">
                  <w:pPr>
                    <w:pStyle w:val="38"/>
                    <w:spacing w:line="240" w:lineRule="auto"/>
                    <w:rPr>
                      <w:rFonts w:ascii="Times New Roman" w:hAnsi="Times New Roman" w:eastAsia="宋体"/>
                      <w:b/>
                      <w:bCs/>
                      <w:color w:val="auto"/>
                    </w:rPr>
                  </w:pPr>
                  <w:r>
                    <w:rPr>
                      <w:rFonts w:ascii="Times New Roman" w:hAnsi="Times New Roman" w:eastAsia="宋体"/>
                      <w:b/>
                      <w:bCs/>
                      <w:color w:val="auto"/>
                    </w:rPr>
                    <w:t>污染源</w:t>
                  </w:r>
                </w:p>
              </w:tc>
              <w:tc>
                <w:tcPr>
                  <w:tcW w:w="1063" w:type="dxa"/>
                  <w:vMerge w:val="restart"/>
                  <w:vAlign w:val="center"/>
                </w:tcPr>
                <w:p w14:paraId="2EEFD3E9">
                  <w:pPr>
                    <w:pStyle w:val="38"/>
                    <w:spacing w:line="240" w:lineRule="auto"/>
                    <w:rPr>
                      <w:rFonts w:ascii="Times New Roman" w:hAnsi="Times New Roman" w:eastAsia="宋体"/>
                      <w:b/>
                      <w:bCs/>
                      <w:color w:val="auto"/>
                    </w:rPr>
                  </w:pPr>
                  <w:r>
                    <w:rPr>
                      <w:rFonts w:ascii="Times New Roman" w:hAnsi="Times New Roman" w:eastAsia="宋体"/>
                      <w:b/>
                      <w:bCs/>
                      <w:color w:val="auto"/>
                    </w:rPr>
                    <w:t>污染物</w:t>
                  </w:r>
                </w:p>
              </w:tc>
              <w:tc>
                <w:tcPr>
                  <w:tcW w:w="3712" w:type="dxa"/>
                  <w:gridSpan w:val="4"/>
                  <w:vAlign w:val="center"/>
                </w:tcPr>
                <w:p w14:paraId="76AABE4E">
                  <w:pPr>
                    <w:pStyle w:val="38"/>
                    <w:spacing w:line="240" w:lineRule="auto"/>
                    <w:rPr>
                      <w:rFonts w:ascii="Times New Roman" w:hAnsi="Times New Roman" w:eastAsia="宋体"/>
                      <w:b/>
                      <w:bCs/>
                      <w:color w:val="auto"/>
                    </w:rPr>
                  </w:pPr>
                  <w:r>
                    <w:rPr>
                      <w:rFonts w:ascii="Times New Roman" w:hAnsi="Times New Roman" w:eastAsia="宋体"/>
                      <w:b/>
                      <w:bCs/>
                      <w:color w:val="auto"/>
                    </w:rPr>
                    <w:t>污染物产生量</w:t>
                  </w:r>
                </w:p>
              </w:tc>
              <w:tc>
                <w:tcPr>
                  <w:tcW w:w="1534" w:type="dxa"/>
                  <w:gridSpan w:val="2"/>
                  <w:vAlign w:val="center"/>
                </w:tcPr>
                <w:p w14:paraId="2BDC45D2">
                  <w:pPr>
                    <w:pStyle w:val="38"/>
                    <w:spacing w:line="240" w:lineRule="auto"/>
                    <w:rPr>
                      <w:rFonts w:ascii="Times New Roman" w:hAnsi="Times New Roman" w:eastAsia="宋体"/>
                      <w:b/>
                      <w:bCs/>
                      <w:color w:val="auto"/>
                    </w:rPr>
                  </w:pPr>
                  <w:r>
                    <w:rPr>
                      <w:rFonts w:ascii="Times New Roman" w:hAnsi="Times New Roman" w:eastAsia="宋体"/>
                      <w:b/>
                      <w:bCs/>
                      <w:color w:val="auto"/>
                    </w:rPr>
                    <w:t>治理措施</w:t>
                  </w:r>
                </w:p>
              </w:tc>
              <w:tc>
                <w:tcPr>
                  <w:tcW w:w="4043" w:type="dxa"/>
                  <w:gridSpan w:val="4"/>
                  <w:vAlign w:val="center"/>
                </w:tcPr>
                <w:p w14:paraId="6550C12B">
                  <w:pPr>
                    <w:pStyle w:val="38"/>
                    <w:spacing w:line="240" w:lineRule="auto"/>
                    <w:rPr>
                      <w:rFonts w:ascii="Times New Roman" w:hAnsi="Times New Roman" w:eastAsia="宋体"/>
                      <w:b/>
                      <w:bCs/>
                      <w:color w:val="auto"/>
                    </w:rPr>
                  </w:pPr>
                  <w:r>
                    <w:rPr>
                      <w:rFonts w:ascii="Times New Roman" w:hAnsi="Times New Roman" w:eastAsia="宋体"/>
                      <w:b/>
                      <w:bCs/>
                      <w:color w:val="auto"/>
                    </w:rPr>
                    <w:t>污染物排放</w:t>
                  </w:r>
                </w:p>
              </w:tc>
              <w:tc>
                <w:tcPr>
                  <w:tcW w:w="837" w:type="dxa"/>
                  <w:vMerge w:val="restart"/>
                  <w:vAlign w:val="center"/>
                </w:tcPr>
                <w:p w14:paraId="16D7CF61">
                  <w:pPr>
                    <w:pStyle w:val="38"/>
                    <w:spacing w:line="240" w:lineRule="auto"/>
                    <w:rPr>
                      <w:rFonts w:ascii="Times New Roman" w:hAnsi="Times New Roman" w:eastAsia="宋体"/>
                      <w:b/>
                      <w:bCs/>
                      <w:color w:val="auto"/>
                    </w:rPr>
                  </w:pPr>
                  <w:r>
                    <w:rPr>
                      <w:rFonts w:ascii="Times New Roman" w:hAnsi="Times New Roman" w:eastAsia="宋体"/>
                      <w:b/>
                      <w:bCs/>
                      <w:color w:val="auto"/>
                    </w:rPr>
                    <w:t>排放时间（h）</w:t>
                  </w:r>
                </w:p>
              </w:tc>
            </w:tr>
            <w:tr w14:paraId="0EED5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05" w:type="dxa"/>
                  <w:vMerge w:val="continue"/>
                  <w:vAlign w:val="center"/>
                </w:tcPr>
                <w:p w14:paraId="4A1853F8">
                  <w:pPr>
                    <w:pStyle w:val="38"/>
                    <w:spacing w:line="240" w:lineRule="auto"/>
                    <w:rPr>
                      <w:rFonts w:ascii="Times New Roman" w:hAnsi="Times New Roman" w:eastAsia="宋体"/>
                      <w:b/>
                      <w:bCs/>
                      <w:color w:val="auto"/>
                    </w:rPr>
                  </w:pPr>
                </w:p>
              </w:tc>
              <w:tc>
                <w:tcPr>
                  <w:tcW w:w="684" w:type="dxa"/>
                  <w:vMerge w:val="continue"/>
                  <w:vAlign w:val="center"/>
                </w:tcPr>
                <w:p w14:paraId="2C0BEA3D">
                  <w:pPr>
                    <w:pStyle w:val="38"/>
                    <w:spacing w:line="240" w:lineRule="auto"/>
                    <w:rPr>
                      <w:rFonts w:ascii="Times New Roman" w:hAnsi="Times New Roman" w:eastAsia="宋体"/>
                      <w:b/>
                      <w:bCs/>
                      <w:color w:val="auto"/>
                    </w:rPr>
                  </w:pPr>
                </w:p>
              </w:tc>
              <w:tc>
                <w:tcPr>
                  <w:tcW w:w="1218" w:type="dxa"/>
                  <w:vMerge w:val="continue"/>
                  <w:vAlign w:val="center"/>
                </w:tcPr>
                <w:p w14:paraId="387EF055">
                  <w:pPr>
                    <w:pStyle w:val="38"/>
                    <w:spacing w:line="240" w:lineRule="auto"/>
                    <w:rPr>
                      <w:rFonts w:ascii="Times New Roman" w:hAnsi="Times New Roman" w:eastAsia="宋体"/>
                      <w:b/>
                      <w:bCs/>
                      <w:color w:val="auto"/>
                    </w:rPr>
                  </w:pPr>
                </w:p>
              </w:tc>
              <w:tc>
                <w:tcPr>
                  <w:tcW w:w="1063" w:type="dxa"/>
                  <w:vMerge w:val="continue"/>
                  <w:vAlign w:val="center"/>
                </w:tcPr>
                <w:p w14:paraId="5F52F30A">
                  <w:pPr>
                    <w:pStyle w:val="38"/>
                    <w:spacing w:line="240" w:lineRule="auto"/>
                    <w:rPr>
                      <w:rFonts w:ascii="Times New Roman" w:hAnsi="Times New Roman" w:eastAsia="宋体"/>
                      <w:b/>
                      <w:bCs/>
                      <w:color w:val="auto"/>
                    </w:rPr>
                  </w:pPr>
                </w:p>
              </w:tc>
              <w:tc>
                <w:tcPr>
                  <w:tcW w:w="846" w:type="dxa"/>
                  <w:vAlign w:val="center"/>
                </w:tcPr>
                <w:p w14:paraId="42C0E645">
                  <w:pPr>
                    <w:pStyle w:val="38"/>
                    <w:spacing w:line="240" w:lineRule="auto"/>
                    <w:rPr>
                      <w:rFonts w:ascii="Times New Roman" w:hAnsi="Times New Roman" w:eastAsia="宋体"/>
                      <w:b/>
                      <w:bCs/>
                      <w:color w:val="auto"/>
                    </w:rPr>
                  </w:pPr>
                  <w:r>
                    <w:rPr>
                      <w:rFonts w:ascii="Times New Roman" w:hAnsi="Times New Roman" w:eastAsia="宋体"/>
                      <w:b/>
                      <w:bCs/>
                      <w:color w:val="auto"/>
                    </w:rPr>
                    <w:t>核算方法</w:t>
                  </w:r>
                </w:p>
              </w:tc>
              <w:tc>
                <w:tcPr>
                  <w:tcW w:w="634" w:type="dxa"/>
                  <w:vAlign w:val="center"/>
                </w:tcPr>
                <w:p w14:paraId="63A236C3">
                  <w:pPr>
                    <w:pStyle w:val="38"/>
                    <w:spacing w:line="240" w:lineRule="auto"/>
                    <w:rPr>
                      <w:rFonts w:ascii="Times New Roman" w:hAnsi="Times New Roman" w:eastAsia="宋体"/>
                      <w:b/>
                      <w:bCs/>
                      <w:color w:val="auto"/>
                    </w:rPr>
                  </w:pPr>
                  <w:r>
                    <w:rPr>
                      <w:rFonts w:ascii="Times New Roman" w:hAnsi="Times New Roman" w:eastAsia="宋体"/>
                      <w:b/>
                      <w:bCs/>
                      <w:color w:val="auto"/>
                    </w:rPr>
                    <w:t>废气产生量（t/a）</w:t>
                  </w:r>
                </w:p>
              </w:tc>
              <w:tc>
                <w:tcPr>
                  <w:tcW w:w="1115" w:type="dxa"/>
                  <w:vAlign w:val="center"/>
                </w:tcPr>
                <w:p w14:paraId="07ADE83A">
                  <w:pPr>
                    <w:pStyle w:val="38"/>
                    <w:spacing w:line="240" w:lineRule="auto"/>
                    <w:rPr>
                      <w:rFonts w:ascii="Times New Roman" w:hAnsi="Times New Roman" w:eastAsia="宋体"/>
                      <w:b/>
                      <w:bCs/>
                      <w:color w:val="auto"/>
                    </w:rPr>
                  </w:pPr>
                  <w:r>
                    <w:rPr>
                      <w:rFonts w:ascii="Times New Roman" w:hAnsi="Times New Roman" w:eastAsia="宋体"/>
                      <w:b/>
                      <w:bCs/>
                      <w:color w:val="auto"/>
                    </w:rPr>
                    <w:t>产生浓度（mg/m</w:t>
                  </w:r>
                  <w:r>
                    <w:rPr>
                      <w:rFonts w:ascii="Times New Roman" w:hAnsi="Times New Roman" w:eastAsia="宋体"/>
                      <w:b/>
                      <w:bCs/>
                      <w:color w:val="auto"/>
                      <w:vertAlign w:val="superscript"/>
                    </w:rPr>
                    <w:t>3</w:t>
                  </w:r>
                  <w:r>
                    <w:rPr>
                      <w:rFonts w:ascii="Times New Roman" w:hAnsi="Times New Roman" w:eastAsia="宋体"/>
                      <w:b/>
                      <w:bCs/>
                      <w:color w:val="auto"/>
                    </w:rPr>
                    <w:t>）</w:t>
                  </w:r>
                </w:p>
              </w:tc>
              <w:tc>
                <w:tcPr>
                  <w:tcW w:w="1117" w:type="dxa"/>
                  <w:vAlign w:val="center"/>
                </w:tcPr>
                <w:p w14:paraId="02656387">
                  <w:pPr>
                    <w:pStyle w:val="38"/>
                    <w:spacing w:line="240" w:lineRule="auto"/>
                    <w:rPr>
                      <w:rFonts w:ascii="Times New Roman" w:hAnsi="Times New Roman" w:eastAsia="宋体"/>
                      <w:b/>
                      <w:bCs/>
                      <w:color w:val="auto"/>
                    </w:rPr>
                  </w:pPr>
                  <w:r>
                    <w:rPr>
                      <w:rFonts w:ascii="Times New Roman" w:hAnsi="Times New Roman" w:eastAsia="宋体"/>
                      <w:b/>
                      <w:bCs/>
                      <w:color w:val="auto"/>
                    </w:rPr>
                    <w:t>产生速率（kg/h）</w:t>
                  </w:r>
                </w:p>
              </w:tc>
              <w:tc>
                <w:tcPr>
                  <w:tcW w:w="697" w:type="dxa"/>
                  <w:vAlign w:val="center"/>
                </w:tcPr>
                <w:p w14:paraId="1ECBEB66">
                  <w:pPr>
                    <w:pStyle w:val="38"/>
                    <w:spacing w:line="240" w:lineRule="auto"/>
                    <w:rPr>
                      <w:rFonts w:ascii="Times New Roman" w:hAnsi="Times New Roman" w:eastAsia="宋体"/>
                      <w:b/>
                      <w:bCs/>
                      <w:color w:val="auto"/>
                    </w:rPr>
                  </w:pPr>
                  <w:r>
                    <w:rPr>
                      <w:rFonts w:ascii="Times New Roman" w:hAnsi="Times New Roman" w:eastAsia="宋体"/>
                      <w:b/>
                      <w:bCs/>
                      <w:color w:val="auto"/>
                    </w:rPr>
                    <w:t>工艺</w:t>
                  </w:r>
                </w:p>
              </w:tc>
              <w:tc>
                <w:tcPr>
                  <w:tcW w:w="837" w:type="dxa"/>
                  <w:vAlign w:val="center"/>
                </w:tcPr>
                <w:p w14:paraId="42B4FCFD">
                  <w:pPr>
                    <w:pStyle w:val="38"/>
                    <w:spacing w:line="240" w:lineRule="auto"/>
                    <w:rPr>
                      <w:rFonts w:ascii="Times New Roman" w:hAnsi="Times New Roman" w:eastAsia="宋体"/>
                      <w:b/>
                      <w:bCs/>
                      <w:color w:val="auto"/>
                    </w:rPr>
                  </w:pPr>
                  <w:r>
                    <w:rPr>
                      <w:rFonts w:ascii="Times New Roman" w:hAnsi="Times New Roman" w:eastAsia="宋体"/>
                      <w:b/>
                      <w:bCs/>
                      <w:color w:val="auto"/>
                    </w:rPr>
                    <w:t>效率（%）</w:t>
                  </w:r>
                </w:p>
              </w:tc>
              <w:tc>
                <w:tcPr>
                  <w:tcW w:w="696" w:type="dxa"/>
                  <w:vAlign w:val="center"/>
                </w:tcPr>
                <w:p w14:paraId="3EE62D94">
                  <w:pPr>
                    <w:pStyle w:val="38"/>
                    <w:spacing w:line="240" w:lineRule="auto"/>
                    <w:rPr>
                      <w:rFonts w:ascii="Times New Roman" w:hAnsi="Times New Roman" w:eastAsia="宋体"/>
                      <w:b/>
                      <w:bCs/>
                      <w:color w:val="auto"/>
                    </w:rPr>
                  </w:pPr>
                  <w:r>
                    <w:rPr>
                      <w:rFonts w:ascii="Times New Roman" w:hAnsi="Times New Roman" w:eastAsia="宋体"/>
                      <w:b/>
                      <w:bCs/>
                      <w:color w:val="auto"/>
                    </w:rPr>
                    <w:t>核算方法</w:t>
                  </w:r>
                </w:p>
              </w:tc>
              <w:tc>
                <w:tcPr>
                  <w:tcW w:w="1115" w:type="dxa"/>
                  <w:vAlign w:val="center"/>
                </w:tcPr>
                <w:p w14:paraId="121D65C0">
                  <w:pPr>
                    <w:pStyle w:val="38"/>
                    <w:spacing w:line="240" w:lineRule="auto"/>
                    <w:rPr>
                      <w:rFonts w:ascii="Times New Roman" w:hAnsi="Times New Roman" w:eastAsia="宋体"/>
                      <w:b/>
                      <w:bCs/>
                      <w:color w:val="auto"/>
                    </w:rPr>
                  </w:pPr>
                  <w:r>
                    <w:rPr>
                      <w:rFonts w:ascii="Times New Roman" w:hAnsi="Times New Roman" w:eastAsia="宋体"/>
                      <w:b/>
                      <w:bCs/>
                      <w:color w:val="auto"/>
                    </w:rPr>
                    <w:t>废气排放量（t/a）</w:t>
                  </w:r>
                </w:p>
              </w:tc>
              <w:tc>
                <w:tcPr>
                  <w:tcW w:w="1115" w:type="dxa"/>
                  <w:vAlign w:val="center"/>
                </w:tcPr>
                <w:p w14:paraId="4E36CBC9">
                  <w:pPr>
                    <w:pStyle w:val="38"/>
                    <w:spacing w:line="240" w:lineRule="auto"/>
                    <w:rPr>
                      <w:rFonts w:ascii="Times New Roman" w:hAnsi="Times New Roman" w:eastAsia="宋体"/>
                      <w:b/>
                      <w:bCs/>
                      <w:color w:val="auto"/>
                    </w:rPr>
                  </w:pPr>
                  <w:r>
                    <w:rPr>
                      <w:rFonts w:ascii="Times New Roman" w:hAnsi="Times New Roman" w:eastAsia="宋体"/>
                      <w:b/>
                      <w:bCs/>
                      <w:color w:val="auto"/>
                    </w:rPr>
                    <w:t>排放浓度（mg/m</w:t>
                  </w:r>
                  <w:r>
                    <w:rPr>
                      <w:rFonts w:ascii="Times New Roman" w:hAnsi="Times New Roman" w:eastAsia="宋体"/>
                      <w:b/>
                      <w:bCs/>
                      <w:color w:val="auto"/>
                      <w:vertAlign w:val="superscript"/>
                    </w:rPr>
                    <w:t>3</w:t>
                  </w:r>
                  <w:r>
                    <w:rPr>
                      <w:rFonts w:ascii="Times New Roman" w:hAnsi="Times New Roman" w:eastAsia="宋体"/>
                      <w:b/>
                      <w:bCs/>
                      <w:color w:val="auto"/>
                    </w:rPr>
                    <w:t>）</w:t>
                  </w:r>
                </w:p>
              </w:tc>
              <w:tc>
                <w:tcPr>
                  <w:tcW w:w="1117" w:type="dxa"/>
                  <w:vAlign w:val="center"/>
                </w:tcPr>
                <w:p w14:paraId="4D7E0B8E">
                  <w:pPr>
                    <w:pStyle w:val="38"/>
                    <w:spacing w:line="240" w:lineRule="auto"/>
                    <w:rPr>
                      <w:rFonts w:ascii="Times New Roman" w:hAnsi="Times New Roman" w:eastAsia="宋体"/>
                      <w:b/>
                      <w:bCs/>
                      <w:color w:val="auto"/>
                    </w:rPr>
                  </w:pPr>
                  <w:r>
                    <w:rPr>
                      <w:rFonts w:ascii="Times New Roman" w:hAnsi="Times New Roman" w:eastAsia="宋体"/>
                      <w:b/>
                      <w:bCs/>
                      <w:color w:val="auto"/>
                    </w:rPr>
                    <w:t>产生速率（kg/h）</w:t>
                  </w:r>
                </w:p>
              </w:tc>
              <w:tc>
                <w:tcPr>
                  <w:tcW w:w="837" w:type="dxa"/>
                  <w:vMerge w:val="continue"/>
                  <w:vAlign w:val="center"/>
                </w:tcPr>
                <w:p w14:paraId="305E97BD">
                  <w:pPr>
                    <w:pStyle w:val="38"/>
                    <w:rPr>
                      <w:rFonts w:ascii="Times New Roman" w:hAnsi="Times New Roman" w:eastAsia="宋体"/>
                      <w:b/>
                      <w:bCs/>
                      <w:color w:val="auto"/>
                    </w:rPr>
                  </w:pPr>
                </w:p>
              </w:tc>
            </w:tr>
            <w:tr w14:paraId="3ADAE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5" w:type="dxa"/>
                  <w:vMerge w:val="restart"/>
                  <w:vAlign w:val="center"/>
                </w:tcPr>
                <w:p w14:paraId="198F2019">
                  <w:pPr>
                    <w:pStyle w:val="2"/>
                    <w:jc w:val="center"/>
                    <w:rPr>
                      <w:color w:val="auto"/>
                      <w:sz w:val="21"/>
                      <w:szCs w:val="21"/>
                    </w:rPr>
                  </w:pPr>
                  <w:r>
                    <w:rPr>
                      <w:color w:val="auto"/>
                      <w:sz w:val="21"/>
                      <w:szCs w:val="21"/>
                    </w:rPr>
                    <w:t>污水处理</w:t>
                  </w:r>
                </w:p>
              </w:tc>
              <w:tc>
                <w:tcPr>
                  <w:tcW w:w="684" w:type="dxa"/>
                  <w:vMerge w:val="restart"/>
                  <w:vAlign w:val="center"/>
                </w:tcPr>
                <w:p w14:paraId="5144A542">
                  <w:pPr>
                    <w:pStyle w:val="2"/>
                    <w:jc w:val="center"/>
                    <w:rPr>
                      <w:color w:val="auto"/>
                      <w:sz w:val="21"/>
                      <w:szCs w:val="21"/>
                    </w:rPr>
                  </w:pPr>
                  <w:r>
                    <w:rPr>
                      <w:color w:val="auto"/>
                      <w:sz w:val="21"/>
                      <w:szCs w:val="21"/>
                    </w:rPr>
                    <w:t>污水处理站</w:t>
                  </w:r>
                </w:p>
              </w:tc>
              <w:tc>
                <w:tcPr>
                  <w:tcW w:w="1218" w:type="dxa"/>
                  <w:vMerge w:val="restart"/>
                  <w:vAlign w:val="center"/>
                </w:tcPr>
                <w:p w14:paraId="4D462601">
                  <w:pPr>
                    <w:pStyle w:val="2"/>
                    <w:jc w:val="center"/>
                    <w:rPr>
                      <w:color w:val="auto"/>
                      <w:sz w:val="21"/>
                      <w:szCs w:val="21"/>
                    </w:rPr>
                  </w:pPr>
                  <w:r>
                    <w:rPr>
                      <w:color w:val="auto"/>
                      <w:sz w:val="21"/>
                      <w:szCs w:val="21"/>
                    </w:rPr>
                    <w:t>无组织排放</w:t>
                  </w:r>
                </w:p>
              </w:tc>
              <w:tc>
                <w:tcPr>
                  <w:tcW w:w="1063" w:type="dxa"/>
                  <w:vAlign w:val="center"/>
                </w:tcPr>
                <w:p w14:paraId="671C636C">
                  <w:pPr>
                    <w:pStyle w:val="2"/>
                    <w:jc w:val="center"/>
                    <w:rPr>
                      <w:color w:val="auto"/>
                      <w:sz w:val="21"/>
                      <w:szCs w:val="21"/>
                    </w:rPr>
                  </w:pPr>
                  <w:r>
                    <w:rPr>
                      <w:color w:val="auto"/>
                      <w:sz w:val="21"/>
                      <w:szCs w:val="21"/>
                    </w:rPr>
                    <w:t>NH</w:t>
                  </w:r>
                  <w:r>
                    <w:rPr>
                      <w:color w:val="auto"/>
                      <w:sz w:val="21"/>
                      <w:szCs w:val="21"/>
                      <w:vertAlign w:val="subscript"/>
                    </w:rPr>
                    <w:t>3</w:t>
                  </w:r>
                </w:p>
              </w:tc>
              <w:tc>
                <w:tcPr>
                  <w:tcW w:w="846" w:type="dxa"/>
                  <w:vMerge w:val="restart"/>
                  <w:vAlign w:val="center"/>
                </w:tcPr>
                <w:p w14:paraId="1F29562B">
                  <w:pPr>
                    <w:pStyle w:val="2"/>
                    <w:jc w:val="center"/>
                    <w:rPr>
                      <w:color w:val="auto"/>
                      <w:sz w:val="21"/>
                      <w:szCs w:val="21"/>
                    </w:rPr>
                  </w:pPr>
                  <w:r>
                    <w:rPr>
                      <w:color w:val="auto"/>
                      <w:sz w:val="21"/>
                      <w:szCs w:val="21"/>
                    </w:rPr>
                    <w:t>产污系数法</w:t>
                  </w:r>
                </w:p>
              </w:tc>
              <w:tc>
                <w:tcPr>
                  <w:tcW w:w="634" w:type="dxa"/>
                  <w:vAlign w:val="center"/>
                </w:tcPr>
                <w:p w14:paraId="670950F3">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0.00415</w:t>
                  </w:r>
                </w:p>
              </w:tc>
              <w:tc>
                <w:tcPr>
                  <w:tcW w:w="1115" w:type="dxa"/>
                  <w:vAlign w:val="center"/>
                </w:tcPr>
                <w:p w14:paraId="1F19E579">
                  <w:pPr>
                    <w:tabs>
                      <w:tab w:val="left" w:pos="2040"/>
                    </w:tabs>
                    <w:spacing w:line="240" w:lineRule="auto"/>
                    <w:ind w:firstLine="0" w:firstLineChars="0"/>
                    <w:jc w:val="center"/>
                    <w:rPr>
                      <w:color w:val="auto"/>
                      <w:sz w:val="21"/>
                      <w:szCs w:val="21"/>
                    </w:rPr>
                  </w:pPr>
                  <w:r>
                    <w:rPr>
                      <w:color w:val="auto"/>
                      <w:sz w:val="21"/>
                      <w:szCs w:val="21"/>
                    </w:rPr>
                    <w:t>-</w:t>
                  </w:r>
                </w:p>
              </w:tc>
              <w:tc>
                <w:tcPr>
                  <w:tcW w:w="1117" w:type="dxa"/>
                  <w:vAlign w:val="center"/>
                </w:tcPr>
                <w:p w14:paraId="30B821B9">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4.74</w:t>
                  </w:r>
                  <w:r>
                    <w:rPr>
                      <w:color w:val="auto"/>
                      <w:sz w:val="21"/>
                      <w:szCs w:val="21"/>
                    </w:rPr>
                    <w:t>×10</w:t>
                  </w:r>
                  <w:r>
                    <w:rPr>
                      <w:color w:val="auto"/>
                      <w:sz w:val="21"/>
                      <w:szCs w:val="21"/>
                      <w:vertAlign w:val="superscript"/>
                    </w:rPr>
                    <w:t>-4</w:t>
                  </w:r>
                </w:p>
              </w:tc>
              <w:tc>
                <w:tcPr>
                  <w:tcW w:w="697" w:type="dxa"/>
                  <w:vAlign w:val="center"/>
                </w:tcPr>
                <w:p w14:paraId="042E2CA8">
                  <w:pPr>
                    <w:tabs>
                      <w:tab w:val="left" w:pos="2040"/>
                    </w:tabs>
                    <w:spacing w:line="240" w:lineRule="auto"/>
                    <w:ind w:firstLine="0" w:firstLineChars="0"/>
                    <w:jc w:val="center"/>
                    <w:rPr>
                      <w:color w:val="auto"/>
                      <w:sz w:val="21"/>
                      <w:szCs w:val="21"/>
                    </w:rPr>
                  </w:pPr>
                  <w:r>
                    <w:rPr>
                      <w:color w:val="auto"/>
                      <w:sz w:val="21"/>
                      <w:szCs w:val="21"/>
                    </w:rPr>
                    <w:t>-</w:t>
                  </w:r>
                </w:p>
              </w:tc>
              <w:tc>
                <w:tcPr>
                  <w:tcW w:w="837" w:type="dxa"/>
                  <w:vAlign w:val="center"/>
                </w:tcPr>
                <w:p w14:paraId="455DC343">
                  <w:pPr>
                    <w:pStyle w:val="2"/>
                    <w:jc w:val="center"/>
                    <w:rPr>
                      <w:color w:val="auto"/>
                      <w:sz w:val="21"/>
                      <w:szCs w:val="21"/>
                    </w:rPr>
                  </w:pPr>
                  <w:r>
                    <w:rPr>
                      <w:color w:val="auto"/>
                      <w:sz w:val="21"/>
                      <w:szCs w:val="21"/>
                    </w:rPr>
                    <w:t>-</w:t>
                  </w:r>
                </w:p>
              </w:tc>
              <w:tc>
                <w:tcPr>
                  <w:tcW w:w="696" w:type="dxa"/>
                  <w:vMerge w:val="restart"/>
                  <w:vAlign w:val="center"/>
                </w:tcPr>
                <w:p w14:paraId="6EDD772E">
                  <w:pPr>
                    <w:pStyle w:val="2"/>
                    <w:jc w:val="center"/>
                    <w:rPr>
                      <w:color w:val="auto"/>
                      <w:sz w:val="21"/>
                      <w:szCs w:val="21"/>
                    </w:rPr>
                  </w:pPr>
                  <w:r>
                    <w:rPr>
                      <w:color w:val="auto"/>
                      <w:sz w:val="21"/>
                      <w:szCs w:val="21"/>
                    </w:rPr>
                    <w:t>产污系数法</w:t>
                  </w:r>
                </w:p>
              </w:tc>
              <w:tc>
                <w:tcPr>
                  <w:tcW w:w="1115" w:type="dxa"/>
                  <w:vAlign w:val="center"/>
                </w:tcPr>
                <w:p w14:paraId="2BAEA686">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0.00415</w:t>
                  </w:r>
                </w:p>
              </w:tc>
              <w:tc>
                <w:tcPr>
                  <w:tcW w:w="1115" w:type="dxa"/>
                  <w:vAlign w:val="center"/>
                </w:tcPr>
                <w:p w14:paraId="4A3AD7D4">
                  <w:pPr>
                    <w:tabs>
                      <w:tab w:val="left" w:pos="2040"/>
                    </w:tabs>
                    <w:spacing w:line="240" w:lineRule="auto"/>
                    <w:ind w:firstLine="0" w:firstLineChars="0"/>
                    <w:jc w:val="center"/>
                    <w:rPr>
                      <w:color w:val="auto"/>
                      <w:sz w:val="21"/>
                      <w:szCs w:val="21"/>
                    </w:rPr>
                  </w:pPr>
                  <w:r>
                    <w:rPr>
                      <w:color w:val="auto"/>
                      <w:sz w:val="21"/>
                      <w:szCs w:val="21"/>
                    </w:rPr>
                    <w:t>-</w:t>
                  </w:r>
                </w:p>
              </w:tc>
              <w:tc>
                <w:tcPr>
                  <w:tcW w:w="1117" w:type="dxa"/>
                  <w:vAlign w:val="center"/>
                </w:tcPr>
                <w:p w14:paraId="1E7AF625">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4.74</w:t>
                  </w:r>
                  <w:r>
                    <w:rPr>
                      <w:color w:val="auto"/>
                      <w:sz w:val="21"/>
                      <w:szCs w:val="21"/>
                    </w:rPr>
                    <w:t>×10</w:t>
                  </w:r>
                  <w:r>
                    <w:rPr>
                      <w:color w:val="auto"/>
                      <w:sz w:val="21"/>
                      <w:szCs w:val="21"/>
                      <w:vertAlign w:val="superscript"/>
                    </w:rPr>
                    <w:t>-4</w:t>
                  </w:r>
                </w:p>
              </w:tc>
              <w:tc>
                <w:tcPr>
                  <w:tcW w:w="837" w:type="dxa"/>
                  <w:vMerge w:val="restart"/>
                  <w:vAlign w:val="center"/>
                </w:tcPr>
                <w:p w14:paraId="6B86F769">
                  <w:pPr>
                    <w:pStyle w:val="2"/>
                    <w:jc w:val="center"/>
                    <w:rPr>
                      <w:b/>
                      <w:bCs/>
                      <w:color w:val="auto"/>
                    </w:rPr>
                  </w:pPr>
                  <w:r>
                    <w:rPr>
                      <w:color w:val="auto"/>
                      <w:sz w:val="21"/>
                      <w:szCs w:val="21"/>
                    </w:rPr>
                    <w:t>8760</w:t>
                  </w:r>
                </w:p>
              </w:tc>
            </w:tr>
            <w:tr w14:paraId="59E4E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5" w:type="dxa"/>
                  <w:vMerge w:val="continue"/>
                  <w:vAlign w:val="center"/>
                </w:tcPr>
                <w:p w14:paraId="03298738">
                  <w:pPr>
                    <w:pStyle w:val="2"/>
                    <w:jc w:val="center"/>
                    <w:rPr>
                      <w:color w:val="auto"/>
                      <w:sz w:val="21"/>
                      <w:szCs w:val="21"/>
                    </w:rPr>
                  </w:pPr>
                </w:p>
              </w:tc>
              <w:tc>
                <w:tcPr>
                  <w:tcW w:w="684" w:type="dxa"/>
                  <w:vMerge w:val="continue"/>
                  <w:vAlign w:val="center"/>
                </w:tcPr>
                <w:p w14:paraId="6871D277">
                  <w:pPr>
                    <w:pStyle w:val="2"/>
                    <w:jc w:val="center"/>
                    <w:rPr>
                      <w:color w:val="auto"/>
                      <w:sz w:val="21"/>
                      <w:szCs w:val="21"/>
                    </w:rPr>
                  </w:pPr>
                </w:p>
              </w:tc>
              <w:tc>
                <w:tcPr>
                  <w:tcW w:w="1218" w:type="dxa"/>
                  <w:vMerge w:val="continue"/>
                  <w:vAlign w:val="center"/>
                </w:tcPr>
                <w:p w14:paraId="3501A3D6">
                  <w:pPr>
                    <w:pStyle w:val="2"/>
                    <w:jc w:val="center"/>
                    <w:rPr>
                      <w:color w:val="auto"/>
                      <w:sz w:val="21"/>
                      <w:szCs w:val="21"/>
                    </w:rPr>
                  </w:pPr>
                </w:p>
              </w:tc>
              <w:tc>
                <w:tcPr>
                  <w:tcW w:w="1063" w:type="dxa"/>
                  <w:vAlign w:val="center"/>
                </w:tcPr>
                <w:p w14:paraId="5C538A7C">
                  <w:pPr>
                    <w:pStyle w:val="2"/>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846" w:type="dxa"/>
                  <w:vMerge w:val="continue"/>
                  <w:vAlign w:val="center"/>
                </w:tcPr>
                <w:p w14:paraId="58FD5603">
                  <w:pPr>
                    <w:pStyle w:val="2"/>
                    <w:jc w:val="center"/>
                    <w:rPr>
                      <w:color w:val="auto"/>
                      <w:sz w:val="21"/>
                      <w:szCs w:val="21"/>
                    </w:rPr>
                  </w:pPr>
                </w:p>
              </w:tc>
              <w:tc>
                <w:tcPr>
                  <w:tcW w:w="634" w:type="dxa"/>
                  <w:vAlign w:val="center"/>
                </w:tcPr>
                <w:p w14:paraId="655823D0">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0.00016</w:t>
                  </w:r>
                </w:p>
              </w:tc>
              <w:tc>
                <w:tcPr>
                  <w:tcW w:w="1115" w:type="dxa"/>
                  <w:vAlign w:val="center"/>
                </w:tcPr>
                <w:p w14:paraId="27E1018B">
                  <w:pPr>
                    <w:pStyle w:val="2"/>
                    <w:jc w:val="center"/>
                    <w:rPr>
                      <w:color w:val="auto"/>
                      <w:sz w:val="21"/>
                      <w:szCs w:val="21"/>
                    </w:rPr>
                  </w:pPr>
                  <w:r>
                    <w:rPr>
                      <w:color w:val="auto"/>
                      <w:sz w:val="21"/>
                      <w:szCs w:val="21"/>
                    </w:rPr>
                    <w:t>-</w:t>
                  </w:r>
                </w:p>
              </w:tc>
              <w:tc>
                <w:tcPr>
                  <w:tcW w:w="1117" w:type="dxa"/>
                  <w:vAlign w:val="center"/>
                </w:tcPr>
                <w:p w14:paraId="7F682799">
                  <w:pPr>
                    <w:pStyle w:val="2"/>
                    <w:jc w:val="center"/>
                    <w:rPr>
                      <w:color w:val="auto"/>
                      <w:sz w:val="21"/>
                      <w:szCs w:val="21"/>
                    </w:rPr>
                  </w:pPr>
                  <w:r>
                    <w:rPr>
                      <w:rFonts w:hint="eastAsia"/>
                      <w:color w:val="auto"/>
                      <w:sz w:val="21"/>
                      <w:szCs w:val="21"/>
                      <w:lang w:val="en-US" w:eastAsia="zh-CN"/>
                    </w:rPr>
                    <w:t>1.83</w:t>
                  </w:r>
                  <w:r>
                    <w:rPr>
                      <w:color w:val="auto"/>
                      <w:sz w:val="21"/>
                      <w:szCs w:val="21"/>
                    </w:rPr>
                    <w:t>×10</w:t>
                  </w:r>
                  <w:r>
                    <w:rPr>
                      <w:color w:val="auto"/>
                      <w:sz w:val="21"/>
                      <w:szCs w:val="21"/>
                      <w:vertAlign w:val="superscript"/>
                    </w:rPr>
                    <w:t>-5</w:t>
                  </w:r>
                </w:p>
              </w:tc>
              <w:tc>
                <w:tcPr>
                  <w:tcW w:w="697" w:type="dxa"/>
                  <w:vAlign w:val="center"/>
                </w:tcPr>
                <w:p w14:paraId="671A5A21">
                  <w:pPr>
                    <w:pStyle w:val="2"/>
                    <w:jc w:val="center"/>
                    <w:rPr>
                      <w:color w:val="auto"/>
                      <w:sz w:val="21"/>
                      <w:szCs w:val="21"/>
                    </w:rPr>
                  </w:pPr>
                  <w:r>
                    <w:rPr>
                      <w:color w:val="auto"/>
                      <w:sz w:val="21"/>
                      <w:szCs w:val="21"/>
                    </w:rPr>
                    <w:t>-</w:t>
                  </w:r>
                </w:p>
              </w:tc>
              <w:tc>
                <w:tcPr>
                  <w:tcW w:w="837" w:type="dxa"/>
                  <w:vAlign w:val="center"/>
                </w:tcPr>
                <w:p w14:paraId="7F6CA71E">
                  <w:pPr>
                    <w:pStyle w:val="2"/>
                    <w:jc w:val="center"/>
                    <w:rPr>
                      <w:color w:val="auto"/>
                      <w:sz w:val="21"/>
                      <w:szCs w:val="21"/>
                    </w:rPr>
                  </w:pPr>
                  <w:r>
                    <w:rPr>
                      <w:color w:val="auto"/>
                      <w:sz w:val="21"/>
                      <w:szCs w:val="21"/>
                    </w:rPr>
                    <w:t>-</w:t>
                  </w:r>
                </w:p>
              </w:tc>
              <w:tc>
                <w:tcPr>
                  <w:tcW w:w="696" w:type="dxa"/>
                  <w:vMerge w:val="continue"/>
                  <w:vAlign w:val="center"/>
                </w:tcPr>
                <w:p w14:paraId="72EAA345">
                  <w:pPr>
                    <w:pStyle w:val="2"/>
                    <w:jc w:val="center"/>
                    <w:rPr>
                      <w:color w:val="auto"/>
                      <w:sz w:val="21"/>
                      <w:szCs w:val="21"/>
                    </w:rPr>
                  </w:pPr>
                </w:p>
              </w:tc>
              <w:tc>
                <w:tcPr>
                  <w:tcW w:w="1115" w:type="dxa"/>
                  <w:vAlign w:val="center"/>
                </w:tcPr>
                <w:p w14:paraId="7BEA67CE">
                  <w:pPr>
                    <w:tabs>
                      <w:tab w:val="left" w:pos="2040"/>
                    </w:tabs>
                    <w:spacing w:line="240" w:lineRule="auto"/>
                    <w:ind w:firstLine="0" w:firstLineChars="0"/>
                    <w:jc w:val="center"/>
                    <w:rPr>
                      <w:color w:val="auto"/>
                      <w:sz w:val="21"/>
                      <w:szCs w:val="21"/>
                    </w:rPr>
                  </w:pPr>
                  <w:r>
                    <w:rPr>
                      <w:rFonts w:hint="eastAsia"/>
                      <w:color w:val="auto"/>
                      <w:sz w:val="21"/>
                      <w:szCs w:val="21"/>
                      <w:lang w:val="en-US" w:eastAsia="zh-CN"/>
                    </w:rPr>
                    <w:t>0.00016</w:t>
                  </w:r>
                </w:p>
              </w:tc>
              <w:tc>
                <w:tcPr>
                  <w:tcW w:w="1115" w:type="dxa"/>
                  <w:vAlign w:val="center"/>
                </w:tcPr>
                <w:p w14:paraId="0F9A35A1">
                  <w:pPr>
                    <w:pStyle w:val="2"/>
                    <w:ind w:firstLine="0" w:firstLineChars="0"/>
                    <w:jc w:val="center"/>
                    <w:rPr>
                      <w:color w:val="auto"/>
                      <w:sz w:val="21"/>
                      <w:szCs w:val="21"/>
                    </w:rPr>
                  </w:pPr>
                  <w:r>
                    <w:rPr>
                      <w:color w:val="auto"/>
                      <w:sz w:val="21"/>
                      <w:szCs w:val="21"/>
                    </w:rPr>
                    <w:t>-</w:t>
                  </w:r>
                </w:p>
              </w:tc>
              <w:tc>
                <w:tcPr>
                  <w:tcW w:w="1117" w:type="dxa"/>
                  <w:vAlign w:val="center"/>
                </w:tcPr>
                <w:p w14:paraId="1565CFFF">
                  <w:pPr>
                    <w:pStyle w:val="2"/>
                    <w:ind w:firstLine="0" w:firstLineChars="0"/>
                    <w:jc w:val="center"/>
                    <w:rPr>
                      <w:color w:val="auto"/>
                      <w:sz w:val="21"/>
                      <w:szCs w:val="21"/>
                    </w:rPr>
                  </w:pPr>
                  <w:r>
                    <w:rPr>
                      <w:rFonts w:hint="eastAsia"/>
                      <w:color w:val="auto"/>
                      <w:sz w:val="21"/>
                      <w:szCs w:val="21"/>
                      <w:lang w:val="en-US" w:eastAsia="zh-CN"/>
                    </w:rPr>
                    <w:t>1.83</w:t>
                  </w:r>
                  <w:r>
                    <w:rPr>
                      <w:color w:val="auto"/>
                      <w:sz w:val="21"/>
                      <w:szCs w:val="21"/>
                    </w:rPr>
                    <w:t>×10</w:t>
                  </w:r>
                  <w:r>
                    <w:rPr>
                      <w:color w:val="auto"/>
                      <w:sz w:val="21"/>
                      <w:szCs w:val="21"/>
                      <w:vertAlign w:val="superscript"/>
                    </w:rPr>
                    <w:t>-5</w:t>
                  </w:r>
                </w:p>
              </w:tc>
              <w:tc>
                <w:tcPr>
                  <w:tcW w:w="837" w:type="dxa"/>
                  <w:vMerge w:val="continue"/>
                  <w:vAlign w:val="center"/>
                </w:tcPr>
                <w:p w14:paraId="735FC50D">
                  <w:pPr>
                    <w:pStyle w:val="38"/>
                    <w:rPr>
                      <w:rFonts w:ascii="Times New Roman" w:hAnsi="Times New Roman" w:eastAsia="宋体"/>
                      <w:b/>
                      <w:bCs/>
                      <w:color w:val="auto"/>
                    </w:rPr>
                  </w:pPr>
                </w:p>
              </w:tc>
            </w:tr>
            <w:tr w14:paraId="6C72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605" w:type="dxa"/>
                  <w:vAlign w:val="center"/>
                </w:tcPr>
                <w:p w14:paraId="6A47C47E">
                  <w:pPr>
                    <w:pStyle w:val="2"/>
                    <w:jc w:val="center"/>
                    <w:rPr>
                      <w:color w:val="auto"/>
                      <w:sz w:val="21"/>
                      <w:szCs w:val="21"/>
                    </w:rPr>
                  </w:pPr>
                  <w:r>
                    <w:rPr>
                      <w:color w:val="auto"/>
                      <w:sz w:val="21"/>
                      <w:szCs w:val="21"/>
                    </w:rPr>
                    <w:t>垃圾收集</w:t>
                  </w:r>
                </w:p>
              </w:tc>
              <w:tc>
                <w:tcPr>
                  <w:tcW w:w="684" w:type="dxa"/>
                  <w:vAlign w:val="center"/>
                </w:tcPr>
                <w:p w14:paraId="61A2428A">
                  <w:pPr>
                    <w:pStyle w:val="2"/>
                    <w:jc w:val="center"/>
                    <w:rPr>
                      <w:color w:val="auto"/>
                      <w:sz w:val="21"/>
                      <w:szCs w:val="21"/>
                    </w:rPr>
                  </w:pPr>
                  <w:r>
                    <w:rPr>
                      <w:color w:val="auto"/>
                      <w:sz w:val="21"/>
                      <w:szCs w:val="21"/>
                    </w:rPr>
                    <w:t>化粪池、垃圾收集处等</w:t>
                  </w:r>
                </w:p>
              </w:tc>
              <w:tc>
                <w:tcPr>
                  <w:tcW w:w="1218" w:type="dxa"/>
                  <w:vAlign w:val="center"/>
                </w:tcPr>
                <w:p w14:paraId="0192871A">
                  <w:pPr>
                    <w:pStyle w:val="2"/>
                    <w:jc w:val="center"/>
                    <w:rPr>
                      <w:color w:val="auto"/>
                      <w:sz w:val="21"/>
                      <w:szCs w:val="21"/>
                    </w:rPr>
                  </w:pPr>
                  <w:r>
                    <w:rPr>
                      <w:color w:val="auto"/>
                      <w:sz w:val="21"/>
                      <w:szCs w:val="21"/>
                    </w:rPr>
                    <w:t>无组织排放</w:t>
                  </w:r>
                </w:p>
              </w:tc>
              <w:tc>
                <w:tcPr>
                  <w:tcW w:w="1063" w:type="dxa"/>
                  <w:vAlign w:val="center"/>
                </w:tcPr>
                <w:p w14:paraId="6EB38DA6">
                  <w:pPr>
                    <w:pStyle w:val="2"/>
                    <w:jc w:val="center"/>
                    <w:rPr>
                      <w:color w:val="auto"/>
                      <w:sz w:val="21"/>
                      <w:szCs w:val="21"/>
                    </w:rPr>
                  </w:pPr>
                  <w:r>
                    <w:rPr>
                      <w:color w:val="auto"/>
                      <w:sz w:val="21"/>
                      <w:szCs w:val="21"/>
                    </w:rPr>
                    <w:t>恶臭</w:t>
                  </w:r>
                </w:p>
              </w:tc>
              <w:tc>
                <w:tcPr>
                  <w:tcW w:w="846" w:type="dxa"/>
                  <w:vAlign w:val="center"/>
                </w:tcPr>
                <w:p w14:paraId="170E85BF">
                  <w:pPr>
                    <w:pStyle w:val="2"/>
                    <w:jc w:val="center"/>
                    <w:rPr>
                      <w:color w:val="auto"/>
                      <w:sz w:val="21"/>
                      <w:szCs w:val="21"/>
                    </w:rPr>
                  </w:pPr>
                  <w:r>
                    <w:rPr>
                      <w:color w:val="auto"/>
                      <w:sz w:val="21"/>
                      <w:szCs w:val="21"/>
                    </w:rPr>
                    <w:t>-</w:t>
                  </w:r>
                </w:p>
              </w:tc>
              <w:tc>
                <w:tcPr>
                  <w:tcW w:w="634" w:type="dxa"/>
                  <w:vAlign w:val="center"/>
                </w:tcPr>
                <w:p w14:paraId="243ABF76">
                  <w:pPr>
                    <w:pStyle w:val="2"/>
                    <w:jc w:val="center"/>
                    <w:rPr>
                      <w:color w:val="auto"/>
                      <w:sz w:val="21"/>
                      <w:szCs w:val="21"/>
                    </w:rPr>
                  </w:pPr>
                  <w:r>
                    <w:rPr>
                      <w:color w:val="auto"/>
                      <w:sz w:val="21"/>
                      <w:szCs w:val="21"/>
                    </w:rPr>
                    <w:t>少量</w:t>
                  </w:r>
                </w:p>
              </w:tc>
              <w:tc>
                <w:tcPr>
                  <w:tcW w:w="1115" w:type="dxa"/>
                  <w:vAlign w:val="center"/>
                </w:tcPr>
                <w:p w14:paraId="446C9D74">
                  <w:pPr>
                    <w:pStyle w:val="2"/>
                    <w:jc w:val="center"/>
                    <w:rPr>
                      <w:color w:val="auto"/>
                      <w:sz w:val="21"/>
                      <w:szCs w:val="21"/>
                    </w:rPr>
                  </w:pPr>
                  <w:r>
                    <w:rPr>
                      <w:color w:val="auto"/>
                      <w:sz w:val="21"/>
                      <w:szCs w:val="21"/>
                    </w:rPr>
                    <w:t>-</w:t>
                  </w:r>
                </w:p>
              </w:tc>
              <w:tc>
                <w:tcPr>
                  <w:tcW w:w="1117" w:type="dxa"/>
                  <w:vAlign w:val="center"/>
                </w:tcPr>
                <w:p w14:paraId="2CDA4193">
                  <w:pPr>
                    <w:pStyle w:val="2"/>
                    <w:jc w:val="center"/>
                    <w:rPr>
                      <w:color w:val="auto"/>
                      <w:sz w:val="21"/>
                      <w:szCs w:val="21"/>
                    </w:rPr>
                  </w:pPr>
                  <w:r>
                    <w:rPr>
                      <w:color w:val="auto"/>
                      <w:sz w:val="21"/>
                      <w:szCs w:val="21"/>
                    </w:rPr>
                    <w:t>-</w:t>
                  </w:r>
                </w:p>
              </w:tc>
              <w:tc>
                <w:tcPr>
                  <w:tcW w:w="697" w:type="dxa"/>
                  <w:vAlign w:val="center"/>
                </w:tcPr>
                <w:p w14:paraId="5F2AA319">
                  <w:pPr>
                    <w:pStyle w:val="2"/>
                    <w:jc w:val="center"/>
                    <w:rPr>
                      <w:color w:val="auto"/>
                      <w:sz w:val="21"/>
                      <w:szCs w:val="21"/>
                    </w:rPr>
                  </w:pPr>
                  <w:r>
                    <w:rPr>
                      <w:color w:val="auto"/>
                      <w:sz w:val="21"/>
                      <w:szCs w:val="21"/>
                    </w:rPr>
                    <w:t>-</w:t>
                  </w:r>
                </w:p>
              </w:tc>
              <w:tc>
                <w:tcPr>
                  <w:tcW w:w="837" w:type="dxa"/>
                  <w:vAlign w:val="center"/>
                </w:tcPr>
                <w:p w14:paraId="02762E08">
                  <w:pPr>
                    <w:pStyle w:val="2"/>
                    <w:jc w:val="center"/>
                    <w:rPr>
                      <w:color w:val="auto"/>
                      <w:sz w:val="21"/>
                      <w:szCs w:val="21"/>
                    </w:rPr>
                  </w:pPr>
                  <w:r>
                    <w:rPr>
                      <w:color w:val="auto"/>
                      <w:sz w:val="21"/>
                      <w:szCs w:val="21"/>
                    </w:rPr>
                    <w:t>-</w:t>
                  </w:r>
                </w:p>
              </w:tc>
              <w:tc>
                <w:tcPr>
                  <w:tcW w:w="696" w:type="dxa"/>
                  <w:vAlign w:val="center"/>
                </w:tcPr>
                <w:p w14:paraId="2593A826">
                  <w:pPr>
                    <w:pStyle w:val="2"/>
                    <w:jc w:val="center"/>
                    <w:rPr>
                      <w:color w:val="auto"/>
                      <w:sz w:val="21"/>
                      <w:szCs w:val="21"/>
                    </w:rPr>
                  </w:pPr>
                  <w:r>
                    <w:rPr>
                      <w:color w:val="auto"/>
                      <w:sz w:val="21"/>
                      <w:szCs w:val="21"/>
                    </w:rPr>
                    <w:t>-</w:t>
                  </w:r>
                </w:p>
              </w:tc>
              <w:tc>
                <w:tcPr>
                  <w:tcW w:w="1115" w:type="dxa"/>
                  <w:vAlign w:val="center"/>
                </w:tcPr>
                <w:p w14:paraId="6E9F6353">
                  <w:pPr>
                    <w:pStyle w:val="2"/>
                    <w:jc w:val="center"/>
                    <w:rPr>
                      <w:color w:val="auto"/>
                      <w:sz w:val="21"/>
                      <w:szCs w:val="21"/>
                    </w:rPr>
                  </w:pPr>
                  <w:r>
                    <w:rPr>
                      <w:color w:val="auto"/>
                      <w:sz w:val="21"/>
                      <w:szCs w:val="21"/>
                    </w:rPr>
                    <w:t>少量</w:t>
                  </w:r>
                </w:p>
              </w:tc>
              <w:tc>
                <w:tcPr>
                  <w:tcW w:w="1115" w:type="dxa"/>
                  <w:vAlign w:val="center"/>
                </w:tcPr>
                <w:p w14:paraId="03792AF2">
                  <w:pPr>
                    <w:pStyle w:val="2"/>
                    <w:jc w:val="center"/>
                    <w:rPr>
                      <w:color w:val="auto"/>
                      <w:sz w:val="21"/>
                      <w:szCs w:val="21"/>
                    </w:rPr>
                  </w:pPr>
                  <w:r>
                    <w:rPr>
                      <w:color w:val="auto"/>
                      <w:sz w:val="21"/>
                      <w:szCs w:val="21"/>
                    </w:rPr>
                    <w:t>-</w:t>
                  </w:r>
                </w:p>
              </w:tc>
              <w:tc>
                <w:tcPr>
                  <w:tcW w:w="1117" w:type="dxa"/>
                  <w:vAlign w:val="center"/>
                </w:tcPr>
                <w:p w14:paraId="4096B391">
                  <w:pPr>
                    <w:pStyle w:val="2"/>
                    <w:jc w:val="center"/>
                    <w:rPr>
                      <w:color w:val="auto"/>
                      <w:sz w:val="21"/>
                      <w:szCs w:val="21"/>
                    </w:rPr>
                  </w:pPr>
                  <w:r>
                    <w:rPr>
                      <w:color w:val="auto"/>
                      <w:sz w:val="21"/>
                      <w:szCs w:val="21"/>
                    </w:rPr>
                    <w:t>-</w:t>
                  </w:r>
                </w:p>
              </w:tc>
              <w:tc>
                <w:tcPr>
                  <w:tcW w:w="837" w:type="dxa"/>
                  <w:vAlign w:val="center"/>
                </w:tcPr>
                <w:p w14:paraId="21FDC66C">
                  <w:pPr>
                    <w:pStyle w:val="2"/>
                    <w:jc w:val="center"/>
                    <w:rPr>
                      <w:color w:val="auto"/>
                      <w:sz w:val="21"/>
                      <w:szCs w:val="21"/>
                    </w:rPr>
                  </w:pPr>
                  <w:r>
                    <w:rPr>
                      <w:color w:val="auto"/>
                      <w:sz w:val="21"/>
                      <w:szCs w:val="21"/>
                    </w:rPr>
                    <w:t>8760</w:t>
                  </w:r>
                </w:p>
              </w:tc>
            </w:tr>
            <w:tr w14:paraId="1BC4A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5" w:type="dxa"/>
                  <w:vAlign w:val="center"/>
                </w:tcPr>
                <w:p w14:paraId="57C9E3CD">
                  <w:pPr>
                    <w:pStyle w:val="2"/>
                    <w:jc w:val="center"/>
                    <w:rPr>
                      <w:color w:val="auto"/>
                      <w:sz w:val="21"/>
                      <w:szCs w:val="21"/>
                    </w:rPr>
                  </w:pPr>
                  <w:r>
                    <w:rPr>
                      <w:color w:val="auto"/>
                      <w:sz w:val="21"/>
                      <w:szCs w:val="21"/>
                    </w:rPr>
                    <w:t>厨房</w:t>
                  </w:r>
                </w:p>
              </w:tc>
              <w:tc>
                <w:tcPr>
                  <w:tcW w:w="684" w:type="dxa"/>
                  <w:vAlign w:val="center"/>
                </w:tcPr>
                <w:p w14:paraId="5DC27634">
                  <w:pPr>
                    <w:pStyle w:val="2"/>
                    <w:jc w:val="center"/>
                    <w:rPr>
                      <w:color w:val="auto"/>
                      <w:sz w:val="21"/>
                      <w:szCs w:val="21"/>
                    </w:rPr>
                  </w:pPr>
                  <w:r>
                    <w:rPr>
                      <w:color w:val="auto"/>
                      <w:sz w:val="21"/>
                      <w:szCs w:val="21"/>
                    </w:rPr>
                    <w:t>抽油烟机</w:t>
                  </w:r>
                </w:p>
              </w:tc>
              <w:tc>
                <w:tcPr>
                  <w:tcW w:w="1218" w:type="dxa"/>
                  <w:vAlign w:val="center"/>
                </w:tcPr>
                <w:p w14:paraId="4344814C">
                  <w:pPr>
                    <w:pStyle w:val="2"/>
                    <w:jc w:val="center"/>
                    <w:rPr>
                      <w:color w:val="auto"/>
                      <w:sz w:val="21"/>
                      <w:szCs w:val="21"/>
                    </w:rPr>
                  </w:pPr>
                  <w:r>
                    <w:rPr>
                      <w:color w:val="auto"/>
                      <w:sz w:val="21"/>
                      <w:szCs w:val="21"/>
                    </w:rPr>
                    <w:t>有组织排放</w:t>
                  </w:r>
                </w:p>
              </w:tc>
              <w:tc>
                <w:tcPr>
                  <w:tcW w:w="1063" w:type="dxa"/>
                  <w:vAlign w:val="center"/>
                </w:tcPr>
                <w:p w14:paraId="148AA690">
                  <w:pPr>
                    <w:pStyle w:val="2"/>
                    <w:jc w:val="center"/>
                    <w:rPr>
                      <w:color w:val="auto"/>
                      <w:sz w:val="21"/>
                      <w:szCs w:val="21"/>
                    </w:rPr>
                  </w:pPr>
                  <w:r>
                    <w:rPr>
                      <w:color w:val="auto"/>
                      <w:sz w:val="21"/>
                      <w:szCs w:val="21"/>
                    </w:rPr>
                    <w:t>油烟</w:t>
                  </w:r>
                </w:p>
              </w:tc>
              <w:tc>
                <w:tcPr>
                  <w:tcW w:w="846" w:type="dxa"/>
                  <w:vAlign w:val="center"/>
                </w:tcPr>
                <w:p w14:paraId="5617E4C1">
                  <w:pPr>
                    <w:pStyle w:val="2"/>
                    <w:jc w:val="center"/>
                    <w:rPr>
                      <w:color w:val="auto"/>
                      <w:sz w:val="21"/>
                      <w:szCs w:val="21"/>
                    </w:rPr>
                  </w:pPr>
                  <w:r>
                    <w:rPr>
                      <w:color w:val="auto"/>
                      <w:sz w:val="21"/>
                      <w:szCs w:val="21"/>
                    </w:rPr>
                    <w:t>类比法</w:t>
                  </w:r>
                </w:p>
              </w:tc>
              <w:tc>
                <w:tcPr>
                  <w:tcW w:w="634" w:type="dxa"/>
                  <w:vAlign w:val="center"/>
                </w:tcPr>
                <w:p w14:paraId="55D03664">
                  <w:pPr>
                    <w:pStyle w:val="2"/>
                    <w:jc w:val="center"/>
                    <w:rPr>
                      <w:rFonts w:hint="default" w:eastAsia="宋体"/>
                      <w:color w:val="auto"/>
                      <w:sz w:val="21"/>
                      <w:szCs w:val="21"/>
                      <w:lang w:val="en-US" w:eastAsia="zh-CN"/>
                    </w:rPr>
                  </w:pPr>
                  <w:r>
                    <w:rPr>
                      <w:rFonts w:hint="eastAsia"/>
                      <w:color w:val="auto"/>
                      <w:sz w:val="21"/>
                      <w:szCs w:val="21"/>
                      <w:lang w:val="en-US" w:eastAsia="zh-CN"/>
                    </w:rPr>
                    <w:t>0.02255</w:t>
                  </w:r>
                </w:p>
              </w:tc>
              <w:tc>
                <w:tcPr>
                  <w:tcW w:w="1115" w:type="dxa"/>
                  <w:vAlign w:val="center"/>
                </w:tcPr>
                <w:p w14:paraId="531EDF56">
                  <w:pPr>
                    <w:pStyle w:val="2"/>
                    <w:jc w:val="center"/>
                    <w:rPr>
                      <w:color w:val="auto"/>
                      <w:sz w:val="21"/>
                      <w:szCs w:val="21"/>
                    </w:rPr>
                  </w:pPr>
                  <w:r>
                    <w:rPr>
                      <w:color w:val="auto"/>
                      <w:sz w:val="21"/>
                      <w:szCs w:val="21"/>
                    </w:rPr>
                    <w:t>-</w:t>
                  </w:r>
                </w:p>
              </w:tc>
              <w:tc>
                <w:tcPr>
                  <w:tcW w:w="1117" w:type="dxa"/>
                  <w:vAlign w:val="center"/>
                </w:tcPr>
                <w:p w14:paraId="54E99661">
                  <w:pPr>
                    <w:pStyle w:val="2"/>
                    <w:jc w:val="center"/>
                    <w:rPr>
                      <w:color w:val="auto"/>
                      <w:sz w:val="21"/>
                      <w:szCs w:val="21"/>
                    </w:rPr>
                  </w:pPr>
                  <w:r>
                    <w:rPr>
                      <w:color w:val="auto"/>
                    </w:rPr>
                    <w:t>0.0</w:t>
                  </w:r>
                  <w:r>
                    <w:rPr>
                      <w:rFonts w:hint="eastAsia"/>
                      <w:color w:val="auto"/>
                      <w:lang w:val="en-US" w:eastAsia="zh-CN"/>
                    </w:rPr>
                    <w:t>112</w:t>
                  </w:r>
                </w:p>
              </w:tc>
              <w:tc>
                <w:tcPr>
                  <w:tcW w:w="697" w:type="dxa"/>
                  <w:vAlign w:val="center"/>
                </w:tcPr>
                <w:p w14:paraId="2EE57472">
                  <w:pPr>
                    <w:pStyle w:val="2"/>
                    <w:jc w:val="center"/>
                    <w:rPr>
                      <w:color w:val="auto"/>
                      <w:sz w:val="21"/>
                      <w:szCs w:val="21"/>
                    </w:rPr>
                  </w:pPr>
                  <w:r>
                    <w:rPr>
                      <w:color w:val="auto"/>
                      <w:sz w:val="21"/>
                      <w:szCs w:val="21"/>
                    </w:rPr>
                    <w:t>油烟净化装置</w:t>
                  </w:r>
                </w:p>
              </w:tc>
              <w:tc>
                <w:tcPr>
                  <w:tcW w:w="837" w:type="dxa"/>
                  <w:vAlign w:val="center"/>
                </w:tcPr>
                <w:p w14:paraId="09D1CF1B">
                  <w:pPr>
                    <w:pStyle w:val="2"/>
                    <w:jc w:val="center"/>
                    <w:rPr>
                      <w:color w:val="auto"/>
                      <w:sz w:val="21"/>
                      <w:szCs w:val="21"/>
                    </w:rPr>
                  </w:pPr>
                  <w:r>
                    <w:rPr>
                      <w:color w:val="auto"/>
                      <w:sz w:val="21"/>
                      <w:szCs w:val="21"/>
                    </w:rPr>
                    <w:t>75</w:t>
                  </w:r>
                </w:p>
              </w:tc>
              <w:tc>
                <w:tcPr>
                  <w:tcW w:w="696" w:type="dxa"/>
                  <w:vAlign w:val="center"/>
                </w:tcPr>
                <w:p w14:paraId="75818E43">
                  <w:pPr>
                    <w:pStyle w:val="2"/>
                    <w:jc w:val="center"/>
                    <w:rPr>
                      <w:color w:val="auto"/>
                      <w:sz w:val="21"/>
                      <w:szCs w:val="21"/>
                    </w:rPr>
                  </w:pPr>
                  <w:r>
                    <w:rPr>
                      <w:color w:val="auto"/>
                      <w:sz w:val="21"/>
                      <w:szCs w:val="21"/>
                    </w:rPr>
                    <w:t>类比法</w:t>
                  </w:r>
                </w:p>
              </w:tc>
              <w:tc>
                <w:tcPr>
                  <w:tcW w:w="1115" w:type="dxa"/>
                  <w:vAlign w:val="center"/>
                </w:tcPr>
                <w:p w14:paraId="3B0B345E">
                  <w:pPr>
                    <w:pStyle w:val="2"/>
                    <w:jc w:val="center"/>
                    <w:rPr>
                      <w:rFonts w:hint="default" w:eastAsia="宋体"/>
                      <w:color w:val="auto"/>
                      <w:sz w:val="21"/>
                      <w:szCs w:val="21"/>
                      <w:lang w:val="en-US" w:eastAsia="zh-CN"/>
                    </w:rPr>
                  </w:pPr>
                  <w:r>
                    <w:rPr>
                      <w:rFonts w:hint="eastAsia"/>
                      <w:color w:val="auto"/>
                      <w:sz w:val="21"/>
                      <w:szCs w:val="21"/>
                      <w:lang w:val="en-US" w:eastAsia="zh-CN"/>
                    </w:rPr>
                    <w:t>0.00102</w:t>
                  </w:r>
                </w:p>
              </w:tc>
              <w:tc>
                <w:tcPr>
                  <w:tcW w:w="1115" w:type="dxa"/>
                  <w:vAlign w:val="center"/>
                </w:tcPr>
                <w:p w14:paraId="6F9E3CC0">
                  <w:pPr>
                    <w:pStyle w:val="2"/>
                    <w:jc w:val="center"/>
                    <w:rPr>
                      <w:color w:val="auto"/>
                      <w:sz w:val="21"/>
                      <w:szCs w:val="21"/>
                    </w:rPr>
                  </w:pPr>
                  <w:r>
                    <w:rPr>
                      <w:rFonts w:hint="eastAsia"/>
                      <w:color w:val="auto"/>
                      <w:lang w:val="en-US" w:eastAsia="zh-CN"/>
                    </w:rPr>
                    <w:t>0.078</w:t>
                  </w:r>
                </w:p>
              </w:tc>
              <w:tc>
                <w:tcPr>
                  <w:tcW w:w="1117" w:type="dxa"/>
                  <w:vAlign w:val="center"/>
                </w:tcPr>
                <w:p w14:paraId="674FABE0">
                  <w:pPr>
                    <w:pStyle w:val="2"/>
                    <w:jc w:val="center"/>
                    <w:rPr>
                      <w:rFonts w:hint="default" w:eastAsia="宋体"/>
                      <w:color w:val="auto"/>
                      <w:sz w:val="21"/>
                      <w:szCs w:val="21"/>
                      <w:lang w:val="en-US" w:eastAsia="zh-CN"/>
                    </w:rPr>
                  </w:pPr>
                  <w:r>
                    <w:rPr>
                      <w:rFonts w:hint="eastAsia"/>
                      <w:color w:val="auto"/>
                      <w:sz w:val="21"/>
                      <w:szCs w:val="21"/>
                      <w:lang w:val="en-US" w:eastAsia="zh-CN"/>
                    </w:rPr>
                    <w:t>0.00046</w:t>
                  </w:r>
                </w:p>
              </w:tc>
              <w:tc>
                <w:tcPr>
                  <w:tcW w:w="837" w:type="dxa"/>
                  <w:vAlign w:val="center"/>
                </w:tcPr>
                <w:p w14:paraId="2029F3B5">
                  <w:pPr>
                    <w:pStyle w:val="2"/>
                    <w:jc w:val="center"/>
                    <w:rPr>
                      <w:color w:val="auto"/>
                      <w:sz w:val="21"/>
                      <w:szCs w:val="21"/>
                    </w:rPr>
                  </w:pPr>
                  <w:r>
                    <w:rPr>
                      <w:color w:val="auto"/>
                      <w:sz w:val="21"/>
                      <w:szCs w:val="21"/>
                    </w:rPr>
                    <w:t>2190</w:t>
                  </w:r>
                </w:p>
              </w:tc>
            </w:tr>
            <w:tr w14:paraId="07A73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trPr>
              <w:tc>
                <w:tcPr>
                  <w:tcW w:w="605" w:type="dxa"/>
                  <w:vAlign w:val="center"/>
                </w:tcPr>
                <w:p w14:paraId="18684D31">
                  <w:pPr>
                    <w:pStyle w:val="2"/>
                    <w:jc w:val="center"/>
                    <w:rPr>
                      <w:color w:val="auto"/>
                      <w:sz w:val="21"/>
                      <w:szCs w:val="21"/>
                    </w:rPr>
                  </w:pPr>
                  <w:r>
                    <w:rPr>
                      <w:color w:val="auto"/>
                      <w:sz w:val="21"/>
                      <w:szCs w:val="21"/>
                    </w:rPr>
                    <w:t>发电</w:t>
                  </w:r>
                </w:p>
              </w:tc>
              <w:tc>
                <w:tcPr>
                  <w:tcW w:w="684" w:type="dxa"/>
                  <w:vAlign w:val="center"/>
                </w:tcPr>
                <w:p w14:paraId="071CEECC">
                  <w:pPr>
                    <w:pStyle w:val="2"/>
                    <w:jc w:val="center"/>
                    <w:rPr>
                      <w:color w:val="auto"/>
                      <w:sz w:val="21"/>
                      <w:szCs w:val="21"/>
                    </w:rPr>
                  </w:pPr>
                  <w:r>
                    <w:rPr>
                      <w:color w:val="auto"/>
                      <w:sz w:val="21"/>
                      <w:szCs w:val="21"/>
                    </w:rPr>
                    <w:t>备用发电间</w:t>
                  </w:r>
                </w:p>
              </w:tc>
              <w:tc>
                <w:tcPr>
                  <w:tcW w:w="1218" w:type="dxa"/>
                  <w:vAlign w:val="center"/>
                </w:tcPr>
                <w:p w14:paraId="32A5B5C3">
                  <w:pPr>
                    <w:pStyle w:val="2"/>
                    <w:jc w:val="center"/>
                    <w:rPr>
                      <w:color w:val="auto"/>
                      <w:sz w:val="21"/>
                      <w:szCs w:val="21"/>
                    </w:rPr>
                  </w:pPr>
                  <w:r>
                    <w:rPr>
                      <w:color w:val="auto"/>
                      <w:sz w:val="21"/>
                      <w:szCs w:val="21"/>
                    </w:rPr>
                    <w:t>无组织排放</w:t>
                  </w:r>
                </w:p>
              </w:tc>
              <w:tc>
                <w:tcPr>
                  <w:tcW w:w="1063" w:type="dxa"/>
                  <w:vAlign w:val="center"/>
                </w:tcPr>
                <w:p w14:paraId="6C0E06A4">
                  <w:pPr>
                    <w:pStyle w:val="2"/>
                    <w:jc w:val="center"/>
                    <w:rPr>
                      <w:color w:val="auto"/>
                      <w:sz w:val="21"/>
                      <w:szCs w:val="21"/>
                    </w:rPr>
                  </w:pPr>
                  <w:r>
                    <w:rPr>
                      <w:color w:val="auto"/>
                      <w:sz w:val="21"/>
                      <w:szCs w:val="21"/>
                    </w:rPr>
                    <w:t>S0</w:t>
                  </w:r>
                  <w:r>
                    <w:rPr>
                      <w:color w:val="auto"/>
                      <w:sz w:val="21"/>
                      <w:szCs w:val="21"/>
                      <w:vertAlign w:val="subscript"/>
                    </w:rPr>
                    <w:t>2</w:t>
                  </w:r>
                  <w:r>
                    <w:rPr>
                      <w:color w:val="auto"/>
                      <w:sz w:val="21"/>
                      <w:szCs w:val="21"/>
                    </w:rPr>
                    <w:t>、NOx、CO、HnCm和烟尘等</w:t>
                  </w:r>
                </w:p>
              </w:tc>
              <w:tc>
                <w:tcPr>
                  <w:tcW w:w="846" w:type="dxa"/>
                  <w:vAlign w:val="center"/>
                </w:tcPr>
                <w:p w14:paraId="5E14DE64">
                  <w:pPr>
                    <w:pStyle w:val="2"/>
                    <w:jc w:val="center"/>
                    <w:rPr>
                      <w:color w:val="auto"/>
                      <w:sz w:val="21"/>
                      <w:szCs w:val="21"/>
                    </w:rPr>
                  </w:pPr>
                  <w:r>
                    <w:rPr>
                      <w:color w:val="auto"/>
                      <w:sz w:val="21"/>
                      <w:szCs w:val="21"/>
                    </w:rPr>
                    <w:t>-</w:t>
                  </w:r>
                </w:p>
              </w:tc>
              <w:tc>
                <w:tcPr>
                  <w:tcW w:w="634" w:type="dxa"/>
                  <w:vAlign w:val="center"/>
                </w:tcPr>
                <w:p w14:paraId="1D996CB5">
                  <w:pPr>
                    <w:pStyle w:val="2"/>
                    <w:jc w:val="center"/>
                    <w:rPr>
                      <w:color w:val="auto"/>
                      <w:sz w:val="21"/>
                      <w:szCs w:val="21"/>
                    </w:rPr>
                  </w:pPr>
                  <w:r>
                    <w:rPr>
                      <w:color w:val="auto"/>
                      <w:sz w:val="21"/>
                      <w:szCs w:val="21"/>
                    </w:rPr>
                    <w:t>少量</w:t>
                  </w:r>
                </w:p>
              </w:tc>
              <w:tc>
                <w:tcPr>
                  <w:tcW w:w="1115" w:type="dxa"/>
                  <w:vAlign w:val="center"/>
                </w:tcPr>
                <w:p w14:paraId="4CE26E08">
                  <w:pPr>
                    <w:pStyle w:val="2"/>
                    <w:jc w:val="center"/>
                    <w:rPr>
                      <w:color w:val="auto"/>
                      <w:sz w:val="21"/>
                      <w:szCs w:val="21"/>
                    </w:rPr>
                  </w:pPr>
                  <w:r>
                    <w:rPr>
                      <w:color w:val="auto"/>
                      <w:sz w:val="21"/>
                      <w:szCs w:val="21"/>
                    </w:rPr>
                    <w:t>-</w:t>
                  </w:r>
                </w:p>
              </w:tc>
              <w:tc>
                <w:tcPr>
                  <w:tcW w:w="1117" w:type="dxa"/>
                  <w:vAlign w:val="center"/>
                </w:tcPr>
                <w:p w14:paraId="3AE5832B">
                  <w:pPr>
                    <w:pStyle w:val="2"/>
                    <w:jc w:val="center"/>
                    <w:rPr>
                      <w:color w:val="auto"/>
                      <w:sz w:val="21"/>
                      <w:szCs w:val="21"/>
                    </w:rPr>
                  </w:pPr>
                  <w:r>
                    <w:rPr>
                      <w:color w:val="auto"/>
                      <w:sz w:val="21"/>
                      <w:szCs w:val="21"/>
                    </w:rPr>
                    <w:t>-</w:t>
                  </w:r>
                </w:p>
              </w:tc>
              <w:tc>
                <w:tcPr>
                  <w:tcW w:w="697" w:type="dxa"/>
                  <w:vAlign w:val="center"/>
                </w:tcPr>
                <w:p w14:paraId="10A39234">
                  <w:pPr>
                    <w:pStyle w:val="2"/>
                    <w:jc w:val="center"/>
                    <w:rPr>
                      <w:color w:val="auto"/>
                      <w:sz w:val="21"/>
                      <w:szCs w:val="21"/>
                    </w:rPr>
                  </w:pPr>
                  <w:r>
                    <w:rPr>
                      <w:color w:val="auto"/>
                      <w:sz w:val="21"/>
                      <w:szCs w:val="21"/>
                    </w:rPr>
                    <w:t>-</w:t>
                  </w:r>
                </w:p>
              </w:tc>
              <w:tc>
                <w:tcPr>
                  <w:tcW w:w="837" w:type="dxa"/>
                  <w:vAlign w:val="center"/>
                </w:tcPr>
                <w:p w14:paraId="4C7715C3">
                  <w:pPr>
                    <w:pStyle w:val="2"/>
                    <w:jc w:val="center"/>
                    <w:rPr>
                      <w:color w:val="auto"/>
                      <w:sz w:val="21"/>
                      <w:szCs w:val="21"/>
                    </w:rPr>
                  </w:pPr>
                  <w:r>
                    <w:rPr>
                      <w:color w:val="auto"/>
                      <w:sz w:val="21"/>
                      <w:szCs w:val="21"/>
                    </w:rPr>
                    <w:t>-</w:t>
                  </w:r>
                </w:p>
              </w:tc>
              <w:tc>
                <w:tcPr>
                  <w:tcW w:w="696" w:type="dxa"/>
                  <w:vAlign w:val="center"/>
                </w:tcPr>
                <w:p w14:paraId="72EA810A">
                  <w:pPr>
                    <w:pStyle w:val="2"/>
                    <w:jc w:val="center"/>
                    <w:rPr>
                      <w:color w:val="auto"/>
                      <w:sz w:val="21"/>
                      <w:szCs w:val="21"/>
                    </w:rPr>
                  </w:pPr>
                  <w:r>
                    <w:rPr>
                      <w:color w:val="auto"/>
                      <w:sz w:val="21"/>
                      <w:szCs w:val="21"/>
                    </w:rPr>
                    <w:t>-</w:t>
                  </w:r>
                </w:p>
              </w:tc>
              <w:tc>
                <w:tcPr>
                  <w:tcW w:w="1115" w:type="dxa"/>
                  <w:vAlign w:val="center"/>
                </w:tcPr>
                <w:p w14:paraId="2FC94BD5">
                  <w:pPr>
                    <w:pStyle w:val="2"/>
                    <w:jc w:val="center"/>
                    <w:rPr>
                      <w:color w:val="auto"/>
                      <w:sz w:val="21"/>
                      <w:szCs w:val="21"/>
                    </w:rPr>
                  </w:pPr>
                  <w:r>
                    <w:rPr>
                      <w:color w:val="auto"/>
                      <w:sz w:val="21"/>
                      <w:szCs w:val="21"/>
                    </w:rPr>
                    <w:t>少量</w:t>
                  </w:r>
                </w:p>
              </w:tc>
              <w:tc>
                <w:tcPr>
                  <w:tcW w:w="1115" w:type="dxa"/>
                  <w:vAlign w:val="center"/>
                </w:tcPr>
                <w:p w14:paraId="40BC00C0">
                  <w:pPr>
                    <w:pStyle w:val="2"/>
                    <w:jc w:val="center"/>
                    <w:rPr>
                      <w:color w:val="auto"/>
                      <w:sz w:val="21"/>
                      <w:szCs w:val="21"/>
                    </w:rPr>
                  </w:pPr>
                  <w:r>
                    <w:rPr>
                      <w:color w:val="auto"/>
                      <w:sz w:val="21"/>
                      <w:szCs w:val="21"/>
                    </w:rPr>
                    <w:t>-</w:t>
                  </w:r>
                </w:p>
              </w:tc>
              <w:tc>
                <w:tcPr>
                  <w:tcW w:w="1117" w:type="dxa"/>
                  <w:vAlign w:val="center"/>
                </w:tcPr>
                <w:p w14:paraId="0BA883C9">
                  <w:pPr>
                    <w:pStyle w:val="2"/>
                    <w:jc w:val="center"/>
                    <w:rPr>
                      <w:color w:val="auto"/>
                      <w:sz w:val="21"/>
                      <w:szCs w:val="21"/>
                    </w:rPr>
                  </w:pPr>
                  <w:r>
                    <w:rPr>
                      <w:color w:val="auto"/>
                      <w:sz w:val="21"/>
                      <w:szCs w:val="21"/>
                    </w:rPr>
                    <w:t>-</w:t>
                  </w:r>
                </w:p>
              </w:tc>
              <w:tc>
                <w:tcPr>
                  <w:tcW w:w="837" w:type="dxa"/>
                  <w:vAlign w:val="center"/>
                </w:tcPr>
                <w:p w14:paraId="3E7EB013">
                  <w:pPr>
                    <w:pStyle w:val="2"/>
                    <w:jc w:val="center"/>
                    <w:rPr>
                      <w:color w:val="auto"/>
                      <w:sz w:val="21"/>
                      <w:szCs w:val="21"/>
                    </w:rPr>
                  </w:pPr>
                  <w:r>
                    <w:rPr>
                      <w:color w:val="auto"/>
                      <w:sz w:val="21"/>
                      <w:szCs w:val="21"/>
                    </w:rPr>
                    <w:t>/</w:t>
                  </w:r>
                </w:p>
              </w:tc>
            </w:tr>
            <w:tr w14:paraId="71A3F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5" w:type="dxa"/>
                  <w:vAlign w:val="center"/>
                </w:tcPr>
                <w:p w14:paraId="624C1354">
                  <w:pPr>
                    <w:pStyle w:val="2"/>
                    <w:jc w:val="center"/>
                    <w:rPr>
                      <w:color w:val="auto"/>
                      <w:sz w:val="21"/>
                      <w:szCs w:val="21"/>
                    </w:rPr>
                  </w:pPr>
                  <w:r>
                    <w:rPr>
                      <w:rFonts w:hint="eastAsia"/>
                      <w:color w:val="auto"/>
                      <w:sz w:val="21"/>
                      <w:szCs w:val="21"/>
                    </w:rPr>
                    <w:t>病房</w:t>
                  </w:r>
                </w:p>
              </w:tc>
              <w:tc>
                <w:tcPr>
                  <w:tcW w:w="684" w:type="dxa"/>
                  <w:vAlign w:val="center"/>
                </w:tcPr>
                <w:p w14:paraId="335A130B">
                  <w:pPr>
                    <w:pStyle w:val="2"/>
                    <w:jc w:val="center"/>
                    <w:rPr>
                      <w:color w:val="auto"/>
                      <w:sz w:val="21"/>
                      <w:szCs w:val="21"/>
                    </w:rPr>
                  </w:pPr>
                  <w:r>
                    <w:rPr>
                      <w:rFonts w:hint="eastAsia"/>
                      <w:color w:val="auto"/>
                      <w:sz w:val="21"/>
                      <w:szCs w:val="21"/>
                    </w:rPr>
                    <w:t>感染科</w:t>
                  </w:r>
                </w:p>
              </w:tc>
              <w:tc>
                <w:tcPr>
                  <w:tcW w:w="1218" w:type="dxa"/>
                  <w:vAlign w:val="center"/>
                </w:tcPr>
                <w:p w14:paraId="21E46DBB">
                  <w:pPr>
                    <w:pStyle w:val="2"/>
                    <w:jc w:val="center"/>
                    <w:rPr>
                      <w:rFonts w:hint="eastAsia" w:eastAsia="宋体"/>
                      <w:color w:val="auto"/>
                      <w:sz w:val="21"/>
                      <w:szCs w:val="21"/>
                      <w:lang w:eastAsia="zh-CN"/>
                    </w:rPr>
                  </w:pPr>
                  <w:r>
                    <w:rPr>
                      <w:rFonts w:hint="eastAsia"/>
                      <w:color w:val="auto"/>
                      <w:sz w:val="21"/>
                      <w:szCs w:val="21"/>
                    </w:rPr>
                    <w:t>有组织</w:t>
                  </w:r>
                  <w:r>
                    <w:rPr>
                      <w:rFonts w:hint="eastAsia"/>
                      <w:color w:val="auto"/>
                      <w:sz w:val="21"/>
                      <w:szCs w:val="21"/>
                      <w:lang w:eastAsia="zh-CN"/>
                    </w:rPr>
                    <w:t>（</w:t>
                  </w:r>
                  <w:r>
                    <w:rPr>
                      <w:rFonts w:hint="eastAsia"/>
                      <w:color w:val="auto"/>
                    </w:rPr>
                    <w:t>风机吸气经空气安全处置设施（高效过滤器）</w:t>
                  </w:r>
                  <w:r>
                    <w:rPr>
                      <w:rFonts w:hint="eastAsia"/>
                      <w:color w:val="auto"/>
                      <w:sz w:val="21"/>
                      <w:szCs w:val="21"/>
                      <w:lang w:eastAsia="zh-CN"/>
                    </w:rPr>
                    <w:t>）</w:t>
                  </w:r>
                </w:p>
              </w:tc>
              <w:tc>
                <w:tcPr>
                  <w:tcW w:w="1063" w:type="dxa"/>
                  <w:vAlign w:val="center"/>
                </w:tcPr>
                <w:p w14:paraId="5F9C239B">
                  <w:pPr>
                    <w:pStyle w:val="2"/>
                    <w:jc w:val="center"/>
                    <w:rPr>
                      <w:color w:val="auto"/>
                      <w:sz w:val="21"/>
                      <w:szCs w:val="21"/>
                    </w:rPr>
                  </w:pPr>
                  <w:r>
                    <w:rPr>
                      <w:rFonts w:hint="eastAsia"/>
                      <w:color w:val="auto"/>
                      <w:sz w:val="21"/>
                      <w:szCs w:val="21"/>
                    </w:rPr>
                    <w:t>含病原微生物废气</w:t>
                  </w:r>
                </w:p>
              </w:tc>
              <w:tc>
                <w:tcPr>
                  <w:tcW w:w="846" w:type="dxa"/>
                  <w:vAlign w:val="center"/>
                </w:tcPr>
                <w:p w14:paraId="32A2C45A">
                  <w:pPr>
                    <w:pStyle w:val="2"/>
                    <w:jc w:val="center"/>
                    <w:rPr>
                      <w:color w:val="auto"/>
                      <w:sz w:val="21"/>
                      <w:szCs w:val="21"/>
                    </w:rPr>
                  </w:pPr>
                  <w:r>
                    <w:rPr>
                      <w:color w:val="auto"/>
                      <w:sz w:val="21"/>
                      <w:szCs w:val="21"/>
                    </w:rPr>
                    <w:t>-</w:t>
                  </w:r>
                </w:p>
              </w:tc>
              <w:tc>
                <w:tcPr>
                  <w:tcW w:w="634" w:type="dxa"/>
                  <w:vAlign w:val="center"/>
                </w:tcPr>
                <w:p w14:paraId="338BED88">
                  <w:pPr>
                    <w:pStyle w:val="2"/>
                    <w:jc w:val="center"/>
                    <w:rPr>
                      <w:color w:val="auto"/>
                      <w:sz w:val="21"/>
                      <w:szCs w:val="21"/>
                    </w:rPr>
                  </w:pPr>
                  <w:r>
                    <w:rPr>
                      <w:color w:val="auto"/>
                      <w:sz w:val="21"/>
                      <w:szCs w:val="21"/>
                    </w:rPr>
                    <w:t>少量</w:t>
                  </w:r>
                </w:p>
              </w:tc>
              <w:tc>
                <w:tcPr>
                  <w:tcW w:w="1115" w:type="dxa"/>
                  <w:vAlign w:val="center"/>
                </w:tcPr>
                <w:p w14:paraId="5C6C6263">
                  <w:pPr>
                    <w:pStyle w:val="2"/>
                    <w:jc w:val="center"/>
                    <w:rPr>
                      <w:color w:val="auto"/>
                      <w:sz w:val="21"/>
                      <w:szCs w:val="21"/>
                    </w:rPr>
                  </w:pPr>
                  <w:r>
                    <w:rPr>
                      <w:color w:val="auto"/>
                      <w:sz w:val="21"/>
                      <w:szCs w:val="21"/>
                    </w:rPr>
                    <w:t>-</w:t>
                  </w:r>
                </w:p>
              </w:tc>
              <w:tc>
                <w:tcPr>
                  <w:tcW w:w="1117" w:type="dxa"/>
                  <w:vAlign w:val="center"/>
                </w:tcPr>
                <w:p w14:paraId="6FD757FE">
                  <w:pPr>
                    <w:pStyle w:val="2"/>
                    <w:jc w:val="center"/>
                    <w:rPr>
                      <w:color w:val="auto"/>
                      <w:sz w:val="21"/>
                      <w:szCs w:val="21"/>
                    </w:rPr>
                  </w:pPr>
                  <w:r>
                    <w:rPr>
                      <w:color w:val="auto"/>
                      <w:sz w:val="21"/>
                      <w:szCs w:val="21"/>
                    </w:rPr>
                    <w:t>-</w:t>
                  </w:r>
                </w:p>
              </w:tc>
              <w:tc>
                <w:tcPr>
                  <w:tcW w:w="697" w:type="dxa"/>
                  <w:vAlign w:val="center"/>
                </w:tcPr>
                <w:p w14:paraId="6A45DF71">
                  <w:pPr>
                    <w:pStyle w:val="2"/>
                    <w:jc w:val="center"/>
                    <w:rPr>
                      <w:color w:val="auto"/>
                      <w:sz w:val="21"/>
                      <w:szCs w:val="21"/>
                    </w:rPr>
                  </w:pPr>
                  <w:r>
                    <w:rPr>
                      <w:color w:val="auto"/>
                      <w:sz w:val="21"/>
                      <w:szCs w:val="21"/>
                    </w:rPr>
                    <w:t>-</w:t>
                  </w:r>
                </w:p>
              </w:tc>
              <w:tc>
                <w:tcPr>
                  <w:tcW w:w="837" w:type="dxa"/>
                  <w:vAlign w:val="center"/>
                </w:tcPr>
                <w:p w14:paraId="2882CD7E">
                  <w:pPr>
                    <w:pStyle w:val="2"/>
                    <w:jc w:val="center"/>
                    <w:rPr>
                      <w:color w:val="auto"/>
                      <w:sz w:val="21"/>
                      <w:szCs w:val="21"/>
                    </w:rPr>
                  </w:pPr>
                  <w:r>
                    <w:rPr>
                      <w:color w:val="auto"/>
                      <w:sz w:val="21"/>
                      <w:szCs w:val="21"/>
                    </w:rPr>
                    <w:t>-</w:t>
                  </w:r>
                </w:p>
              </w:tc>
              <w:tc>
                <w:tcPr>
                  <w:tcW w:w="696" w:type="dxa"/>
                  <w:vAlign w:val="center"/>
                </w:tcPr>
                <w:p w14:paraId="40CE8CFE">
                  <w:pPr>
                    <w:pStyle w:val="2"/>
                    <w:jc w:val="center"/>
                    <w:rPr>
                      <w:color w:val="auto"/>
                      <w:sz w:val="21"/>
                      <w:szCs w:val="21"/>
                    </w:rPr>
                  </w:pPr>
                  <w:r>
                    <w:rPr>
                      <w:color w:val="auto"/>
                      <w:sz w:val="21"/>
                      <w:szCs w:val="21"/>
                    </w:rPr>
                    <w:t>-</w:t>
                  </w:r>
                </w:p>
              </w:tc>
              <w:tc>
                <w:tcPr>
                  <w:tcW w:w="1115" w:type="dxa"/>
                  <w:vAlign w:val="center"/>
                </w:tcPr>
                <w:p w14:paraId="326186BE">
                  <w:pPr>
                    <w:pStyle w:val="2"/>
                    <w:jc w:val="center"/>
                    <w:rPr>
                      <w:color w:val="auto"/>
                      <w:sz w:val="21"/>
                      <w:szCs w:val="21"/>
                    </w:rPr>
                  </w:pPr>
                  <w:r>
                    <w:rPr>
                      <w:color w:val="auto"/>
                      <w:sz w:val="21"/>
                      <w:szCs w:val="21"/>
                    </w:rPr>
                    <w:t>少量</w:t>
                  </w:r>
                </w:p>
              </w:tc>
              <w:tc>
                <w:tcPr>
                  <w:tcW w:w="1115" w:type="dxa"/>
                  <w:vAlign w:val="center"/>
                </w:tcPr>
                <w:p w14:paraId="0B31C0CC">
                  <w:pPr>
                    <w:pStyle w:val="2"/>
                    <w:jc w:val="center"/>
                    <w:rPr>
                      <w:color w:val="auto"/>
                      <w:sz w:val="21"/>
                      <w:szCs w:val="21"/>
                    </w:rPr>
                  </w:pPr>
                  <w:r>
                    <w:rPr>
                      <w:color w:val="auto"/>
                      <w:sz w:val="21"/>
                      <w:szCs w:val="21"/>
                    </w:rPr>
                    <w:t>-</w:t>
                  </w:r>
                </w:p>
              </w:tc>
              <w:tc>
                <w:tcPr>
                  <w:tcW w:w="1117" w:type="dxa"/>
                  <w:vAlign w:val="center"/>
                </w:tcPr>
                <w:p w14:paraId="3D0E03B4">
                  <w:pPr>
                    <w:pStyle w:val="2"/>
                    <w:jc w:val="center"/>
                    <w:rPr>
                      <w:color w:val="auto"/>
                      <w:sz w:val="21"/>
                      <w:szCs w:val="21"/>
                    </w:rPr>
                  </w:pPr>
                  <w:r>
                    <w:rPr>
                      <w:color w:val="auto"/>
                      <w:sz w:val="21"/>
                      <w:szCs w:val="21"/>
                    </w:rPr>
                    <w:t>-</w:t>
                  </w:r>
                </w:p>
              </w:tc>
              <w:tc>
                <w:tcPr>
                  <w:tcW w:w="837" w:type="dxa"/>
                  <w:vAlign w:val="center"/>
                </w:tcPr>
                <w:p w14:paraId="5B743AC1">
                  <w:pPr>
                    <w:pStyle w:val="2"/>
                    <w:jc w:val="center"/>
                    <w:rPr>
                      <w:color w:val="auto"/>
                      <w:sz w:val="21"/>
                      <w:szCs w:val="21"/>
                    </w:rPr>
                  </w:pPr>
                  <w:r>
                    <w:rPr>
                      <w:color w:val="auto"/>
                      <w:sz w:val="21"/>
                      <w:szCs w:val="21"/>
                    </w:rPr>
                    <w:t>/</w:t>
                  </w:r>
                </w:p>
              </w:tc>
            </w:tr>
            <w:tr w14:paraId="2E276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605" w:type="dxa"/>
                  <w:vAlign w:val="center"/>
                </w:tcPr>
                <w:p w14:paraId="7D123DBA">
                  <w:pPr>
                    <w:pStyle w:val="2"/>
                    <w:jc w:val="center"/>
                    <w:rPr>
                      <w:color w:val="auto"/>
                      <w:sz w:val="21"/>
                      <w:szCs w:val="21"/>
                    </w:rPr>
                  </w:pPr>
                  <w:r>
                    <w:rPr>
                      <w:rFonts w:hint="eastAsia"/>
                      <w:color w:val="auto"/>
                      <w:sz w:val="21"/>
                      <w:szCs w:val="21"/>
                    </w:rPr>
                    <w:t>检验</w:t>
                  </w:r>
                </w:p>
              </w:tc>
              <w:tc>
                <w:tcPr>
                  <w:tcW w:w="684" w:type="dxa"/>
                  <w:vAlign w:val="center"/>
                </w:tcPr>
                <w:p w14:paraId="67142717">
                  <w:pPr>
                    <w:pStyle w:val="2"/>
                    <w:jc w:val="center"/>
                    <w:rPr>
                      <w:color w:val="auto"/>
                      <w:sz w:val="21"/>
                      <w:szCs w:val="21"/>
                    </w:rPr>
                  </w:pPr>
                  <w:r>
                    <w:rPr>
                      <w:rFonts w:hint="eastAsia"/>
                      <w:color w:val="auto"/>
                      <w:sz w:val="21"/>
                      <w:szCs w:val="21"/>
                    </w:rPr>
                    <w:t>检验科</w:t>
                  </w:r>
                </w:p>
              </w:tc>
              <w:tc>
                <w:tcPr>
                  <w:tcW w:w="1218" w:type="dxa"/>
                  <w:vAlign w:val="center"/>
                </w:tcPr>
                <w:p w14:paraId="50045E9E">
                  <w:pPr>
                    <w:pStyle w:val="2"/>
                    <w:jc w:val="center"/>
                    <w:rPr>
                      <w:rFonts w:hint="eastAsia" w:eastAsia="宋体"/>
                      <w:color w:val="auto"/>
                      <w:sz w:val="21"/>
                      <w:szCs w:val="21"/>
                      <w:lang w:eastAsia="zh-CN"/>
                    </w:rPr>
                  </w:pPr>
                  <w:r>
                    <w:rPr>
                      <w:rFonts w:hint="eastAsia"/>
                      <w:color w:val="auto"/>
                      <w:sz w:val="21"/>
                      <w:szCs w:val="21"/>
                    </w:rPr>
                    <w:t>有组织</w:t>
                  </w:r>
                  <w:r>
                    <w:rPr>
                      <w:rFonts w:hint="eastAsia"/>
                      <w:color w:val="auto"/>
                      <w:lang w:eastAsia="zh-CN"/>
                    </w:rPr>
                    <w:t>（风柜及消毒灭菌柜）</w:t>
                  </w:r>
                </w:p>
              </w:tc>
              <w:tc>
                <w:tcPr>
                  <w:tcW w:w="1063" w:type="dxa"/>
                  <w:vAlign w:val="center"/>
                </w:tcPr>
                <w:p w14:paraId="1E418EEA">
                  <w:pPr>
                    <w:pStyle w:val="2"/>
                    <w:jc w:val="center"/>
                    <w:rPr>
                      <w:color w:val="auto"/>
                      <w:sz w:val="21"/>
                      <w:szCs w:val="21"/>
                    </w:rPr>
                  </w:pPr>
                  <w:r>
                    <w:rPr>
                      <w:rFonts w:hint="eastAsia"/>
                      <w:color w:val="auto"/>
                      <w:sz w:val="21"/>
                      <w:szCs w:val="21"/>
                    </w:rPr>
                    <w:t>含病原微生物废气</w:t>
                  </w:r>
                </w:p>
              </w:tc>
              <w:tc>
                <w:tcPr>
                  <w:tcW w:w="846" w:type="dxa"/>
                  <w:vAlign w:val="center"/>
                </w:tcPr>
                <w:p w14:paraId="557FB55A">
                  <w:pPr>
                    <w:pStyle w:val="2"/>
                    <w:jc w:val="center"/>
                    <w:rPr>
                      <w:color w:val="auto"/>
                      <w:sz w:val="21"/>
                      <w:szCs w:val="21"/>
                    </w:rPr>
                  </w:pPr>
                  <w:r>
                    <w:rPr>
                      <w:color w:val="auto"/>
                      <w:sz w:val="21"/>
                      <w:szCs w:val="21"/>
                    </w:rPr>
                    <w:t>-</w:t>
                  </w:r>
                </w:p>
              </w:tc>
              <w:tc>
                <w:tcPr>
                  <w:tcW w:w="634" w:type="dxa"/>
                  <w:vAlign w:val="center"/>
                </w:tcPr>
                <w:p w14:paraId="013A424A">
                  <w:pPr>
                    <w:pStyle w:val="2"/>
                    <w:jc w:val="center"/>
                    <w:rPr>
                      <w:color w:val="auto"/>
                      <w:sz w:val="21"/>
                      <w:szCs w:val="21"/>
                    </w:rPr>
                  </w:pPr>
                  <w:r>
                    <w:rPr>
                      <w:color w:val="auto"/>
                      <w:sz w:val="21"/>
                      <w:szCs w:val="21"/>
                    </w:rPr>
                    <w:t>少量</w:t>
                  </w:r>
                </w:p>
              </w:tc>
              <w:tc>
                <w:tcPr>
                  <w:tcW w:w="1115" w:type="dxa"/>
                  <w:vAlign w:val="center"/>
                </w:tcPr>
                <w:p w14:paraId="3FFBBF4F">
                  <w:pPr>
                    <w:pStyle w:val="2"/>
                    <w:jc w:val="center"/>
                    <w:rPr>
                      <w:color w:val="auto"/>
                      <w:sz w:val="21"/>
                      <w:szCs w:val="21"/>
                    </w:rPr>
                  </w:pPr>
                  <w:r>
                    <w:rPr>
                      <w:color w:val="auto"/>
                      <w:sz w:val="21"/>
                      <w:szCs w:val="21"/>
                    </w:rPr>
                    <w:t>-</w:t>
                  </w:r>
                </w:p>
              </w:tc>
              <w:tc>
                <w:tcPr>
                  <w:tcW w:w="1117" w:type="dxa"/>
                  <w:vAlign w:val="center"/>
                </w:tcPr>
                <w:p w14:paraId="7EC6BF7C">
                  <w:pPr>
                    <w:pStyle w:val="2"/>
                    <w:jc w:val="center"/>
                    <w:rPr>
                      <w:color w:val="auto"/>
                      <w:sz w:val="21"/>
                      <w:szCs w:val="21"/>
                    </w:rPr>
                  </w:pPr>
                  <w:r>
                    <w:rPr>
                      <w:color w:val="auto"/>
                      <w:sz w:val="21"/>
                      <w:szCs w:val="21"/>
                    </w:rPr>
                    <w:t>-</w:t>
                  </w:r>
                </w:p>
              </w:tc>
              <w:tc>
                <w:tcPr>
                  <w:tcW w:w="697" w:type="dxa"/>
                  <w:vAlign w:val="center"/>
                </w:tcPr>
                <w:p w14:paraId="7B551CFD">
                  <w:pPr>
                    <w:pStyle w:val="2"/>
                    <w:jc w:val="center"/>
                    <w:rPr>
                      <w:color w:val="auto"/>
                      <w:sz w:val="21"/>
                      <w:szCs w:val="21"/>
                    </w:rPr>
                  </w:pPr>
                  <w:r>
                    <w:rPr>
                      <w:color w:val="auto"/>
                      <w:sz w:val="21"/>
                      <w:szCs w:val="21"/>
                    </w:rPr>
                    <w:t>-</w:t>
                  </w:r>
                </w:p>
              </w:tc>
              <w:tc>
                <w:tcPr>
                  <w:tcW w:w="837" w:type="dxa"/>
                  <w:vAlign w:val="center"/>
                </w:tcPr>
                <w:p w14:paraId="378EA8F2">
                  <w:pPr>
                    <w:pStyle w:val="2"/>
                    <w:jc w:val="center"/>
                    <w:rPr>
                      <w:color w:val="auto"/>
                      <w:sz w:val="21"/>
                      <w:szCs w:val="21"/>
                    </w:rPr>
                  </w:pPr>
                  <w:r>
                    <w:rPr>
                      <w:color w:val="auto"/>
                      <w:sz w:val="21"/>
                      <w:szCs w:val="21"/>
                    </w:rPr>
                    <w:t>-</w:t>
                  </w:r>
                </w:p>
              </w:tc>
              <w:tc>
                <w:tcPr>
                  <w:tcW w:w="696" w:type="dxa"/>
                  <w:vAlign w:val="center"/>
                </w:tcPr>
                <w:p w14:paraId="5A835318">
                  <w:pPr>
                    <w:pStyle w:val="2"/>
                    <w:jc w:val="center"/>
                    <w:rPr>
                      <w:color w:val="auto"/>
                      <w:sz w:val="21"/>
                      <w:szCs w:val="21"/>
                    </w:rPr>
                  </w:pPr>
                  <w:r>
                    <w:rPr>
                      <w:color w:val="auto"/>
                      <w:sz w:val="21"/>
                      <w:szCs w:val="21"/>
                    </w:rPr>
                    <w:t>-</w:t>
                  </w:r>
                </w:p>
              </w:tc>
              <w:tc>
                <w:tcPr>
                  <w:tcW w:w="1115" w:type="dxa"/>
                  <w:vAlign w:val="center"/>
                </w:tcPr>
                <w:p w14:paraId="75DE793B">
                  <w:pPr>
                    <w:pStyle w:val="2"/>
                    <w:jc w:val="center"/>
                    <w:rPr>
                      <w:color w:val="auto"/>
                      <w:sz w:val="21"/>
                      <w:szCs w:val="21"/>
                    </w:rPr>
                  </w:pPr>
                  <w:r>
                    <w:rPr>
                      <w:color w:val="auto"/>
                      <w:sz w:val="21"/>
                      <w:szCs w:val="21"/>
                    </w:rPr>
                    <w:t>少量</w:t>
                  </w:r>
                </w:p>
              </w:tc>
              <w:tc>
                <w:tcPr>
                  <w:tcW w:w="1115" w:type="dxa"/>
                  <w:vAlign w:val="center"/>
                </w:tcPr>
                <w:p w14:paraId="0FF132E2">
                  <w:pPr>
                    <w:pStyle w:val="2"/>
                    <w:jc w:val="center"/>
                    <w:rPr>
                      <w:color w:val="auto"/>
                      <w:sz w:val="21"/>
                      <w:szCs w:val="21"/>
                    </w:rPr>
                  </w:pPr>
                  <w:r>
                    <w:rPr>
                      <w:color w:val="auto"/>
                      <w:sz w:val="21"/>
                      <w:szCs w:val="21"/>
                    </w:rPr>
                    <w:t>-</w:t>
                  </w:r>
                </w:p>
              </w:tc>
              <w:tc>
                <w:tcPr>
                  <w:tcW w:w="1117" w:type="dxa"/>
                  <w:vAlign w:val="center"/>
                </w:tcPr>
                <w:p w14:paraId="08B6FA2A">
                  <w:pPr>
                    <w:pStyle w:val="2"/>
                    <w:jc w:val="center"/>
                    <w:rPr>
                      <w:color w:val="auto"/>
                      <w:sz w:val="21"/>
                      <w:szCs w:val="21"/>
                    </w:rPr>
                  </w:pPr>
                  <w:r>
                    <w:rPr>
                      <w:color w:val="auto"/>
                      <w:sz w:val="21"/>
                      <w:szCs w:val="21"/>
                    </w:rPr>
                    <w:t>-</w:t>
                  </w:r>
                </w:p>
              </w:tc>
              <w:tc>
                <w:tcPr>
                  <w:tcW w:w="837" w:type="dxa"/>
                  <w:vAlign w:val="center"/>
                </w:tcPr>
                <w:p w14:paraId="599D27A3">
                  <w:pPr>
                    <w:pStyle w:val="2"/>
                    <w:jc w:val="center"/>
                    <w:rPr>
                      <w:color w:val="auto"/>
                      <w:sz w:val="21"/>
                      <w:szCs w:val="21"/>
                    </w:rPr>
                  </w:pPr>
                  <w:r>
                    <w:rPr>
                      <w:color w:val="auto"/>
                      <w:sz w:val="21"/>
                      <w:szCs w:val="21"/>
                    </w:rPr>
                    <w:t>/</w:t>
                  </w:r>
                </w:p>
              </w:tc>
            </w:tr>
          </w:tbl>
          <w:p w14:paraId="20A110E3">
            <w:pPr>
              <w:widowControl/>
              <w:ind w:firstLine="0" w:firstLineChars="0"/>
              <w:jc w:val="left"/>
              <w:rPr>
                <w:color w:val="auto"/>
                <w:kern w:val="0"/>
                <w:szCs w:val="24"/>
                <w:lang w:bidi="ar"/>
              </w:rPr>
            </w:pPr>
          </w:p>
          <w:p w14:paraId="2083460B">
            <w:pPr>
              <w:pStyle w:val="2"/>
              <w:rPr>
                <w:color w:val="auto"/>
                <w:lang w:bidi="ar"/>
              </w:rPr>
            </w:pPr>
          </w:p>
        </w:tc>
      </w:tr>
    </w:tbl>
    <w:p w14:paraId="72C7565B">
      <w:pPr>
        <w:ind w:firstLine="0" w:firstLineChars="0"/>
        <w:jc w:val="center"/>
        <w:rPr>
          <w:color w:val="auto"/>
        </w:rPr>
        <w:sectPr>
          <w:pgSz w:w="16838" w:h="11906" w:orient="landscape"/>
          <w:pgMar w:top="1800" w:right="1440" w:bottom="1800" w:left="1440" w:header="851" w:footer="992" w:gutter="0"/>
          <w:pgNumType w:fmt="decimal"/>
          <w:cols w:space="720" w:num="1"/>
          <w:docGrid w:type="lines" w:linePitch="326" w:charSpace="0"/>
        </w:sectPr>
      </w:pPr>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34"/>
        <w:gridCol w:w="8088"/>
      </w:tblGrid>
      <w:tr w14:paraId="5EBD3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31" w:hRule="atLeast"/>
        </w:trPr>
        <w:tc>
          <w:tcPr>
            <w:tcW w:w="434" w:type="dxa"/>
            <w:vAlign w:val="center"/>
          </w:tcPr>
          <w:p w14:paraId="0FE1DAB8">
            <w:pPr>
              <w:ind w:firstLine="0" w:firstLineChars="0"/>
              <w:jc w:val="center"/>
              <w:rPr>
                <w:color w:val="auto"/>
              </w:rPr>
            </w:pPr>
          </w:p>
        </w:tc>
        <w:tc>
          <w:tcPr>
            <w:tcW w:w="8088" w:type="dxa"/>
            <w:vAlign w:val="center"/>
          </w:tcPr>
          <w:p w14:paraId="09D2FAFA">
            <w:pPr>
              <w:widowControl/>
              <w:ind w:firstLine="482"/>
              <w:jc w:val="left"/>
              <w:rPr>
                <w:color w:val="auto"/>
              </w:rPr>
            </w:pPr>
            <w:r>
              <w:rPr>
                <w:b/>
                <w:bCs/>
                <w:color w:val="auto"/>
              </w:rPr>
              <w:t>2、防治措施可行性分析：</w:t>
            </w:r>
          </w:p>
          <w:p w14:paraId="30E1F158">
            <w:pPr>
              <w:widowControl/>
              <w:ind w:firstLine="480"/>
              <w:jc w:val="left"/>
              <w:rPr>
                <w:color w:val="auto"/>
              </w:rPr>
            </w:pPr>
            <w:r>
              <w:rPr>
                <w:color w:val="auto"/>
              </w:rPr>
              <w:t>（1）</w:t>
            </w:r>
            <w:r>
              <w:rPr>
                <w:color w:val="auto"/>
                <w:kern w:val="0"/>
                <w:szCs w:val="24"/>
                <w:lang w:bidi="ar"/>
              </w:rPr>
              <w:t>污水处理设备为全封闭型设施，平时均为密闭状态，污水处理站的各构筑物将加盖密闭，</w:t>
            </w:r>
            <w:r>
              <w:rPr>
                <w:color w:val="auto"/>
              </w:rPr>
              <w:t>恶臭产生量较少，措施可行。</w:t>
            </w:r>
          </w:p>
          <w:p w14:paraId="6C73AD9B">
            <w:pPr>
              <w:widowControl/>
              <w:ind w:firstLine="480"/>
              <w:jc w:val="left"/>
              <w:rPr>
                <w:color w:val="auto"/>
              </w:rPr>
            </w:pPr>
            <w:r>
              <w:rPr>
                <w:color w:val="auto"/>
              </w:rPr>
              <w:t>（2）恶臭主要为无组织排放，化粪池清运、拉运污泥为年清理2次，医疗废物定期清运，恶臭产生量较少，</w:t>
            </w:r>
            <w:r>
              <w:rPr>
                <w:color w:val="auto"/>
                <w:szCs w:val="24"/>
              </w:rPr>
              <w:t>卫生间每天清扫1次，</w:t>
            </w:r>
            <w:r>
              <w:rPr>
                <w:color w:val="auto"/>
              </w:rPr>
              <w:t>垃圾收集采用密闭式垃圾桶，日产日清，恶臭产生量较少，措施可行。</w:t>
            </w:r>
          </w:p>
          <w:p w14:paraId="3E4ECE62">
            <w:pPr>
              <w:widowControl/>
              <w:ind w:firstLine="480"/>
              <w:jc w:val="left"/>
              <w:rPr>
                <w:color w:val="auto"/>
              </w:rPr>
            </w:pPr>
            <w:r>
              <w:rPr>
                <w:color w:val="auto"/>
              </w:rPr>
              <w:t>（3）厨房油烟采用处理效率为75%的抽油烟机处理，属于可行性技术；</w:t>
            </w:r>
          </w:p>
          <w:p w14:paraId="7AE1633D">
            <w:pPr>
              <w:widowControl/>
              <w:ind w:firstLine="480"/>
              <w:jc w:val="left"/>
              <w:rPr>
                <w:color w:val="auto"/>
              </w:rPr>
            </w:pPr>
            <w:r>
              <w:rPr>
                <w:color w:val="auto"/>
              </w:rPr>
              <w:t>（4）项目位于城区范围内，基本不会停电，所以备用发电机使用频率较低，产生的废气通过自然扩散、空气稀释处理后，对周边环境的影响不大，措施可行。</w:t>
            </w:r>
          </w:p>
          <w:p w14:paraId="347F2670">
            <w:pPr>
              <w:widowControl/>
              <w:ind w:firstLine="480"/>
              <w:jc w:val="left"/>
              <w:rPr>
                <w:color w:val="auto"/>
                <w:kern w:val="0"/>
                <w:szCs w:val="24"/>
                <w:lang w:bidi="ar"/>
              </w:rPr>
            </w:pPr>
            <w:r>
              <w:rPr>
                <w:rFonts w:hint="eastAsia"/>
                <w:color w:val="auto"/>
                <w:kern w:val="0"/>
                <w:szCs w:val="24"/>
                <w:lang w:bidi="ar"/>
              </w:rPr>
              <w:t>（5）病房产生的含菌气体经紫外线灯及等离子空气消毒机进行消毒后经排风装置引至楼顶排风口，再经过滤器过滤处理后排风，因此最终排入外环境的废气量极少，对环境影响较小。</w:t>
            </w:r>
          </w:p>
          <w:p w14:paraId="3C61F642">
            <w:pPr>
              <w:widowControl/>
              <w:ind w:firstLine="480"/>
              <w:jc w:val="left"/>
              <w:rPr>
                <w:color w:val="auto"/>
                <w:kern w:val="0"/>
                <w:szCs w:val="24"/>
                <w:lang w:bidi="ar"/>
              </w:rPr>
            </w:pPr>
            <w:r>
              <w:rPr>
                <w:rFonts w:hint="eastAsia"/>
                <w:color w:val="auto"/>
                <w:kern w:val="0"/>
                <w:szCs w:val="24"/>
                <w:lang w:bidi="ar"/>
              </w:rPr>
              <w:t>（6）检验科、实验室运营过程中涉及到挥发性有机物使用，也涉及到微生物相关操作，挥发性有机试剂使用量相对较少，废气经收集处理后由管道排入空气中，最终进入外环境的废气量极少，对环境影响较小。</w:t>
            </w:r>
          </w:p>
          <w:p w14:paraId="23CEA4A5">
            <w:pPr>
              <w:widowControl/>
              <w:ind w:firstLine="480"/>
              <w:jc w:val="left"/>
              <w:rPr>
                <w:color w:val="auto"/>
                <w:kern w:val="0"/>
                <w:szCs w:val="24"/>
                <w:lang w:bidi="ar"/>
              </w:rPr>
            </w:pPr>
            <w:r>
              <w:rPr>
                <w:color w:val="auto"/>
                <w:kern w:val="0"/>
                <w:szCs w:val="24"/>
                <w:lang w:bidi="ar"/>
              </w:rPr>
              <w:t>此外，本项目废气处理工艺与《排污许可证申请与核发技术规范医疗机构》（HJ1105-2020）表A.1中污染防治设施名称及工艺对比情况如下：</w:t>
            </w:r>
          </w:p>
          <w:p w14:paraId="164ABEE2">
            <w:pPr>
              <w:pStyle w:val="38"/>
              <w:rPr>
                <w:rFonts w:ascii="Times New Roman" w:hAnsi="Times New Roman" w:eastAsia="宋体"/>
                <w:b/>
                <w:bCs/>
                <w:color w:val="auto"/>
              </w:rPr>
            </w:pPr>
            <w:r>
              <w:rPr>
                <w:rFonts w:ascii="Times New Roman" w:hAnsi="Times New Roman" w:eastAsia="宋体"/>
                <w:b/>
                <w:bCs/>
                <w:color w:val="auto"/>
              </w:rPr>
              <w:t>表4-3医疗机构排污单位废气治理可行技术参照表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627"/>
              <w:gridCol w:w="751"/>
              <w:gridCol w:w="1517"/>
              <w:gridCol w:w="1276"/>
              <w:gridCol w:w="775"/>
            </w:tblGrid>
            <w:tr w14:paraId="7EB91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9" w:type="dxa"/>
                  <w:vAlign w:val="center"/>
                </w:tcPr>
                <w:p w14:paraId="26548CD5">
                  <w:pPr>
                    <w:pStyle w:val="38"/>
                    <w:spacing w:line="240" w:lineRule="auto"/>
                    <w:rPr>
                      <w:rFonts w:ascii="Times New Roman" w:hAnsi="Times New Roman" w:eastAsia="宋体"/>
                      <w:b/>
                      <w:bCs/>
                      <w:color w:val="auto"/>
                    </w:rPr>
                  </w:pPr>
                  <w:r>
                    <w:rPr>
                      <w:rFonts w:ascii="Times New Roman" w:hAnsi="Times New Roman" w:eastAsia="宋体"/>
                      <w:b/>
                      <w:bCs/>
                      <w:color w:val="auto"/>
                    </w:rPr>
                    <w:t>污染物产生措施</w:t>
                  </w:r>
                </w:p>
              </w:tc>
              <w:tc>
                <w:tcPr>
                  <w:tcW w:w="1627" w:type="dxa"/>
                  <w:vAlign w:val="center"/>
                </w:tcPr>
                <w:p w14:paraId="4EA523FA">
                  <w:pPr>
                    <w:pStyle w:val="38"/>
                    <w:spacing w:line="240" w:lineRule="auto"/>
                    <w:rPr>
                      <w:rFonts w:ascii="Times New Roman" w:hAnsi="Times New Roman" w:eastAsia="宋体"/>
                      <w:b/>
                      <w:bCs/>
                      <w:color w:val="auto"/>
                    </w:rPr>
                  </w:pPr>
                  <w:r>
                    <w:rPr>
                      <w:rFonts w:ascii="Times New Roman" w:hAnsi="Times New Roman" w:eastAsia="宋体"/>
                      <w:b/>
                      <w:bCs/>
                      <w:color w:val="auto"/>
                    </w:rPr>
                    <w:t>污染物种类</w:t>
                  </w:r>
                </w:p>
              </w:tc>
              <w:tc>
                <w:tcPr>
                  <w:tcW w:w="751" w:type="dxa"/>
                  <w:vAlign w:val="center"/>
                </w:tcPr>
                <w:p w14:paraId="312863BA">
                  <w:pPr>
                    <w:pStyle w:val="38"/>
                    <w:spacing w:line="240" w:lineRule="auto"/>
                    <w:rPr>
                      <w:rFonts w:ascii="Times New Roman" w:hAnsi="Times New Roman" w:eastAsia="宋体"/>
                      <w:b/>
                      <w:bCs/>
                      <w:color w:val="auto"/>
                    </w:rPr>
                  </w:pPr>
                  <w:r>
                    <w:rPr>
                      <w:rFonts w:ascii="Times New Roman" w:hAnsi="Times New Roman" w:eastAsia="宋体"/>
                      <w:b/>
                      <w:bCs/>
                      <w:color w:val="auto"/>
                    </w:rPr>
                    <w:t>排放形式</w:t>
                  </w:r>
                </w:p>
              </w:tc>
              <w:tc>
                <w:tcPr>
                  <w:tcW w:w="1517" w:type="dxa"/>
                  <w:vAlign w:val="center"/>
                </w:tcPr>
                <w:p w14:paraId="1FA69F91">
                  <w:pPr>
                    <w:pStyle w:val="38"/>
                    <w:spacing w:line="240" w:lineRule="auto"/>
                    <w:rPr>
                      <w:rFonts w:ascii="Times New Roman" w:hAnsi="Times New Roman" w:eastAsia="宋体"/>
                      <w:b/>
                      <w:bCs/>
                      <w:color w:val="auto"/>
                    </w:rPr>
                  </w:pPr>
                  <w:r>
                    <w:rPr>
                      <w:rFonts w:ascii="Times New Roman" w:hAnsi="Times New Roman" w:eastAsia="宋体"/>
                      <w:b/>
                      <w:bCs/>
                      <w:color w:val="auto"/>
                    </w:rPr>
                    <w:t>可行性技术</w:t>
                  </w:r>
                </w:p>
              </w:tc>
              <w:tc>
                <w:tcPr>
                  <w:tcW w:w="1276" w:type="dxa"/>
                  <w:vAlign w:val="center"/>
                </w:tcPr>
                <w:p w14:paraId="7CC8AA7E">
                  <w:pPr>
                    <w:pStyle w:val="38"/>
                    <w:spacing w:line="240" w:lineRule="auto"/>
                    <w:rPr>
                      <w:rFonts w:ascii="Times New Roman" w:hAnsi="Times New Roman" w:eastAsia="宋体"/>
                      <w:b/>
                      <w:bCs/>
                      <w:color w:val="auto"/>
                    </w:rPr>
                  </w:pPr>
                  <w:r>
                    <w:rPr>
                      <w:rFonts w:ascii="Times New Roman" w:hAnsi="Times New Roman" w:eastAsia="宋体"/>
                      <w:b/>
                      <w:bCs/>
                      <w:color w:val="auto"/>
                    </w:rPr>
                    <w:t>本项目技术</w:t>
                  </w:r>
                </w:p>
              </w:tc>
              <w:tc>
                <w:tcPr>
                  <w:tcW w:w="775" w:type="dxa"/>
                  <w:vAlign w:val="center"/>
                </w:tcPr>
                <w:p w14:paraId="3CA0C3E8">
                  <w:pPr>
                    <w:pStyle w:val="38"/>
                    <w:spacing w:line="240" w:lineRule="auto"/>
                    <w:rPr>
                      <w:rFonts w:ascii="Times New Roman" w:hAnsi="Times New Roman" w:eastAsia="宋体"/>
                      <w:b/>
                      <w:bCs/>
                      <w:color w:val="auto"/>
                    </w:rPr>
                  </w:pPr>
                  <w:r>
                    <w:rPr>
                      <w:rFonts w:ascii="Times New Roman" w:hAnsi="Times New Roman" w:eastAsia="宋体"/>
                      <w:b/>
                      <w:bCs/>
                      <w:color w:val="auto"/>
                    </w:rPr>
                    <w:t>是否可行</w:t>
                  </w:r>
                </w:p>
              </w:tc>
            </w:tr>
            <w:tr w14:paraId="332E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9" w:type="dxa"/>
                  <w:vAlign w:val="center"/>
                </w:tcPr>
                <w:p w14:paraId="6276100F">
                  <w:pPr>
                    <w:pStyle w:val="2"/>
                    <w:jc w:val="center"/>
                    <w:rPr>
                      <w:color w:val="auto"/>
                      <w:sz w:val="21"/>
                      <w:szCs w:val="21"/>
                    </w:rPr>
                  </w:pPr>
                  <w:r>
                    <w:rPr>
                      <w:color w:val="auto"/>
                      <w:sz w:val="21"/>
                      <w:szCs w:val="21"/>
                    </w:rPr>
                    <w:t>污水处理站</w:t>
                  </w:r>
                </w:p>
              </w:tc>
              <w:tc>
                <w:tcPr>
                  <w:tcW w:w="1627" w:type="dxa"/>
                  <w:vAlign w:val="center"/>
                </w:tcPr>
                <w:p w14:paraId="42AA3469">
                  <w:pPr>
                    <w:pStyle w:val="2"/>
                    <w:jc w:val="center"/>
                    <w:rPr>
                      <w:color w:val="auto"/>
                      <w:sz w:val="21"/>
                      <w:szCs w:val="21"/>
                    </w:rPr>
                  </w:pPr>
                  <w:r>
                    <w:rPr>
                      <w:color w:val="auto"/>
                      <w:sz w:val="21"/>
                      <w:szCs w:val="21"/>
                    </w:rPr>
                    <w:t>氨、硫化氢、臭气浓度、甲烷、氯气</w:t>
                  </w:r>
                </w:p>
              </w:tc>
              <w:tc>
                <w:tcPr>
                  <w:tcW w:w="751" w:type="dxa"/>
                  <w:vAlign w:val="center"/>
                </w:tcPr>
                <w:p w14:paraId="144830DF">
                  <w:pPr>
                    <w:pStyle w:val="2"/>
                    <w:jc w:val="center"/>
                    <w:rPr>
                      <w:color w:val="auto"/>
                      <w:sz w:val="21"/>
                      <w:szCs w:val="21"/>
                    </w:rPr>
                  </w:pPr>
                  <w:r>
                    <w:rPr>
                      <w:color w:val="auto"/>
                      <w:sz w:val="21"/>
                      <w:szCs w:val="21"/>
                    </w:rPr>
                    <w:t>无组织</w:t>
                  </w:r>
                </w:p>
              </w:tc>
              <w:tc>
                <w:tcPr>
                  <w:tcW w:w="1517" w:type="dxa"/>
                  <w:vAlign w:val="center"/>
                </w:tcPr>
                <w:p w14:paraId="73A156E0">
                  <w:pPr>
                    <w:pStyle w:val="2"/>
                    <w:jc w:val="center"/>
                    <w:rPr>
                      <w:color w:val="auto"/>
                      <w:sz w:val="21"/>
                      <w:szCs w:val="21"/>
                    </w:rPr>
                  </w:pPr>
                  <w:r>
                    <w:rPr>
                      <w:color w:val="auto"/>
                      <w:sz w:val="21"/>
                      <w:szCs w:val="21"/>
                    </w:rPr>
                    <w:t>产生恶臭区域加罩或加盖，投放除臭剂；</w:t>
                  </w:r>
                </w:p>
              </w:tc>
              <w:tc>
                <w:tcPr>
                  <w:tcW w:w="1276" w:type="dxa"/>
                  <w:vAlign w:val="center"/>
                </w:tcPr>
                <w:p w14:paraId="5F03E02E">
                  <w:pPr>
                    <w:pStyle w:val="2"/>
                    <w:jc w:val="center"/>
                    <w:rPr>
                      <w:color w:val="auto"/>
                      <w:sz w:val="21"/>
                      <w:szCs w:val="21"/>
                    </w:rPr>
                  </w:pPr>
                  <w:r>
                    <w:rPr>
                      <w:color w:val="auto"/>
                      <w:sz w:val="21"/>
                      <w:szCs w:val="21"/>
                    </w:rPr>
                    <w:t>加盖密闭</w:t>
                  </w:r>
                </w:p>
              </w:tc>
              <w:tc>
                <w:tcPr>
                  <w:tcW w:w="775" w:type="dxa"/>
                  <w:vAlign w:val="center"/>
                </w:tcPr>
                <w:p w14:paraId="2C2E7146">
                  <w:pPr>
                    <w:pStyle w:val="2"/>
                    <w:jc w:val="center"/>
                    <w:rPr>
                      <w:color w:val="auto"/>
                      <w:sz w:val="21"/>
                      <w:szCs w:val="21"/>
                    </w:rPr>
                  </w:pPr>
                  <w:r>
                    <w:rPr>
                      <w:color w:val="auto"/>
                      <w:sz w:val="21"/>
                      <w:szCs w:val="21"/>
                    </w:rPr>
                    <w:t>可行</w:t>
                  </w:r>
                </w:p>
              </w:tc>
            </w:tr>
          </w:tbl>
          <w:p w14:paraId="3827384A">
            <w:pPr>
              <w:widowControl/>
              <w:ind w:firstLine="480"/>
              <w:jc w:val="left"/>
              <w:rPr>
                <w:color w:val="auto"/>
                <w:kern w:val="0"/>
                <w:szCs w:val="24"/>
                <w:lang w:bidi="ar"/>
              </w:rPr>
            </w:pPr>
            <w:r>
              <w:rPr>
                <w:color w:val="auto"/>
                <w:kern w:val="0"/>
                <w:szCs w:val="24"/>
                <w:lang w:bidi="ar"/>
              </w:rPr>
              <w:t>综上所述，本项目废气处理装置技术可行。</w:t>
            </w:r>
          </w:p>
          <w:p w14:paraId="5DDD776F">
            <w:pPr>
              <w:widowControl/>
              <w:ind w:firstLine="482"/>
              <w:jc w:val="left"/>
              <w:rPr>
                <w:color w:val="auto"/>
              </w:rPr>
            </w:pPr>
            <w:r>
              <w:rPr>
                <w:b/>
                <w:bCs/>
                <w:color w:val="auto"/>
                <w:kern w:val="0"/>
                <w:szCs w:val="24"/>
                <w:lang w:bidi="ar"/>
              </w:rPr>
              <w:t>3、废气监测要求</w:t>
            </w:r>
          </w:p>
          <w:p w14:paraId="6B588B4D">
            <w:pPr>
              <w:widowControl/>
              <w:ind w:firstLine="480"/>
              <w:jc w:val="left"/>
              <w:rPr>
                <w:color w:val="auto"/>
                <w:kern w:val="0"/>
                <w:szCs w:val="24"/>
                <w:lang w:bidi="ar"/>
              </w:rPr>
            </w:pPr>
            <w:r>
              <w:rPr>
                <w:color w:val="auto"/>
                <w:kern w:val="0"/>
                <w:szCs w:val="24"/>
                <w:lang w:bidi="ar"/>
              </w:rPr>
              <w:t>根据《固定污染源排污许可分类管理名录》（2019年版）、《排污单位自行监测技术指南医疗机构》（HJ1105-2020），本项目为简化管理排污单位，制定废气监测计划如下表。</w:t>
            </w:r>
          </w:p>
          <w:p w14:paraId="10B3FF2A">
            <w:pPr>
              <w:pStyle w:val="38"/>
              <w:ind w:firstLine="514"/>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4</w:t>
            </w:r>
            <w:r>
              <w:rPr>
                <w:rFonts w:ascii="Times New Roman" w:hAnsi="Times New Roman" w:eastAsia="宋体"/>
                <w:b/>
                <w:bCs/>
                <w:color w:val="auto"/>
              </w:rPr>
              <w:t>运营期监测计划表</w:t>
            </w:r>
          </w:p>
          <w:tbl>
            <w:tblPr>
              <w:tblStyle w:val="20"/>
              <w:tblW w:w="72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1117"/>
              <w:gridCol w:w="1336"/>
              <w:gridCol w:w="1091"/>
              <w:gridCol w:w="2878"/>
            </w:tblGrid>
            <w:tr w14:paraId="24D7E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42" w:type="dxa"/>
                  <w:vAlign w:val="center"/>
                </w:tcPr>
                <w:p w14:paraId="33CBA9A2">
                  <w:pPr>
                    <w:pStyle w:val="2"/>
                    <w:jc w:val="center"/>
                    <w:rPr>
                      <w:b/>
                      <w:bCs/>
                      <w:color w:val="auto"/>
                      <w:sz w:val="21"/>
                      <w:szCs w:val="21"/>
                    </w:rPr>
                  </w:pPr>
                  <w:r>
                    <w:rPr>
                      <w:b/>
                      <w:bCs/>
                      <w:color w:val="auto"/>
                      <w:sz w:val="21"/>
                      <w:szCs w:val="21"/>
                    </w:rPr>
                    <w:t>类别</w:t>
                  </w:r>
                </w:p>
              </w:tc>
              <w:tc>
                <w:tcPr>
                  <w:tcW w:w="1117" w:type="dxa"/>
                  <w:vAlign w:val="center"/>
                </w:tcPr>
                <w:p w14:paraId="48EF6BA8">
                  <w:pPr>
                    <w:pStyle w:val="2"/>
                    <w:jc w:val="center"/>
                    <w:rPr>
                      <w:b/>
                      <w:bCs/>
                      <w:color w:val="auto"/>
                      <w:sz w:val="21"/>
                      <w:szCs w:val="21"/>
                    </w:rPr>
                  </w:pPr>
                  <w:r>
                    <w:rPr>
                      <w:b/>
                      <w:bCs/>
                      <w:color w:val="auto"/>
                      <w:sz w:val="21"/>
                      <w:szCs w:val="21"/>
                    </w:rPr>
                    <w:t>监测点位</w:t>
                  </w:r>
                </w:p>
              </w:tc>
              <w:tc>
                <w:tcPr>
                  <w:tcW w:w="1336" w:type="dxa"/>
                  <w:vAlign w:val="center"/>
                </w:tcPr>
                <w:p w14:paraId="49EE66AD">
                  <w:pPr>
                    <w:pStyle w:val="2"/>
                    <w:jc w:val="center"/>
                    <w:rPr>
                      <w:b/>
                      <w:bCs/>
                      <w:color w:val="auto"/>
                      <w:sz w:val="21"/>
                      <w:szCs w:val="21"/>
                    </w:rPr>
                  </w:pPr>
                  <w:r>
                    <w:rPr>
                      <w:b/>
                      <w:bCs/>
                      <w:color w:val="auto"/>
                      <w:sz w:val="21"/>
                      <w:szCs w:val="21"/>
                    </w:rPr>
                    <w:t>监测指标</w:t>
                  </w:r>
                </w:p>
              </w:tc>
              <w:tc>
                <w:tcPr>
                  <w:tcW w:w="1091" w:type="dxa"/>
                  <w:vAlign w:val="center"/>
                </w:tcPr>
                <w:p w14:paraId="3E3F635A">
                  <w:pPr>
                    <w:pStyle w:val="2"/>
                    <w:jc w:val="center"/>
                    <w:rPr>
                      <w:b/>
                      <w:bCs/>
                      <w:color w:val="auto"/>
                      <w:sz w:val="21"/>
                      <w:szCs w:val="21"/>
                    </w:rPr>
                  </w:pPr>
                  <w:r>
                    <w:rPr>
                      <w:b/>
                      <w:bCs/>
                      <w:color w:val="auto"/>
                      <w:sz w:val="21"/>
                      <w:szCs w:val="21"/>
                    </w:rPr>
                    <w:t>监测频次</w:t>
                  </w:r>
                </w:p>
              </w:tc>
              <w:tc>
                <w:tcPr>
                  <w:tcW w:w="2878" w:type="dxa"/>
                  <w:vAlign w:val="center"/>
                </w:tcPr>
                <w:p w14:paraId="12BC64FB">
                  <w:pPr>
                    <w:pStyle w:val="2"/>
                    <w:jc w:val="center"/>
                    <w:rPr>
                      <w:b/>
                      <w:bCs/>
                      <w:color w:val="auto"/>
                      <w:sz w:val="21"/>
                      <w:szCs w:val="21"/>
                    </w:rPr>
                  </w:pPr>
                  <w:r>
                    <w:rPr>
                      <w:b/>
                      <w:bCs/>
                      <w:color w:val="auto"/>
                      <w:sz w:val="21"/>
                      <w:szCs w:val="21"/>
                    </w:rPr>
                    <w:t>执行标准</w:t>
                  </w:r>
                </w:p>
              </w:tc>
            </w:tr>
            <w:tr w14:paraId="2159A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38" w:hRule="atLeast"/>
                <w:jc w:val="center"/>
              </w:trPr>
              <w:tc>
                <w:tcPr>
                  <w:tcW w:w="842" w:type="dxa"/>
                  <w:vAlign w:val="center"/>
                </w:tcPr>
                <w:p w14:paraId="6A9F8E19">
                  <w:pPr>
                    <w:pStyle w:val="2"/>
                    <w:jc w:val="center"/>
                    <w:rPr>
                      <w:color w:val="auto"/>
                      <w:sz w:val="21"/>
                      <w:szCs w:val="21"/>
                    </w:rPr>
                  </w:pPr>
                  <w:r>
                    <w:rPr>
                      <w:color w:val="auto"/>
                      <w:sz w:val="21"/>
                      <w:szCs w:val="21"/>
                    </w:rPr>
                    <w:t>废气</w:t>
                  </w:r>
                </w:p>
              </w:tc>
              <w:tc>
                <w:tcPr>
                  <w:tcW w:w="1117" w:type="dxa"/>
                  <w:vAlign w:val="center"/>
                </w:tcPr>
                <w:p w14:paraId="3ECAB995">
                  <w:pPr>
                    <w:pStyle w:val="2"/>
                    <w:jc w:val="center"/>
                    <w:rPr>
                      <w:color w:val="auto"/>
                      <w:sz w:val="21"/>
                      <w:szCs w:val="21"/>
                    </w:rPr>
                  </w:pPr>
                  <w:r>
                    <w:rPr>
                      <w:color w:val="auto"/>
                      <w:sz w:val="21"/>
                      <w:szCs w:val="21"/>
                    </w:rPr>
                    <w:t>污水处理站周界</w:t>
                  </w:r>
                </w:p>
              </w:tc>
              <w:tc>
                <w:tcPr>
                  <w:tcW w:w="1336" w:type="dxa"/>
                  <w:vAlign w:val="center"/>
                </w:tcPr>
                <w:p w14:paraId="68BA896F">
                  <w:pPr>
                    <w:pStyle w:val="2"/>
                    <w:jc w:val="center"/>
                    <w:rPr>
                      <w:color w:val="auto"/>
                      <w:sz w:val="21"/>
                      <w:szCs w:val="21"/>
                    </w:rPr>
                  </w:pPr>
                  <w:r>
                    <w:rPr>
                      <w:color w:val="auto"/>
                      <w:sz w:val="21"/>
                      <w:szCs w:val="21"/>
                    </w:rPr>
                    <w:t>氨、硫化氢、臭气浓度、氯气、甲烷</w:t>
                  </w:r>
                </w:p>
              </w:tc>
              <w:tc>
                <w:tcPr>
                  <w:tcW w:w="1091" w:type="dxa"/>
                  <w:vAlign w:val="center"/>
                </w:tcPr>
                <w:p w14:paraId="6966B0F7">
                  <w:pPr>
                    <w:pStyle w:val="2"/>
                    <w:jc w:val="center"/>
                    <w:rPr>
                      <w:color w:val="auto"/>
                      <w:sz w:val="21"/>
                      <w:szCs w:val="21"/>
                    </w:rPr>
                  </w:pPr>
                  <w:r>
                    <w:rPr>
                      <w:color w:val="auto"/>
                      <w:sz w:val="21"/>
                      <w:szCs w:val="21"/>
                    </w:rPr>
                    <w:t>1次/季度</w:t>
                  </w:r>
                </w:p>
              </w:tc>
              <w:tc>
                <w:tcPr>
                  <w:tcW w:w="2878" w:type="dxa"/>
                  <w:vAlign w:val="center"/>
                </w:tcPr>
                <w:p w14:paraId="7BA51A3B">
                  <w:pPr>
                    <w:pStyle w:val="2"/>
                    <w:rPr>
                      <w:color w:val="auto"/>
                      <w:sz w:val="21"/>
                      <w:szCs w:val="21"/>
                    </w:rPr>
                  </w:pPr>
                  <w:r>
                    <w:rPr>
                      <w:color w:val="auto"/>
                      <w:sz w:val="21"/>
                      <w:szCs w:val="21"/>
                    </w:rPr>
                    <w:t>《医疗机构水污染物排放标准》(GB18466-2005)中污水处理站周边大气污染物最高允许浓度的要求</w:t>
                  </w:r>
                </w:p>
              </w:tc>
            </w:tr>
          </w:tbl>
          <w:p w14:paraId="40156B25">
            <w:pPr>
              <w:widowControl/>
              <w:numPr>
                <w:ilvl w:val="0"/>
                <w:numId w:val="8"/>
              </w:numPr>
              <w:ind w:left="0" w:leftChars="0" w:firstLine="482" w:firstLineChars="200"/>
              <w:jc w:val="left"/>
              <w:rPr>
                <w:b/>
                <w:bCs/>
                <w:color w:val="auto"/>
              </w:rPr>
            </w:pPr>
            <w:r>
              <w:rPr>
                <w:b/>
                <w:bCs/>
                <w:color w:val="auto"/>
              </w:rPr>
              <w:t>废水</w:t>
            </w:r>
          </w:p>
          <w:p w14:paraId="63446625">
            <w:pPr>
              <w:widowControl/>
              <w:ind w:firstLine="482"/>
              <w:jc w:val="left"/>
              <w:rPr>
                <w:color w:val="auto"/>
              </w:rPr>
            </w:pPr>
            <w:r>
              <w:rPr>
                <w:b/>
                <w:bCs/>
                <w:color w:val="auto"/>
              </w:rPr>
              <w:t>1、废水源强分析</w:t>
            </w:r>
          </w:p>
          <w:p w14:paraId="08D34403">
            <w:pPr>
              <w:pStyle w:val="2"/>
              <w:rPr>
                <w:rFonts w:hint="eastAsia"/>
                <w:b/>
                <w:bCs/>
                <w:color w:val="auto"/>
                <w:sz w:val="28"/>
                <w:szCs w:val="28"/>
                <w:lang w:val="en-US" w:eastAsia="zh-CN"/>
              </w:rPr>
            </w:pPr>
            <w:r>
              <w:rPr>
                <w:rFonts w:hint="eastAsia"/>
                <w:b/>
                <w:bCs/>
                <w:color w:val="auto"/>
                <w:sz w:val="28"/>
                <w:szCs w:val="28"/>
                <w:lang w:val="en-US" w:eastAsia="zh-CN"/>
              </w:rPr>
              <w:t>江川区医共体总院：</w:t>
            </w:r>
          </w:p>
          <w:p w14:paraId="09625D88">
            <w:pPr>
              <w:tabs>
                <w:tab w:val="left" w:pos="2040"/>
              </w:tabs>
              <w:ind w:firstLine="470" w:firstLineChars="196"/>
              <w:rPr>
                <w:rFonts w:hint="default"/>
                <w:color w:val="auto"/>
                <w:kern w:val="0"/>
                <w:lang w:val="en-US" w:eastAsia="zh-CN"/>
              </w:rPr>
            </w:pPr>
            <w:r>
              <w:rPr>
                <w:rFonts w:hint="eastAsia"/>
                <w:color w:val="auto"/>
                <w:kern w:val="0"/>
                <w:lang w:val="en-US" w:eastAsia="zh-CN"/>
              </w:rPr>
              <w:t>本次扩建新增消毒中心，其他设施仅为改造，本次扩建项目不增加职工及病人数量，不新增生活用水。</w:t>
            </w:r>
          </w:p>
          <w:p w14:paraId="700D3633">
            <w:pPr>
              <w:tabs>
                <w:tab w:val="left" w:pos="2040"/>
              </w:tabs>
              <w:ind w:firstLine="470" w:firstLineChars="196"/>
              <w:rPr>
                <w:rFonts w:hint="eastAsia"/>
                <w:color w:val="auto"/>
                <w:kern w:val="0"/>
                <w:lang w:val="en-US" w:eastAsia="zh-CN"/>
              </w:rPr>
            </w:pPr>
            <w:r>
              <w:rPr>
                <w:rFonts w:hint="eastAsia"/>
                <w:color w:val="auto"/>
                <w:kern w:val="0"/>
                <w:lang w:val="en-US" w:eastAsia="zh-CN"/>
              </w:rPr>
              <w:t>（1）生产废水</w:t>
            </w:r>
          </w:p>
          <w:p w14:paraId="22014D70">
            <w:pPr>
              <w:tabs>
                <w:tab w:val="left" w:pos="2040"/>
              </w:tabs>
              <w:ind w:firstLine="470" w:firstLineChars="196"/>
              <w:rPr>
                <w:rFonts w:hint="eastAsia"/>
                <w:color w:val="auto"/>
                <w:kern w:val="0"/>
                <w:lang w:val="en-US" w:eastAsia="zh-CN"/>
              </w:rPr>
            </w:pPr>
            <w:r>
              <w:rPr>
                <w:rFonts w:hint="eastAsia"/>
                <w:color w:val="auto"/>
                <w:kern w:val="0"/>
                <w:lang w:val="en-US" w:eastAsia="zh-CN"/>
              </w:rPr>
              <w:t>①洗涤用水</w:t>
            </w:r>
          </w:p>
          <w:p w14:paraId="221254DD">
            <w:pPr>
              <w:pStyle w:val="57"/>
              <w:spacing w:before="4" w:line="373" w:lineRule="auto"/>
              <w:ind w:left="121" w:right="108"/>
              <w:rPr>
                <w:color w:val="auto"/>
              </w:rPr>
            </w:pPr>
            <w:r>
              <w:rPr>
                <w:rFonts w:hint="eastAsia"/>
                <w:color w:val="auto"/>
                <w:kern w:val="0"/>
                <w:lang w:val="en-US" w:eastAsia="zh-CN"/>
              </w:rPr>
              <w:t>硬、软器械清洗过程包括粗洗、酶洗、终末漂洗等环节，部分无法使用机器清洗的硬、软器械采用手工清洗，手工清洗也包含粗洗、酶洗、终末漂洗过程，硬、软器械清洗过程使用纯水和软水。硬、软器械清洗用水量：根据业主提供资料，硬、软器械粗洗、酶洗、终末漂洗和手工清洗过程纯水用量约0.864m</w:t>
            </w:r>
            <w:r>
              <w:rPr>
                <w:rFonts w:hint="eastAsia"/>
                <w:color w:val="auto"/>
                <w:kern w:val="0"/>
                <w:vertAlign w:val="superscript"/>
                <w:lang w:val="en-US" w:eastAsia="zh-CN"/>
              </w:rPr>
              <w:t>3</w:t>
            </w:r>
            <w:r>
              <w:rPr>
                <w:rFonts w:hint="eastAsia"/>
                <w:color w:val="auto"/>
                <w:kern w:val="0"/>
                <w:lang w:val="en-US" w:eastAsia="zh-CN"/>
              </w:rPr>
              <w:t>/d（315.36m</w:t>
            </w:r>
            <w:r>
              <w:rPr>
                <w:rFonts w:hint="eastAsia"/>
                <w:color w:val="auto"/>
                <w:kern w:val="0"/>
                <w:vertAlign w:val="superscript"/>
                <w:lang w:val="en-US" w:eastAsia="zh-CN"/>
              </w:rPr>
              <w:t>3</w:t>
            </w:r>
            <w:r>
              <w:rPr>
                <w:rFonts w:hint="eastAsia"/>
                <w:color w:val="auto"/>
                <w:kern w:val="0"/>
                <w:lang w:val="en-US" w:eastAsia="zh-CN"/>
              </w:rPr>
              <w:t>/a），软水用量约4.4m</w:t>
            </w:r>
            <w:r>
              <w:rPr>
                <w:rFonts w:hint="eastAsia"/>
                <w:color w:val="auto"/>
                <w:kern w:val="0"/>
                <w:vertAlign w:val="superscript"/>
                <w:lang w:val="en-US" w:eastAsia="zh-CN"/>
              </w:rPr>
              <w:t>3</w:t>
            </w:r>
            <w:r>
              <w:rPr>
                <w:rFonts w:hint="eastAsia"/>
                <w:color w:val="auto"/>
                <w:kern w:val="0"/>
                <w:lang w:val="en-US" w:eastAsia="zh-CN"/>
              </w:rPr>
              <w:t>/d</w:t>
            </w:r>
            <w:r>
              <w:rPr>
                <w:color w:val="auto"/>
                <w:spacing w:val="2"/>
              </w:rPr>
              <w:t>（</w:t>
            </w:r>
            <w:r>
              <w:rPr>
                <w:rFonts w:hint="eastAsia" w:ascii="Times New Roman" w:hAnsi="Times New Roman" w:eastAsia="宋体" w:cs="Times New Roman"/>
                <w:color w:val="auto"/>
                <w:spacing w:val="2"/>
                <w:lang w:val="en-US" w:eastAsia="zh-CN"/>
              </w:rPr>
              <w:t>1606</w:t>
            </w:r>
            <w:r>
              <w:rPr>
                <w:rFonts w:ascii="Times New Roman" w:hAnsi="Times New Roman" w:eastAsia="Times New Roman" w:cs="Times New Roman"/>
                <w:color w:val="auto"/>
                <w:spacing w:val="2"/>
              </w:rPr>
              <w:t>m</w:t>
            </w:r>
            <w:r>
              <w:rPr>
                <w:rFonts w:ascii="Times New Roman" w:hAnsi="Times New Roman" w:eastAsia="Times New Roman" w:cs="Times New Roman"/>
                <w:color w:val="auto"/>
                <w:spacing w:val="2"/>
                <w:position w:val="6"/>
                <w:sz w:val="13"/>
                <w:szCs w:val="13"/>
              </w:rPr>
              <w:t>3</w:t>
            </w:r>
            <w:r>
              <w:rPr>
                <w:rFonts w:ascii="Times New Roman" w:hAnsi="Times New Roman" w:eastAsia="Times New Roman" w:cs="Times New Roman"/>
                <w:color w:val="auto"/>
                <w:spacing w:val="2"/>
              </w:rPr>
              <w:t>/a</w:t>
            </w:r>
            <w:r>
              <w:rPr>
                <w:color w:val="auto"/>
                <w:spacing w:val="-40"/>
                <w:w w:val="75"/>
              </w:rPr>
              <w:t>），</w:t>
            </w:r>
            <w:r>
              <w:rPr>
                <w:color w:val="auto"/>
                <w:spacing w:val="2"/>
              </w:rPr>
              <w:t>用水总量为</w:t>
            </w:r>
            <w:r>
              <w:rPr>
                <w:rFonts w:hint="eastAsia" w:ascii="Times New Roman" w:hAnsi="Times New Roman" w:eastAsia="宋体" w:cs="Times New Roman"/>
                <w:color w:val="auto"/>
                <w:spacing w:val="2"/>
                <w:lang w:val="en-US" w:eastAsia="zh-CN"/>
              </w:rPr>
              <w:t>5.264</w:t>
            </w:r>
            <w:r>
              <w:rPr>
                <w:rFonts w:ascii="Times New Roman" w:hAnsi="Times New Roman" w:eastAsia="Times New Roman" w:cs="Times New Roman"/>
                <w:color w:val="auto"/>
                <w:spacing w:val="2"/>
              </w:rPr>
              <w:t>m</w:t>
            </w:r>
            <w:r>
              <w:rPr>
                <w:rFonts w:ascii="Times New Roman" w:hAnsi="Times New Roman" w:eastAsia="Times New Roman" w:cs="Times New Roman"/>
                <w:color w:val="auto"/>
                <w:spacing w:val="2"/>
                <w:position w:val="6"/>
                <w:sz w:val="13"/>
                <w:szCs w:val="13"/>
              </w:rPr>
              <w:t>3</w:t>
            </w:r>
            <w:r>
              <w:rPr>
                <w:rFonts w:ascii="Times New Roman" w:hAnsi="Times New Roman" w:eastAsia="Times New Roman" w:cs="Times New Roman"/>
                <w:color w:val="auto"/>
                <w:spacing w:val="2"/>
              </w:rPr>
              <w:t>/d</w:t>
            </w:r>
            <w:r>
              <w:rPr>
                <w:color w:val="auto"/>
                <w:spacing w:val="2"/>
              </w:rPr>
              <w:t>（</w:t>
            </w:r>
            <w:r>
              <w:rPr>
                <w:rFonts w:hint="eastAsia" w:ascii="Times New Roman" w:hAnsi="Times New Roman" w:eastAsia="宋体" w:cs="Times New Roman"/>
                <w:color w:val="auto"/>
                <w:spacing w:val="2"/>
                <w:lang w:val="en-US" w:eastAsia="zh-CN"/>
              </w:rPr>
              <w:t>1921.36</w:t>
            </w:r>
            <w:r>
              <w:rPr>
                <w:rFonts w:ascii="Times New Roman" w:hAnsi="Times New Roman" w:eastAsia="Times New Roman" w:cs="Times New Roman"/>
                <w:color w:val="auto"/>
                <w:spacing w:val="2"/>
              </w:rPr>
              <w:t>2m</w:t>
            </w:r>
            <w:r>
              <w:rPr>
                <w:rFonts w:ascii="Times New Roman" w:hAnsi="Times New Roman" w:eastAsia="Times New Roman" w:cs="Times New Roman"/>
                <w:color w:val="auto"/>
                <w:spacing w:val="2"/>
                <w:position w:val="6"/>
                <w:sz w:val="13"/>
                <w:szCs w:val="13"/>
              </w:rPr>
              <w:t>3</w:t>
            </w:r>
            <w:r>
              <w:rPr>
                <w:rFonts w:ascii="Times New Roman" w:hAnsi="Times New Roman" w:eastAsia="Times New Roman" w:cs="Times New Roman"/>
                <w:color w:val="auto"/>
                <w:spacing w:val="2"/>
              </w:rPr>
              <w:t>/a</w:t>
            </w:r>
            <w:r>
              <w:rPr>
                <w:color w:val="auto"/>
                <w:spacing w:val="-40"/>
                <w:w w:val="75"/>
              </w:rPr>
              <w:t>），</w:t>
            </w:r>
            <w:r>
              <w:rPr>
                <w:color w:val="auto"/>
                <w:spacing w:val="2"/>
              </w:rPr>
              <w:t>排水量按用水量的</w:t>
            </w:r>
            <w:r>
              <w:rPr>
                <w:rFonts w:ascii="Times New Roman" w:hAnsi="Times New Roman" w:eastAsia="Times New Roman" w:cs="Times New Roman"/>
                <w:color w:val="auto"/>
                <w:spacing w:val="2"/>
              </w:rPr>
              <w:t>90%</w:t>
            </w:r>
            <w:r>
              <w:rPr>
                <w:color w:val="auto"/>
                <w:spacing w:val="2"/>
              </w:rPr>
              <w:t>计，</w:t>
            </w:r>
            <w:r>
              <w:rPr>
                <w:color w:val="auto"/>
                <w:spacing w:val="1"/>
              </w:rPr>
              <w:t>为</w:t>
            </w:r>
            <w:r>
              <w:rPr>
                <w:rFonts w:hint="eastAsia" w:ascii="Times New Roman" w:hAnsi="Times New Roman" w:eastAsia="宋体" w:cs="Times New Roman"/>
                <w:color w:val="auto"/>
                <w:spacing w:val="1"/>
                <w:lang w:val="en-US" w:eastAsia="zh-CN"/>
              </w:rPr>
              <w:t>4.74</w:t>
            </w:r>
            <w:r>
              <w:rPr>
                <w:rFonts w:ascii="Times New Roman" w:hAnsi="Times New Roman" w:eastAsia="Times New Roman" w:cs="Times New Roman"/>
                <w:color w:val="auto"/>
                <w:spacing w:val="1"/>
              </w:rPr>
              <w:t>m</w:t>
            </w:r>
            <w:r>
              <w:rPr>
                <w:rFonts w:ascii="Times New Roman" w:hAnsi="Times New Roman" w:eastAsia="Times New Roman" w:cs="Times New Roman"/>
                <w:color w:val="auto"/>
                <w:spacing w:val="1"/>
                <w:position w:val="6"/>
                <w:sz w:val="13"/>
                <w:szCs w:val="13"/>
              </w:rPr>
              <w:t>3</w:t>
            </w:r>
            <w:r>
              <w:rPr>
                <w:rFonts w:ascii="Times New Roman" w:hAnsi="Times New Roman" w:eastAsia="Times New Roman" w:cs="Times New Roman"/>
                <w:color w:val="auto"/>
                <w:spacing w:val="1"/>
              </w:rPr>
              <w:t>/d</w:t>
            </w:r>
            <w:r>
              <w:rPr>
                <w:color w:val="auto"/>
                <w:spacing w:val="7"/>
              </w:rPr>
              <w:t>（</w:t>
            </w:r>
            <w:r>
              <w:rPr>
                <w:rFonts w:hint="eastAsia" w:ascii="Times New Roman" w:hAnsi="Times New Roman" w:eastAsia="宋体" w:cs="Times New Roman"/>
                <w:color w:val="auto"/>
                <w:spacing w:val="7"/>
                <w:lang w:val="en-US" w:eastAsia="zh-CN"/>
              </w:rPr>
              <w:t>1729.2</w:t>
            </w:r>
            <w:r>
              <w:rPr>
                <w:rFonts w:ascii="Times New Roman" w:hAnsi="Times New Roman" w:eastAsia="Times New Roman" w:cs="Times New Roman"/>
                <w:color w:val="auto"/>
                <w:spacing w:val="7"/>
              </w:rPr>
              <w:t>m</w:t>
            </w:r>
            <w:r>
              <w:rPr>
                <w:rFonts w:ascii="Times New Roman" w:hAnsi="Times New Roman" w:eastAsia="Times New Roman" w:cs="Times New Roman"/>
                <w:color w:val="auto"/>
                <w:spacing w:val="7"/>
                <w:position w:val="6"/>
                <w:sz w:val="13"/>
                <w:szCs w:val="13"/>
              </w:rPr>
              <w:t>3</w:t>
            </w:r>
            <w:r>
              <w:rPr>
                <w:rFonts w:ascii="Times New Roman" w:hAnsi="Times New Roman" w:eastAsia="Times New Roman" w:cs="Times New Roman"/>
                <w:color w:val="auto"/>
                <w:spacing w:val="7"/>
              </w:rPr>
              <w:t>/a</w:t>
            </w:r>
            <w:r>
              <w:rPr>
                <w:color w:val="auto"/>
                <w:spacing w:val="7"/>
              </w:rPr>
              <w:t>）。经污水处理站处理后进入市政污水管网。</w:t>
            </w:r>
          </w:p>
          <w:p w14:paraId="1E2213F3">
            <w:pPr>
              <w:pStyle w:val="57"/>
              <w:spacing w:before="41" w:line="367" w:lineRule="auto"/>
              <w:ind w:left="111" w:right="108" w:firstLine="429"/>
              <w:jc w:val="both"/>
              <w:rPr>
                <w:color w:val="auto"/>
              </w:rPr>
            </w:pPr>
            <w:r>
              <w:rPr>
                <w:color w:val="auto"/>
                <w:spacing w:val="10"/>
              </w:rPr>
              <w:t>医用纺织物清洗使用软水，医用纺织物清洗用水量：根据企</w:t>
            </w:r>
            <w:r>
              <w:rPr>
                <w:rFonts w:hint="eastAsia"/>
                <w:color w:val="auto"/>
                <w:spacing w:val="9"/>
                <w:lang w:val="en-US" w:eastAsia="zh-CN"/>
              </w:rPr>
              <w:t>业主</w:t>
            </w:r>
            <w:r>
              <w:rPr>
                <w:color w:val="auto"/>
                <w:spacing w:val="9"/>
              </w:rPr>
              <w:t>提供资料，医用纺织物</w:t>
            </w:r>
            <w:r>
              <w:rPr>
                <w:color w:val="auto"/>
                <w:spacing w:val="4"/>
              </w:rPr>
              <w:t>清洗消毒总用水量为</w:t>
            </w:r>
            <w:r>
              <w:rPr>
                <w:rFonts w:hint="eastAsia" w:ascii="Times New Roman" w:hAnsi="Times New Roman" w:eastAsia="宋体" w:cs="Times New Roman"/>
                <w:color w:val="auto"/>
                <w:spacing w:val="4"/>
                <w:lang w:val="en-US" w:eastAsia="zh-CN"/>
              </w:rPr>
              <w:t>5.12</w:t>
            </w:r>
            <w:r>
              <w:rPr>
                <w:rFonts w:ascii="Times New Roman" w:hAnsi="Times New Roman" w:eastAsia="Times New Roman" w:cs="Times New Roman"/>
                <w:color w:val="auto"/>
                <w:spacing w:val="4"/>
              </w:rPr>
              <w:t>m</w:t>
            </w:r>
            <w:r>
              <w:rPr>
                <w:rFonts w:ascii="Times New Roman" w:hAnsi="Times New Roman" w:eastAsia="Times New Roman" w:cs="Times New Roman"/>
                <w:color w:val="auto"/>
                <w:spacing w:val="4"/>
                <w:position w:val="6"/>
                <w:sz w:val="13"/>
                <w:szCs w:val="13"/>
              </w:rPr>
              <w:t>3</w:t>
            </w:r>
            <w:r>
              <w:rPr>
                <w:rFonts w:ascii="Times New Roman" w:hAnsi="Times New Roman" w:eastAsia="Times New Roman" w:cs="Times New Roman"/>
                <w:color w:val="auto"/>
                <w:spacing w:val="4"/>
              </w:rPr>
              <w:t>/d</w:t>
            </w:r>
            <w:r>
              <w:rPr>
                <w:color w:val="auto"/>
                <w:spacing w:val="4"/>
              </w:rPr>
              <w:t>（</w:t>
            </w:r>
            <w:r>
              <w:rPr>
                <w:rFonts w:hint="eastAsia" w:ascii="Times New Roman" w:hAnsi="Times New Roman" w:eastAsia="宋体" w:cs="Times New Roman"/>
                <w:color w:val="auto"/>
                <w:spacing w:val="4"/>
                <w:lang w:val="en-US" w:eastAsia="zh-CN"/>
              </w:rPr>
              <w:t>1868.8</w:t>
            </w:r>
            <w:r>
              <w:rPr>
                <w:rFonts w:ascii="Times New Roman" w:hAnsi="Times New Roman" w:eastAsia="Times New Roman" w:cs="Times New Roman"/>
                <w:color w:val="auto"/>
                <w:spacing w:val="4"/>
              </w:rPr>
              <w:t>m</w:t>
            </w:r>
            <w:r>
              <w:rPr>
                <w:rFonts w:ascii="Times New Roman" w:hAnsi="Times New Roman" w:eastAsia="Times New Roman" w:cs="Times New Roman"/>
                <w:color w:val="auto"/>
                <w:spacing w:val="4"/>
                <w:position w:val="6"/>
                <w:sz w:val="13"/>
                <w:szCs w:val="13"/>
              </w:rPr>
              <w:t>3</w:t>
            </w:r>
            <w:r>
              <w:rPr>
                <w:rFonts w:ascii="Times New Roman" w:hAnsi="Times New Roman" w:eastAsia="Times New Roman" w:cs="Times New Roman"/>
                <w:color w:val="auto"/>
                <w:spacing w:val="4"/>
              </w:rPr>
              <w:t>/a</w:t>
            </w:r>
            <w:r>
              <w:rPr>
                <w:color w:val="auto"/>
                <w:spacing w:val="-50"/>
                <w:w w:val="95"/>
              </w:rPr>
              <w:t>），</w:t>
            </w:r>
            <w:r>
              <w:rPr>
                <w:color w:val="auto"/>
                <w:spacing w:val="4"/>
              </w:rPr>
              <w:t>排水量按其用水量的</w:t>
            </w:r>
            <w:r>
              <w:rPr>
                <w:rFonts w:ascii="Times New Roman" w:hAnsi="Times New Roman" w:eastAsia="Times New Roman" w:cs="Times New Roman"/>
                <w:color w:val="auto"/>
                <w:spacing w:val="4"/>
              </w:rPr>
              <w:t>9</w:t>
            </w:r>
            <w:r>
              <w:rPr>
                <w:rFonts w:ascii="Times New Roman" w:hAnsi="Times New Roman" w:eastAsia="Times New Roman" w:cs="Times New Roman"/>
                <w:color w:val="auto"/>
                <w:spacing w:val="3"/>
              </w:rPr>
              <w:t>0%</w:t>
            </w:r>
            <w:r>
              <w:rPr>
                <w:color w:val="auto"/>
                <w:spacing w:val="3"/>
              </w:rPr>
              <w:t>估算，则为</w:t>
            </w:r>
            <w:r>
              <w:rPr>
                <w:rFonts w:hint="default" w:ascii="Times New Roman" w:hAnsi="Times New Roman" w:eastAsia="宋体" w:cs="Times New Roman"/>
                <w:color w:val="auto"/>
                <w:spacing w:val="4"/>
                <w:lang w:val="en-US" w:eastAsia="zh-CN"/>
              </w:rPr>
              <w:t>4.608</w:t>
            </w:r>
            <w:r>
              <w:rPr>
                <w:rFonts w:hint="eastAsia" w:ascii="Times New Roman" w:hAnsi="Times New Roman" w:eastAsia="宋体" w:cs="Times New Roman"/>
                <w:color w:val="auto"/>
                <w:spacing w:val="4"/>
                <w:lang w:val="en-US" w:eastAsia="zh-CN"/>
              </w:rPr>
              <w:t>m</w:t>
            </w:r>
            <w:r>
              <w:rPr>
                <w:rFonts w:ascii="Times New Roman" w:hAnsi="Times New Roman" w:eastAsia="Times New Roman" w:cs="Times New Roman"/>
                <w:color w:val="auto"/>
                <w:spacing w:val="3"/>
                <w:position w:val="6"/>
                <w:sz w:val="13"/>
                <w:szCs w:val="13"/>
              </w:rPr>
              <w:t>3</w:t>
            </w:r>
            <w:r>
              <w:rPr>
                <w:rFonts w:ascii="Times New Roman" w:hAnsi="Times New Roman" w:eastAsia="Times New Roman" w:cs="Times New Roman"/>
                <w:color w:val="auto"/>
                <w:spacing w:val="3"/>
              </w:rPr>
              <w:t>/d</w:t>
            </w:r>
            <w:r>
              <w:rPr>
                <w:color w:val="auto"/>
                <w:spacing w:val="8"/>
              </w:rPr>
              <w:t>（</w:t>
            </w:r>
            <w:r>
              <w:rPr>
                <w:rFonts w:hint="eastAsia" w:ascii="Times New Roman" w:hAnsi="Times New Roman" w:eastAsia="宋体" w:cs="Times New Roman"/>
                <w:color w:val="auto"/>
                <w:spacing w:val="8"/>
                <w:lang w:val="en-US" w:eastAsia="zh-CN"/>
              </w:rPr>
              <w:t>1681.9</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8"/>
              </w:rPr>
              <w:t>/a</w:t>
            </w:r>
            <w:r>
              <w:rPr>
                <w:color w:val="auto"/>
                <w:spacing w:val="8"/>
              </w:rPr>
              <w:t>）。经污水处理站处理</w:t>
            </w:r>
            <w:r>
              <w:rPr>
                <w:color w:val="auto"/>
                <w:spacing w:val="7"/>
              </w:rPr>
              <w:t>后进入市政污水管网。</w:t>
            </w:r>
          </w:p>
          <w:p w14:paraId="60877E3C">
            <w:pPr>
              <w:pStyle w:val="57"/>
              <w:spacing w:before="6" w:line="379" w:lineRule="auto"/>
              <w:ind w:left="101" w:right="108" w:firstLine="433"/>
              <w:rPr>
                <w:color w:val="auto"/>
              </w:rPr>
            </w:pPr>
            <w:r>
              <w:rPr>
                <w:color w:val="auto"/>
                <w:spacing w:val="13"/>
              </w:rPr>
              <w:t>综上所述，本项目洗涤用水总水量为</w:t>
            </w:r>
            <w:r>
              <w:rPr>
                <w:rFonts w:hint="eastAsia" w:ascii="Times New Roman" w:hAnsi="Times New Roman" w:eastAsia="Times New Roman" w:cs="Times New Roman"/>
                <w:color w:val="auto"/>
                <w:spacing w:val="13"/>
              </w:rPr>
              <w:t>3790.16</w:t>
            </w:r>
            <w:r>
              <w:rPr>
                <w:rFonts w:hint="eastAsia" w:ascii="Times New Roman" w:hAnsi="Times New Roman" w:eastAsia="宋体" w:cs="Times New Roman"/>
                <w:color w:val="auto"/>
                <w:spacing w:val="13"/>
                <w:lang w:val="en-US" w:eastAsia="zh-CN"/>
              </w:rPr>
              <w:t>2</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13"/>
              </w:rPr>
              <w:t>/a</w:t>
            </w:r>
            <w:r>
              <w:rPr>
                <w:color w:val="auto"/>
                <w:spacing w:val="13"/>
              </w:rPr>
              <w:t>（</w:t>
            </w:r>
            <w:r>
              <w:rPr>
                <w:rFonts w:hint="eastAsia" w:ascii="Times New Roman" w:hAnsi="Times New Roman" w:eastAsia="宋体" w:cs="Times New Roman"/>
                <w:color w:val="auto"/>
                <w:spacing w:val="13"/>
                <w:lang w:val="en-US" w:eastAsia="zh-CN"/>
              </w:rPr>
              <w:t>10.384</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13"/>
              </w:rPr>
              <w:t>/d</w:t>
            </w:r>
            <w:r>
              <w:rPr>
                <w:color w:val="auto"/>
              </w:rPr>
              <w:t>），</w:t>
            </w:r>
            <w:r>
              <w:rPr>
                <w:color w:val="auto"/>
                <w:spacing w:val="13"/>
              </w:rPr>
              <w:t>洗涤废水产生量为</w:t>
            </w:r>
            <w:r>
              <w:rPr>
                <w:rFonts w:hint="eastAsia" w:ascii="Times New Roman" w:hAnsi="Times New Roman" w:eastAsia="宋体" w:cs="Times New Roman"/>
                <w:color w:val="auto"/>
                <w:spacing w:val="9"/>
                <w:lang w:val="en-US" w:eastAsia="zh-CN"/>
              </w:rPr>
              <w:t>3411.1</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9"/>
              </w:rPr>
              <w:t>/a</w:t>
            </w:r>
            <w:r>
              <w:rPr>
                <w:color w:val="auto"/>
                <w:spacing w:val="9"/>
              </w:rPr>
              <w:t>（</w:t>
            </w:r>
            <w:r>
              <w:rPr>
                <w:rFonts w:hint="eastAsia"/>
                <w:color w:val="auto"/>
                <w:spacing w:val="9"/>
                <w:lang w:val="en-US" w:eastAsia="zh-CN"/>
              </w:rPr>
              <w:t>9.35</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9"/>
              </w:rPr>
              <w:t>/d</w:t>
            </w:r>
            <w:r>
              <w:rPr>
                <w:color w:val="auto"/>
                <w:spacing w:val="9"/>
              </w:rPr>
              <w:t>）。结合类比其他地区消毒供</w:t>
            </w:r>
            <w:r>
              <w:rPr>
                <w:color w:val="auto"/>
                <w:spacing w:val="8"/>
              </w:rPr>
              <w:t>应中心验收检测数据，同时</w:t>
            </w:r>
            <w:r>
              <w:rPr>
                <w:color w:val="auto"/>
                <w:spacing w:val="9"/>
              </w:rPr>
              <w:t>类比《泸西县人民医院洗涤消毒供应中心竣工环境保护验收检测报告》中洗涤废水的检测</w:t>
            </w:r>
            <w:r>
              <w:rPr>
                <w:color w:val="auto"/>
                <w:spacing w:val="10"/>
              </w:rPr>
              <w:t>数据，泸西县人民医院洗涤消毒供应中心建设项目主要进行医疗器械、手术衣、手术敷单的清洗灭菌，与本项目建设性质相同、工艺类似、原辅材料类似，具有可类比性。该项目于</w:t>
            </w:r>
            <w:r>
              <w:rPr>
                <w:rFonts w:ascii="Times New Roman" w:hAnsi="Times New Roman" w:eastAsia="Times New Roman" w:cs="Times New Roman"/>
                <w:color w:val="auto"/>
                <w:spacing w:val="10"/>
              </w:rPr>
              <w:t>2021</w:t>
            </w:r>
            <w:r>
              <w:rPr>
                <w:color w:val="auto"/>
                <w:spacing w:val="10"/>
              </w:rPr>
              <w:t>年</w:t>
            </w:r>
            <w:r>
              <w:rPr>
                <w:rFonts w:ascii="Times New Roman" w:hAnsi="Times New Roman" w:eastAsia="Times New Roman" w:cs="Times New Roman"/>
                <w:color w:val="auto"/>
                <w:spacing w:val="10"/>
              </w:rPr>
              <w:t>10</w:t>
            </w:r>
            <w:r>
              <w:rPr>
                <w:color w:val="auto"/>
                <w:spacing w:val="10"/>
              </w:rPr>
              <w:t>月对厂区自建污水处理站进出口进</w:t>
            </w:r>
            <w:r>
              <w:rPr>
                <w:color w:val="auto"/>
                <w:spacing w:val="9"/>
              </w:rPr>
              <w:t>行了竣工环境保护验收监测（报告编号：</w:t>
            </w:r>
            <w:r>
              <w:rPr>
                <w:rFonts w:ascii="Times New Roman" w:hAnsi="Times New Roman" w:eastAsia="Times New Roman" w:cs="Times New Roman"/>
                <w:color w:val="auto"/>
              </w:rPr>
              <w:t>XT</w:t>
            </w:r>
            <w:r>
              <w:rPr>
                <w:rFonts w:ascii="Times New Roman" w:hAnsi="Times New Roman" w:eastAsia="Times New Roman" w:cs="Times New Roman"/>
                <w:color w:val="auto"/>
                <w:spacing w:val="7"/>
              </w:rPr>
              <w:t>20211046</w:t>
            </w:r>
            <w:r>
              <w:rPr>
                <w:color w:val="auto"/>
                <w:spacing w:val="27"/>
              </w:rPr>
              <w:t>），</w:t>
            </w:r>
            <w:r>
              <w:rPr>
                <w:color w:val="auto"/>
                <w:spacing w:val="7"/>
              </w:rPr>
              <w:t>则洗涤废水水质为</w:t>
            </w:r>
            <w:r>
              <w:rPr>
                <w:rFonts w:ascii="Times New Roman" w:hAnsi="Times New Roman" w:eastAsia="Times New Roman" w:cs="Times New Roman"/>
                <w:color w:val="auto"/>
              </w:rPr>
              <w:t>pH</w:t>
            </w:r>
            <w:r>
              <w:rPr>
                <w:rFonts w:ascii="Times New Roman" w:hAnsi="Times New Roman" w:eastAsia="Times New Roman" w:cs="Times New Roman"/>
                <w:color w:val="auto"/>
                <w:spacing w:val="7"/>
              </w:rPr>
              <w:t>6~9</w:t>
            </w:r>
            <w:r>
              <w:rPr>
                <w:color w:val="auto"/>
                <w:spacing w:val="7"/>
              </w:rPr>
              <w:t>、</w:t>
            </w:r>
            <w:r>
              <w:rPr>
                <w:rFonts w:ascii="Times New Roman" w:hAnsi="Times New Roman" w:eastAsia="Times New Roman" w:cs="Times New Roman"/>
                <w:color w:val="auto"/>
              </w:rPr>
              <w:t>COD</w:t>
            </w:r>
            <w:r>
              <w:rPr>
                <w:rFonts w:ascii="Times New Roman" w:hAnsi="Times New Roman" w:eastAsia="Times New Roman" w:cs="Times New Roman"/>
                <w:color w:val="auto"/>
                <w:spacing w:val="7"/>
              </w:rPr>
              <w:t>151</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w:t>
            </w:r>
            <w:r>
              <w:rPr>
                <w:rFonts w:ascii="Times New Roman" w:hAnsi="Times New Roman" w:eastAsia="Times New Roman" w:cs="Times New Roman"/>
                <w:color w:val="auto"/>
              </w:rPr>
              <w:t>BOD</w:t>
            </w:r>
            <w:r>
              <w:rPr>
                <w:rFonts w:ascii="Times New Roman" w:hAnsi="Times New Roman" w:eastAsia="Times New Roman" w:cs="Times New Roman"/>
                <w:color w:val="auto"/>
                <w:spacing w:val="7"/>
                <w:position w:val="-1"/>
                <w:sz w:val="13"/>
                <w:szCs w:val="13"/>
              </w:rPr>
              <w:t>5</w:t>
            </w:r>
            <w:r>
              <w:rPr>
                <w:rFonts w:ascii="Times New Roman" w:hAnsi="Times New Roman" w:eastAsia="Times New Roman" w:cs="Times New Roman"/>
                <w:color w:val="auto"/>
                <w:spacing w:val="7"/>
              </w:rPr>
              <w:t>41.9</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w:t>
            </w:r>
            <w:r>
              <w:rPr>
                <w:rFonts w:ascii="Times New Roman" w:hAnsi="Times New Roman" w:eastAsia="Times New Roman" w:cs="Times New Roman"/>
                <w:color w:val="auto"/>
              </w:rPr>
              <w:t>SS</w:t>
            </w:r>
            <w:r>
              <w:rPr>
                <w:rFonts w:ascii="Times New Roman" w:hAnsi="Times New Roman" w:eastAsia="Times New Roman" w:cs="Times New Roman"/>
                <w:color w:val="auto"/>
                <w:spacing w:val="7"/>
              </w:rPr>
              <w:t>24</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w:t>
            </w:r>
            <w:r>
              <w:rPr>
                <w:rFonts w:ascii="Times New Roman" w:hAnsi="Times New Roman" w:eastAsia="Times New Roman" w:cs="Times New Roman"/>
                <w:color w:val="auto"/>
              </w:rPr>
              <w:t>NH</w:t>
            </w:r>
            <w:r>
              <w:rPr>
                <w:rFonts w:ascii="Times New Roman" w:hAnsi="Times New Roman" w:eastAsia="Times New Roman" w:cs="Times New Roman"/>
                <w:color w:val="auto"/>
                <w:spacing w:val="6"/>
                <w:position w:val="-1"/>
                <w:sz w:val="13"/>
                <w:szCs w:val="13"/>
              </w:rPr>
              <w:t>3</w:t>
            </w:r>
            <w:r>
              <w:rPr>
                <w:rFonts w:ascii="Times New Roman" w:hAnsi="Times New Roman" w:eastAsia="Times New Roman" w:cs="Times New Roman"/>
                <w:color w:val="auto"/>
                <w:spacing w:val="6"/>
                <w:position w:val="-1"/>
              </w:rPr>
              <w:t>-N</w:t>
            </w:r>
            <w:r>
              <w:rPr>
                <w:rFonts w:ascii="Times New Roman" w:hAnsi="Times New Roman" w:eastAsia="Times New Roman" w:cs="Times New Roman"/>
                <w:color w:val="auto"/>
                <w:spacing w:val="6"/>
              </w:rPr>
              <w:t>15.5</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w:t>
            </w:r>
            <w:r>
              <w:rPr>
                <w:rFonts w:ascii="Times New Roman" w:hAnsi="Times New Roman" w:eastAsia="Times New Roman" w:cs="Times New Roman"/>
                <w:color w:val="auto"/>
              </w:rPr>
              <w:t>TN</w:t>
            </w:r>
            <w:r>
              <w:rPr>
                <w:rFonts w:ascii="Times New Roman" w:hAnsi="Times New Roman" w:eastAsia="Times New Roman" w:cs="Times New Roman"/>
                <w:color w:val="auto"/>
                <w:spacing w:val="6"/>
              </w:rPr>
              <w:t>21.1</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w:t>
            </w:r>
            <w:r>
              <w:rPr>
                <w:rFonts w:ascii="Times New Roman" w:hAnsi="Times New Roman" w:eastAsia="Times New Roman" w:cs="Times New Roman"/>
                <w:color w:val="auto"/>
              </w:rPr>
              <w:t>TP</w:t>
            </w:r>
            <w:r>
              <w:rPr>
                <w:rFonts w:ascii="Times New Roman" w:hAnsi="Times New Roman" w:eastAsia="Times New Roman" w:cs="Times New Roman"/>
                <w:color w:val="auto"/>
                <w:spacing w:val="6"/>
              </w:rPr>
              <w:t>5.7</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w:t>
            </w:r>
            <w:r>
              <w:rPr>
                <w:rFonts w:ascii="Times New Roman" w:hAnsi="Times New Roman" w:eastAsia="Times New Roman" w:cs="Times New Roman"/>
                <w:color w:val="auto"/>
              </w:rPr>
              <w:t>LAS</w:t>
            </w:r>
            <w:r>
              <w:rPr>
                <w:rFonts w:ascii="Times New Roman" w:hAnsi="Times New Roman" w:eastAsia="Times New Roman" w:cs="Times New Roman"/>
                <w:color w:val="auto"/>
                <w:spacing w:val="6"/>
              </w:rPr>
              <w:t>4.01</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、粪大肠杆菌</w:t>
            </w:r>
            <w:r>
              <w:rPr>
                <w:rFonts w:ascii="Times New Roman" w:hAnsi="Times New Roman" w:eastAsia="Times New Roman" w:cs="Times New Roman"/>
                <w:color w:val="auto"/>
                <w:spacing w:val="6"/>
              </w:rPr>
              <w:t>2800</w:t>
            </w:r>
            <w:r>
              <w:rPr>
                <w:rFonts w:ascii="Times New Roman" w:hAnsi="Times New Roman" w:eastAsia="Times New Roman" w:cs="Times New Roman"/>
                <w:color w:val="auto"/>
              </w:rPr>
              <w:t>MPN</w:t>
            </w:r>
            <w:r>
              <w:rPr>
                <w:rFonts w:ascii="Times New Roman" w:hAnsi="Times New Roman" w:eastAsia="Times New Roman" w:cs="Times New Roman"/>
                <w:color w:val="auto"/>
                <w:spacing w:val="6"/>
              </w:rPr>
              <w:t>/L</w:t>
            </w:r>
            <w:r>
              <w:rPr>
                <w:color w:val="auto"/>
                <w:spacing w:val="6"/>
              </w:rPr>
              <w:t>。</w:t>
            </w:r>
          </w:p>
          <w:p w14:paraId="293960FA">
            <w:pPr>
              <w:tabs>
                <w:tab w:val="left" w:pos="2040"/>
              </w:tabs>
              <w:ind w:firstLine="470" w:firstLineChars="196"/>
              <w:rPr>
                <w:rFonts w:hint="eastAsia"/>
                <w:color w:val="auto"/>
                <w:kern w:val="0"/>
                <w:lang w:val="en-US" w:eastAsia="zh-CN"/>
              </w:rPr>
            </w:pPr>
            <w:r>
              <w:rPr>
                <w:rFonts w:hint="eastAsia"/>
                <w:color w:val="auto"/>
                <w:kern w:val="0"/>
                <w:lang w:val="en-US" w:eastAsia="zh-CN"/>
              </w:rPr>
              <w:t>②蒸汽系统用水</w:t>
            </w:r>
          </w:p>
          <w:p w14:paraId="29D4D942">
            <w:pPr>
              <w:pStyle w:val="57"/>
              <w:spacing w:before="164" w:line="368" w:lineRule="auto"/>
              <w:ind w:left="110" w:right="107" w:firstLine="424"/>
              <w:rPr>
                <w:color w:val="auto"/>
              </w:rPr>
            </w:pPr>
            <w:r>
              <w:rPr>
                <w:color w:val="auto"/>
                <w:spacing w:val="10"/>
              </w:rPr>
              <w:t>项目蒸汽系统用水采用二级反渗透纯水，根据企业提供资料，蒸汽发</w:t>
            </w:r>
            <w:r>
              <w:rPr>
                <w:color w:val="auto"/>
                <w:spacing w:val="9"/>
              </w:rPr>
              <w:t>生器纯水用水量</w:t>
            </w:r>
            <w:r>
              <w:rPr>
                <w:color w:val="auto"/>
                <w:spacing w:val="6"/>
              </w:rPr>
              <w:t>为</w:t>
            </w:r>
            <w:r>
              <w:rPr>
                <w:rFonts w:hint="default" w:ascii="Times New Roman" w:hAnsi="Times New Roman" w:cs="Times New Roman"/>
                <w:color w:val="auto"/>
                <w:spacing w:val="-35"/>
                <w:lang w:val="en-US" w:eastAsia="zh-CN"/>
              </w:rPr>
              <w:t>1</w:t>
            </w:r>
            <w:r>
              <w:rPr>
                <w:rFonts w:hint="default" w:ascii="Times New Roman" w:hAnsi="Times New Roman" w:eastAsia="Times New Roman" w:cs="Times New Roman"/>
                <w:color w:val="auto"/>
                <w:spacing w:val="6"/>
              </w:rPr>
              <w:t>t/</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365</w:t>
            </w:r>
            <w:r>
              <w:rPr>
                <w:rFonts w:ascii="Times New Roman" w:hAnsi="Times New Roman" w:eastAsia="Times New Roman" w:cs="Times New Roman"/>
                <w:color w:val="auto"/>
                <w:spacing w:val="6"/>
              </w:rPr>
              <w:t>t/a</w:t>
            </w:r>
            <w:r>
              <w:rPr>
                <w:color w:val="auto"/>
                <w:spacing w:val="6"/>
              </w:rPr>
              <w:t>）。其中直接蒸汽用于高温灭菌器，直接蒸汽产生的</w:t>
            </w:r>
            <w:r>
              <w:rPr>
                <w:rFonts w:ascii="Times New Roman" w:hAnsi="Times New Roman" w:eastAsia="Times New Roman" w:cs="Times New Roman"/>
                <w:color w:val="auto"/>
                <w:spacing w:val="6"/>
              </w:rPr>
              <w:t>80%</w:t>
            </w:r>
            <w:r>
              <w:rPr>
                <w:color w:val="auto"/>
                <w:spacing w:val="6"/>
              </w:rPr>
              <w:t>冷凝水排放，冷凝水排放量为</w:t>
            </w:r>
            <w:r>
              <w:rPr>
                <w:rFonts w:hint="eastAsia" w:ascii="Times New Roman" w:hAnsi="Times New Roman" w:eastAsia="宋体" w:cs="Times New Roman"/>
                <w:color w:val="auto"/>
                <w:spacing w:val="6"/>
                <w:lang w:val="en-US" w:eastAsia="zh-CN"/>
              </w:rPr>
              <w:t>0.8</w:t>
            </w:r>
            <w:r>
              <w:rPr>
                <w:rFonts w:ascii="Times New Roman" w:hAnsi="Times New Roman" w:eastAsia="Times New Roman" w:cs="Times New Roman"/>
                <w:color w:val="auto"/>
                <w:spacing w:val="6"/>
              </w:rPr>
              <w:t>t/d</w:t>
            </w:r>
            <w:r>
              <w:rPr>
                <w:color w:val="auto"/>
                <w:spacing w:val="6"/>
              </w:rPr>
              <w:t>（</w:t>
            </w:r>
            <w:r>
              <w:rPr>
                <w:rFonts w:hint="eastAsia" w:ascii="Times New Roman" w:hAnsi="Times New Roman" w:eastAsia="宋体" w:cs="Times New Roman"/>
                <w:color w:val="auto"/>
                <w:spacing w:val="6"/>
                <w:lang w:val="en-US" w:eastAsia="zh-CN"/>
              </w:rPr>
              <w:t>292</w:t>
            </w:r>
            <w:r>
              <w:rPr>
                <w:rFonts w:ascii="Times New Roman" w:hAnsi="Times New Roman" w:eastAsia="Times New Roman" w:cs="Times New Roman"/>
                <w:color w:val="auto"/>
                <w:spacing w:val="6"/>
              </w:rPr>
              <w:t>t/a</w:t>
            </w:r>
            <w:r>
              <w:rPr>
                <w:color w:val="auto"/>
                <w:spacing w:val="16"/>
              </w:rPr>
              <w:t>），</w:t>
            </w:r>
            <w:r>
              <w:rPr>
                <w:color w:val="auto"/>
                <w:spacing w:val="6"/>
              </w:rPr>
              <w:t>主要污染物为</w:t>
            </w:r>
            <w:r>
              <w:rPr>
                <w:rFonts w:ascii="Times New Roman" w:hAnsi="Times New Roman" w:eastAsia="Times New Roman" w:cs="Times New Roman"/>
                <w:color w:val="auto"/>
              </w:rPr>
              <w:t>COD</w:t>
            </w:r>
            <w:r>
              <w:rPr>
                <w:rFonts w:ascii="Times New Roman" w:hAnsi="Times New Roman" w:eastAsia="Times New Roman" w:cs="Times New Roman"/>
                <w:color w:val="auto"/>
                <w:spacing w:val="6"/>
              </w:rPr>
              <w:t>40</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w:t>
            </w:r>
            <w:r>
              <w:rPr>
                <w:rFonts w:ascii="Times New Roman" w:hAnsi="Times New Roman" w:eastAsia="Times New Roman" w:cs="Times New Roman"/>
                <w:color w:val="auto"/>
              </w:rPr>
              <w:t>SS</w:t>
            </w:r>
            <w:r>
              <w:rPr>
                <w:rFonts w:ascii="Times New Roman" w:hAnsi="Times New Roman" w:eastAsia="Times New Roman" w:cs="Times New Roman"/>
                <w:color w:val="auto"/>
                <w:spacing w:val="6"/>
              </w:rPr>
              <w:t>40</w:t>
            </w:r>
            <w:r>
              <w:rPr>
                <w:rFonts w:ascii="Times New Roman" w:hAnsi="Times New Roman" w:eastAsia="Times New Roman" w:cs="Times New Roman"/>
                <w:color w:val="auto"/>
              </w:rPr>
              <w:t>mg</w:t>
            </w:r>
            <w:r>
              <w:rPr>
                <w:rFonts w:ascii="Times New Roman" w:hAnsi="Times New Roman" w:eastAsia="Times New Roman" w:cs="Times New Roman"/>
                <w:color w:val="auto"/>
                <w:spacing w:val="6"/>
              </w:rPr>
              <w:t>/L</w:t>
            </w:r>
            <w:r>
              <w:rPr>
                <w:color w:val="auto"/>
                <w:spacing w:val="6"/>
              </w:rPr>
              <w:t>。蒸汽冷凝水进入清洁水罐，水质满足《城市污水再生利用工业用水水质》表</w:t>
            </w:r>
            <w:r>
              <w:rPr>
                <w:rFonts w:ascii="Times New Roman" w:hAnsi="Times New Roman" w:eastAsia="Times New Roman" w:cs="Times New Roman"/>
                <w:color w:val="auto"/>
                <w:spacing w:val="6"/>
              </w:rPr>
              <w:t>1</w:t>
            </w:r>
            <w:r>
              <w:rPr>
                <w:color w:val="auto"/>
                <w:spacing w:val="6"/>
              </w:rPr>
              <w:t>的洗涤</w:t>
            </w:r>
            <w:r>
              <w:rPr>
                <w:color w:val="auto"/>
                <w:spacing w:val="5"/>
              </w:rPr>
              <w:t>用水和敞开式循环冷</w:t>
            </w:r>
            <w:r>
              <w:rPr>
                <w:color w:val="auto"/>
                <w:spacing w:val="10"/>
              </w:rPr>
              <w:t>却水系统补充水限值标准，回用于灭菌器真空泵冷却用水</w:t>
            </w:r>
            <w:r>
              <w:rPr>
                <w:rFonts w:hint="eastAsia"/>
                <w:color w:val="auto"/>
                <w:spacing w:val="10"/>
                <w:lang w:val="en-US" w:eastAsia="zh-CN"/>
              </w:rPr>
              <w:t>0.45</w:t>
            </w:r>
            <w:r>
              <w:rPr>
                <w:rFonts w:ascii="Times New Roman" w:hAnsi="Times New Roman" w:eastAsia="Times New Roman" w:cs="Times New Roman"/>
                <w:color w:val="auto"/>
                <w:spacing w:val="6"/>
              </w:rPr>
              <w:t>t/d</w:t>
            </w:r>
            <w:r>
              <w:rPr>
                <w:color w:val="auto"/>
                <w:spacing w:val="10"/>
              </w:rPr>
              <w:t>、运输设施（转运箱）清洗</w:t>
            </w:r>
            <w:r>
              <w:rPr>
                <w:color w:val="auto"/>
                <w:spacing w:val="9"/>
              </w:rPr>
              <w:t>用水</w:t>
            </w:r>
            <w:r>
              <w:rPr>
                <w:rFonts w:hint="eastAsia"/>
                <w:color w:val="auto"/>
                <w:spacing w:val="9"/>
                <w:lang w:val="en-US" w:eastAsia="zh-CN"/>
              </w:rPr>
              <w:t>0.15</w:t>
            </w:r>
            <w:r>
              <w:rPr>
                <w:rFonts w:ascii="Times New Roman" w:hAnsi="Times New Roman" w:eastAsia="Times New Roman" w:cs="Times New Roman"/>
                <w:color w:val="auto"/>
                <w:spacing w:val="6"/>
              </w:rPr>
              <w:t>t/d</w:t>
            </w:r>
            <w:r>
              <w:rPr>
                <w:color w:val="auto"/>
                <w:spacing w:val="9"/>
              </w:rPr>
              <w:t>、地面清洗用水</w:t>
            </w:r>
            <w:r>
              <w:rPr>
                <w:rFonts w:hint="eastAsia"/>
                <w:color w:val="auto"/>
                <w:spacing w:val="9"/>
                <w:lang w:val="en-US" w:eastAsia="zh-CN"/>
              </w:rPr>
              <w:t>0.2</w:t>
            </w:r>
            <w:r>
              <w:rPr>
                <w:rFonts w:ascii="Times New Roman" w:hAnsi="Times New Roman" w:eastAsia="Times New Roman" w:cs="Times New Roman"/>
                <w:color w:val="auto"/>
                <w:spacing w:val="6"/>
              </w:rPr>
              <w:t>t/d</w:t>
            </w:r>
            <w:r>
              <w:rPr>
                <w:color w:val="auto"/>
                <w:spacing w:val="9"/>
              </w:rPr>
              <w:t>。</w:t>
            </w:r>
          </w:p>
          <w:p w14:paraId="10DA10CF">
            <w:pPr>
              <w:tabs>
                <w:tab w:val="left" w:pos="2040"/>
              </w:tabs>
              <w:ind w:firstLine="470" w:firstLineChars="196"/>
              <w:rPr>
                <w:rFonts w:hint="eastAsia"/>
                <w:color w:val="auto"/>
                <w:kern w:val="0"/>
                <w:lang w:val="en-US" w:eastAsia="zh-CN"/>
              </w:rPr>
            </w:pPr>
            <w:r>
              <w:rPr>
                <w:rFonts w:hint="eastAsia"/>
                <w:color w:val="auto"/>
                <w:kern w:val="0"/>
                <w:lang w:val="en-US" w:eastAsia="zh-CN"/>
              </w:rPr>
              <w:t>③纯水、软水制备用水</w:t>
            </w:r>
          </w:p>
          <w:p w14:paraId="702734FD">
            <w:pPr>
              <w:tabs>
                <w:tab w:val="left" w:pos="2040"/>
              </w:tabs>
              <w:ind w:firstLine="505" w:firstLineChars="196"/>
              <w:rPr>
                <w:color w:val="auto"/>
                <w:spacing w:val="5"/>
              </w:rPr>
            </w:pPr>
            <w:r>
              <w:rPr>
                <w:color w:val="auto"/>
                <w:spacing w:val="9"/>
              </w:rPr>
              <w:t>本项目清洗、灭菌过程需使用一定量纯水和软化水，厂内净水处理间配备</w:t>
            </w:r>
            <w:r>
              <w:rPr>
                <w:rFonts w:ascii="Times New Roman" w:hAnsi="Times New Roman" w:eastAsia="Times New Roman" w:cs="Times New Roman"/>
                <w:color w:val="auto"/>
                <w:spacing w:val="9"/>
              </w:rPr>
              <w:t>1</w:t>
            </w:r>
            <w:r>
              <w:rPr>
                <w:color w:val="auto"/>
                <w:spacing w:val="9"/>
              </w:rPr>
              <w:t>套一级反</w:t>
            </w:r>
            <w:r>
              <w:rPr>
                <w:color w:val="auto"/>
                <w:spacing w:val="7"/>
              </w:rPr>
              <w:t>渗透机和</w:t>
            </w:r>
            <w:r>
              <w:rPr>
                <w:rFonts w:ascii="Times New Roman" w:hAnsi="Times New Roman" w:eastAsia="Times New Roman" w:cs="Times New Roman"/>
                <w:color w:val="auto"/>
                <w:spacing w:val="7"/>
              </w:rPr>
              <w:t>1</w:t>
            </w:r>
            <w:r>
              <w:rPr>
                <w:color w:val="auto"/>
                <w:spacing w:val="7"/>
              </w:rPr>
              <w:t>套二级反渗透机、</w:t>
            </w:r>
            <w:r>
              <w:rPr>
                <w:rFonts w:ascii="Times New Roman" w:hAnsi="Times New Roman" w:eastAsia="Times New Roman" w:cs="Times New Roman"/>
                <w:color w:val="auto"/>
                <w:spacing w:val="7"/>
              </w:rPr>
              <w:t>1</w:t>
            </w:r>
            <w:r>
              <w:rPr>
                <w:color w:val="auto"/>
                <w:spacing w:val="7"/>
              </w:rPr>
              <w:t>套软水机。采用反渗透工艺制备纯</w:t>
            </w:r>
            <w:r>
              <w:rPr>
                <w:color w:val="auto"/>
                <w:spacing w:val="6"/>
              </w:rPr>
              <w:t>水，软水工艺制备软水。</w:t>
            </w:r>
            <w:r>
              <w:rPr>
                <w:color w:val="auto"/>
                <w:spacing w:val="9"/>
              </w:rPr>
              <w:t>根据企业提供资料参数，制水效率约为</w:t>
            </w:r>
            <w:r>
              <w:rPr>
                <w:rFonts w:ascii="Times New Roman" w:hAnsi="Times New Roman" w:eastAsia="Times New Roman" w:cs="Times New Roman"/>
                <w:color w:val="auto"/>
                <w:spacing w:val="9"/>
              </w:rPr>
              <w:t>88.4%</w:t>
            </w:r>
            <w:r>
              <w:rPr>
                <w:color w:val="auto"/>
                <w:spacing w:val="9"/>
              </w:rPr>
              <w:t>，项目纯水和软水制备设备用水来自市政管</w:t>
            </w:r>
            <w:r>
              <w:rPr>
                <w:color w:val="auto"/>
                <w:spacing w:val="-1"/>
              </w:rPr>
              <w:t>网的自来水。本项目反渗透纯水用量</w:t>
            </w:r>
            <w:r>
              <w:rPr>
                <w:rFonts w:hint="eastAsia" w:ascii="Times New Roman" w:hAnsi="Times New Roman" w:eastAsia="宋体" w:cs="Times New Roman"/>
                <w:color w:val="auto"/>
                <w:spacing w:val="-1"/>
                <w:lang w:val="en-US" w:eastAsia="zh-CN"/>
              </w:rPr>
              <w:t>1.464</w:t>
            </w:r>
            <w:r>
              <w:rPr>
                <w:rFonts w:ascii="Times New Roman" w:hAnsi="Times New Roman" w:eastAsia="Times New Roman" w:cs="Times New Roman"/>
                <w:color w:val="auto"/>
                <w:spacing w:val="-1"/>
              </w:rPr>
              <w:t>t/d</w:t>
            </w:r>
            <w:r>
              <w:rPr>
                <w:color w:val="auto"/>
                <w:spacing w:val="-1"/>
              </w:rPr>
              <w:t>，软水用量</w:t>
            </w:r>
            <w:r>
              <w:rPr>
                <w:rFonts w:hint="default" w:ascii="Times New Roman" w:hAnsi="Times New Roman" w:eastAsia="Times New Roman" w:cs="Times New Roman"/>
                <w:color w:val="auto"/>
                <w:spacing w:val="9"/>
                <w:lang w:val="en-US" w:eastAsia="zh-CN"/>
              </w:rPr>
              <w:t>4.4</w:t>
            </w:r>
            <w:r>
              <w:rPr>
                <w:rFonts w:hint="default" w:ascii="Times New Roman" w:hAnsi="Times New Roman" w:eastAsia="Times New Roman" w:cs="Times New Roman"/>
                <w:color w:val="auto"/>
                <w:spacing w:val="9"/>
              </w:rPr>
              <w:t>t</w:t>
            </w:r>
            <w:r>
              <w:rPr>
                <w:rFonts w:ascii="Times New Roman" w:hAnsi="Times New Roman" w:eastAsia="Times New Roman" w:cs="Times New Roman"/>
                <w:color w:val="auto"/>
                <w:spacing w:val="9"/>
              </w:rPr>
              <w:t>/d，</w:t>
            </w:r>
            <w:r>
              <w:rPr>
                <w:color w:val="auto"/>
                <w:spacing w:val="-1"/>
              </w:rPr>
              <w:t>共计</w:t>
            </w:r>
            <w:r>
              <w:rPr>
                <w:rFonts w:hint="eastAsia" w:ascii="Times New Roman" w:hAnsi="Times New Roman" w:eastAsia="宋体" w:cs="Times New Roman"/>
                <w:color w:val="auto"/>
                <w:spacing w:val="-1"/>
                <w:lang w:val="en-US" w:eastAsia="zh-CN"/>
              </w:rPr>
              <w:t>5.864</w:t>
            </w:r>
            <w:r>
              <w:rPr>
                <w:rFonts w:ascii="Times New Roman" w:hAnsi="Times New Roman" w:eastAsia="Times New Roman" w:cs="Times New Roman"/>
                <w:color w:val="auto"/>
                <w:spacing w:val="-1"/>
              </w:rPr>
              <w:t>m</w:t>
            </w:r>
            <w:r>
              <w:rPr>
                <w:rFonts w:ascii="Times New Roman" w:hAnsi="Times New Roman" w:eastAsia="Times New Roman" w:cs="Times New Roman"/>
                <w:color w:val="auto"/>
                <w:spacing w:val="-1"/>
                <w:position w:val="6"/>
                <w:sz w:val="13"/>
                <w:szCs w:val="13"/>
              </w:rPr>
              <w:t>3</w:t>
            </w:r>
            <w:r>
              <w:rPr>
                <w:rFonts w:ascii="Times New Roman" w:hAnsi="Times New Roman" w:eastAsia="Times New Roman" w:cs="Times New Roman"/>
                <w:color w:val="auto"/>
                <w:spacing w:val="-1"/>
              </w:rPr>
              <w:t>/d</w:t>
            </w:r>
            <w:r>
              <w:rPr>
                <w:color w:val="auto"/>
                <w:spacing w:val="-1"/>
              </w:rPr>
              <w:t>（</w:t>
            </w:r>
            <w:r>
              <w:rPr>
                <w:rFonts w:hint="eastAsia" w:ascii="Times New Roman" w:hAnsi="Times New Roman" w:eastAsia="宋体" w:cs="Times New Roman"/>
                <w:color w:val="auto"/>
                <w:spacing w:val="-1"/>
                <w:lang w:val="en-US" w:eastAsia="zh-CN"/>
              </w:rPr>
              <w:t>2140.36</w:t>
            </w:r>
            <w:r>
              <w:rPr>
                <w:rFonts w:ascii="Times New Roman" w:hAnsi="Times New Roman" w:eastAsia="Times New Roman" w:cs="Times New Roman"/>
                <w:color w:val="auto"/>
                <w:spacing w:val="-2"/>
              </w:rPr>
              <w:t>m</w:t>
            </w:r>
            <w:r>
              <w:rPr>
                <w:rFonts w:ascii="Times New Roman" w:hAnsi="Times New Roman" w:eastAsia="Times New Roman" w:cs="Times New Roman"/>
                <w:color w:val="auto"/>
                <w:spacing w:val="-2"/>
                <w:position w:val="6"/>
                <w:sz w:val="13"/>
                <w:szCs w:val="13"/>
              </w:rPr>
              <w:t>3</w:t>
            </w:r>
            <w:r>
              <w:rPr>
                <w:rFonts w:ascii="Times New Roman" w:hAnsi="Times New Roman" w:eastAsia="Times New Roman" w:cs="Times New Roman"/>
                <w:color w:val="auto"/>
                <w:spacing w:val="-2"/>
              </w:rPr>
              <w:t>/a</w:t>
            </w:r>
            <w:r>
              <w:rPr>
                <w:color w:val="auto"/>
                <w:spacing w:val="-51"/>
                <w:w w:val="96"/>
              </w:rPr>
              <w:t>），</w:t>
            </w:r>
            <w:r>
              <w:rPr>
                <w:color w:val="auto"/>
                <w:spacing w:val="6"/>
                <w:highlight w:val="none"/>
              </w:rPr>
              <w:t>经核算，制</w:t>
            </w:r>
            <w:r>
              <w:rPr>
                <w:color w:val="auto"/>
                <w:spacing w:val="6"/>
              </w:rPr>
              <w:t>水设备自来水消耗量约为</w:t>
            </w:r>
            <w:r>
              <w:rPr>
                <w:rFonts w:hint="eastAsia" w:ascii="Times New Roman" w:hAnsi="Times New Roman" w:eastAsia="宋体" w:cs="Times New Roman"/>
                <w:color w:val="auto"/>
                <w:spacing w:val="6"/>
                <w:lang w:val="en-US" w:eastAsia="zh-CN"/>
              </w:rPr>
              <w:t>6.335</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3</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2312.28</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3</w:t>
            </w:r>
            <w:r>
              <w:rPr>
                <w:rFonts w:ascii="Times New Roman" w:hAnsi="Times New Roman" w:eastAsia="Times New Roman" w:cs="Times New Roman"/>
                <w:color w:val="auto"/>
                <w:spacing w:val="6"/>
              </w:rPr>
              <w:t>/a</w:t>
            </w:r>
            <w:r>
              <w:rPr>
                <w:color w:val="auto"/>
                <w:spacing w:val="-1"/>
              </w:rPr>
              <w:t>），</w:t>
            </w:r>
            <w:r>
              <w:rPr>
                <w:color w:val="auto"/>
                <w:spacing w:val="6"/>
              </w:rPr>
              <w:t>制水浓水产生量约</w:t>
            </w:r>
            <w:r>
              <w:rPr>
                <w:rFonts w:hint="eastAsia" w:ascii="Times New Roman" w:hAnsi="Times New Roman" w:eastAsia="宋体" w:cs="Times New Roman"/>
                <w:color w:val="auto"/>
                <w:spacing w:val="6"/>
                <w:lang w:val="en-US" w:eastAsia="zh-CN"/>
              </w:rPr>
              <w:t>1.44</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5"/>
                <w:position w:val="6"/>
                <w:sz w:val="13"/>
                <w:szCs w:val="13"/>
              </w:rPr>
              <w:t>3</w:t>
            </w:r>
            <w:r>
              <w:rPr>
                <w:rFonts w:ascii="Times New Roman" w:hAnsi="Times New Roman" w:eastAsia="Times New Roman" w:cs="Times New Roman"/>
                <w:color w:val="auto"/>
                <w:spacing w:val="5"/>
              </w:rPr>
              <w:t>/d</w:t>
            </w:r>
            <w:r>
              <w:rPr>
                <w:color w:val="auto"/>
                <w:spacing w:val="8"/>
              </w:rPr>
              <w:t>（</w:t>
            </w:r>
            <w:r>
              <w:rPr>
                <w:rFonts w:hint="eastAsia" w:ascii="Times New Roman" w:hAnsi="Times New Roman" w:eastAsia="宋体" w:cs="Times New Roman"/>
                <w:color w:val="auto"/>
                <w:spacing w:val="8"/>
                <w:lang w:val="en-US" w:eastAsia="zh-CN"/>
              </w:rPr>
              <w:t>525.6</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8"/>
              </w:rPr>
              <w:t>/a</w:t>
            </w:r>
            <w:r>
              <w:rPr>
                <w:color w:val="auto"/>
                <w:spacing w:val="18"/>
              </w:rPr>
              <w:t>），</w:t>
            </w:r>
            <w:r>
              <w:rPr>
                <w:color w:val="auto"/>
                <w:spacing w:val="8"/>
              </w:rPr>
              <w:t>主要污染物为</w:t>
            </w:r>
            <w:r>
              <w:rPr>
                <w:rFonts w:ascii="Times New Roman" w:hAnsi="Times New Roman" w:eastAsia="Times New Roman" w:cs="Times New Roman"/>
                <w:color w:val="auto"/>
              </w:rPr>
              <w:t>pH</w:t>
            </w:r>
            <w:r>
              <w:rPr>
                <w:rFonts w:ascii="Times New Roman" w:hAnsi="Times New Roman" w:eastAsia="Times New Roman" w:cs="Times New Roman"/>
                <w:color w:val="auto"/>
                <w:spacing w:val="8"/>
              </w:rPr>
              <w:t>6~9</w:t>
            </w:r>
            <w:r>
              <w:rPr>
                <w:color w:val="auto"/>
                <w:spacing w:val="8"/>
              </w:rPr>
              <w:t>（无量纲）</w:t>
            </w:r>
            <w:r>
              <w:rPr>
                <w:color w:val="auto"/>
                <w:spacing w:val="7"/>
              </w:rPr>
              <w:t>、</w:t>
            </w:r>
            <w:r>
              <w:rPr>
                <w:rFonts w:ascii="Times New Roman" w:hAnsi="Times New Roman" w:eastAsia="Times New Roman" w:cs="Times New Roman"/>
                <w:color w:val="auto"/>
              </w:rPr>
              <w:t>COD</w:t>
            </w:r>
            <w:r>
              <w:rPr>
                <w:color w:val="auto"/>
                <w:spacing w:val="7"/>
              </w:rPr>
              <w:t>浓度</w:t>
            </w:r>
            <w:r>
              <w:rPr>
                <w:rFonts w:ascii="Times New Roman" w:hAnsi="Times New Roman" w:eastAsia="Times New Roman" w:cs="Times New Roman"/>
                <w:color w:val="auto"/>
                <w:spacing w:val="7"/>
              </w:rPr>
              <w:t>40</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w:t>
            </w:r>
            <w:r>
              <w:rPr>
                <w:rFonts w:ascii="Times New Roman" w:hAnsi="Times New Roman" w:eastAsia="Times New Roman" w:cs="Times New Roman"/>
                <w:color w:val="auto"/>
              </w:rPr>
              <w:t>SS</w:t>
            </w:r>
            <w:r>
              <w:rPr>
                <w:color w:val="auto"/>
                <w:spacing w:val="7"/>
              </w:rPr>
              <w:t>浓度</w:t>
            </w:r>
            <w:r>
              <w:rPr>
                <w:rFonts w:ascii="Times New Roman" w:hAnsi="Times New Roman" w:eastAsia="Times New Roman" w:cs="Times New Roman"/>
                <w:color w:val="auto"/>
                <w:spacing w:val="7"/>
              </w:rPr>
              <w:t>30</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w:t>
            </w:r>
            <w:r>
              <w:rPr>
                <w:rFonts w:ascii="Times New Roman" w:hAnsi="Times New Roman" w:eastAsia="Times New Roman" w:cs="Times New Roman"/>
                <w:color w:val="auto"/>
              </w:rPr>
              <w:t>TDS</w:t>
            </w:r>
            <w:r>
              <w:rPr>
                <w:color w:val="auto"/>
                <w:spacing w:val="11"/>
              </w:rPr>
              <w:t>浓度</w:t>
            </w:r>
            <w:r>
              <w:rPr>
                <w:rFonts w:ascii="Times New Roman" w:hAnsi="Times New Roman" w:eastAsia="Times New Roman" w:cs="Times New Roman"/>
                <w:color w:val="auto"/>
                <w:spacing w:val="11"/>
              </w:rPr>
              <w:t>400</w:t>
            </w:r>
            <w:r>
              <w:rPr>
                <w:rFonts w:ascii="Times New Roman" w:hAnsi="Times New Roman" w:eastAsia="Times New Roman" w:cs="Times New Roman"/>
                <w:color w:val="auto"/>
              </w:rPr>
              <w:t>mg</w:t>
            </w:r>
            <w:r>
              <w:rPr>
                <w:rFonts w:ascii="Times New Roman" w:hAnsi="Times New Roman" w:eastAsia="Times New Roman" w:cs="Times New Roman"/>
                <w:color w:val="auto"/>
                <w:spacing w:val="11"/>
              </w:rPr>
              <w:t>/L</w:t>
            </w:r>
            <w:r>
              <w:rPr>
                <w:color w:val="auto"/>
                <w:spacing w:val="11"/>
              </w:rPr>
              <w:t>，进入清洁水罐，水质满足《城市污水再生利用工业用水水质》表</w:t>
            </w:r>
            <w:r>
              <w:rPr>
                <w:rFonts w:ascii="Times New Roman" w:hAnsi="Times New Roman" w:eastAsia="Times New Roman" w:cs="Times New Roman"/>
                <w:color w:val="auto"/>
                <w:spacing w:val="11"/>
              </w:rPr>
              <w:t>1</w:t>
            </w:r>
            <w:r>
              <w:rPr>
                <w:color w:val="auto"/>
                <w:spacing w:val="7"/>
              </w:rPr>
              <w:t>的洗涤用水和敞开式循环冷却水系统补充水限值标</w:t>
            </w:r>
            <w:r>
              <w:rPr>
                <w:color w:val="auto"/>
                <w:spacing w:val="6"/>
              </w:rPr>
              <w:t>准，回用于灭菌器真空泵冷却用水</w:t>
            </w:r>
            <w:r>
              <w:rPr>
                <w:color w:val="auto"/>
                <w:spacing w:val="5"/>
              </w:rPr>
              <w:t>。</w:t>
            </w:r>
          </w:p>
          <w:p w14:paraId="19F2A207">
            <w:pPr>
              <w:tabs>
                <w:tab w:val="left" w:pos="2040"/>
              </w:tabs>
              <w:ind w:firstLine="470" w:firstLineChars="196"/>
              <w:rPr>
                <w:rFonts w:hint="eastAsia"/>
                <w:color w:val="auto"/>
                <w:kern w:val="0"/>
                <w:lang w:val="en-US" w:eastAsia="zh-CN"/>
              </w:rPr>
            </w:pPr>
            <w:r>
              <w:rPr>
                <w:rFonts w:hint="eastAsia"/>
                <w:color w:val="auto"/>
                <w:kern w:val="0"/>
                <w:lang w:val="en-US" w:eastAsia="zh-CN"/>
              </w:rPr>
              <w:t>④灭菌器真空泵冷却用水</w:t>
            </w:r>
          </w:p>
          <w:p w14:paraId="7B39C6EE">
            <w:pPr>
              <w:pStyle w:val="57"/>
              <w:spacing w:before="164" w:line="362" w:lineRule="auto"/>
              <w:ind w:left="113" w:right="110" w:firstLine="421"/>
              <w:rPr>
                <w:color w:val="auto"/>
              </w:rPr>
            </w:pPr>
            <w:r>
              <w:rPr>
                <w:color w:val="auto"/>
                <w:spacing w:val="10"/>
              </w:rPr>
              <w:t>项目内灭菌器真空泵设备需要的冷却用水采用清洁水罐回收的蒸汽冷</w:t>
            </w:r>
            <w:r>
              <w:rPr>
                <w:color w:val="auto"/>
                <w:spacing w:val="9"/>
              </w:rPr>
              <w:t>凝水</w:t>
            </w:r>
            <w:r>
              <w:rPr>
                <w:rFonts w:hint="eastAsia"/>
                <w:color w:val="auto"/>
                <w:spacing w:val="9"/>
                <w:lang w:val="en-US" w:eastAsia="zh-CN"/>
              </w:rPr>
              <w:t>0.45</w:t>
            </w:r>
            <w:r>
              <w:rPr>
                <w:rFonts w:ascii="Times New Roman" w:hAnsi="Times New Roman" w:eastAsia="Times New Roman" w:cs="Times New Roman"/>
                <w:color w:val="auto"/>
                <w:spacing w:val="6"/>
              </w:rPr>
              <w:t>t/d</w:t>
            </w:r>
            <w:r>
              <w:rPr>
                <w:rFonts w:hint="eastAsia" w:ascii="Times New Roman" w:hAnsi="Times New Roman" w:eastAsia="宋体" w:cs="Times New Roman"/>
                <w:color w:val="auto"/>
                <w:spacing w:val="6"/>
                <w:lang w:val="en-US" w:eastAsia="zh-CN"/>
              </w:rPr>
              <w:t>及</w:t>
            </w:r>
            <w:r>
              <w:rPr>
                <w:rFonts w:hint="eastAsia"/>
                <w:color w:val="auto"/>
                <w:kern w:val="0"/>
                <w:lang w:val="en-US" w:eastAsia="zh-CN"/>
              </w:rPr>
              <w:t>纯水、软水制备冷凝水、浓水1.44m³/d</w:t>
            </w:r>
            <w:r>
              <w:rPr>
                <w:color w:val="auto"/>
                <w:spacing w:val="9"/>
              </w:rPr>
              <w:t>，设备每天</w:t>
            </w:r>
            <w:r>
              <w:rPr>
                <w:color w:val="auto"/>
                <w:spacing w:val="7"/>
              </w:rPr>
              <w:t>工作运转</w:t>
            </w:r>
            <w:r>
              <w:rPr>
                <w:rFonts w:ascii="Times New Roman" w:hAnsi="Times New Roman" w:eastAsia="Times New Roman" w:cs="Times New Roman"/>
                <w:color w:val="auto"/>
                <w:spacing w:val="7"/>
              </w:rPr>
              <w:t>16</w:t>
            </w:r>
            <w:r>
              <w:rPr>
                <w:color w:val="auto"/>
                <w:spacing w:val="7"/>
              </w:rPr>
              <w:t>小时，单个冷却循环水用水量为</w:t>
            </w:r>
            <w:r>
              <w:rPr>
                <w:rFonts w:ascii="Times New Roman" w:hAnsi="Times New Roman" w:eastAsia="Times New Roman" w:cs="Times New Roman"/>
                <w:color w:val="auto"/>
                <w:spacing w:val="7"/>
              </w:rPr>
              <w:t>5m</w:t>
            </w:r>
            <w:r>
              <w:rPr>
                <w:rFonts w:ascii="Times New Roman" w:hAnsi="Times New Roman" w:eastAsia="Times New Roman" w:cs="Times New Roman"/>
                <w:color w:val="auto"/>
                <w:spacing w:val="7"/>
                <w:position w:val="6"/>
                <w:sz w:val="13"/>
                <w:szCs w:val="13"/>
              </w:rPr>
              <w:t>3</w:t>
            </w:r>
            <w:r>
              <w:rPr>
                <w:rFonts w:ascii="Times New Roman" w:hAnsi="Times New Roman" w:eastAsia="Times New Roman" w:cs="Times New Roman"/>
                <w:color w:val="auto"/>
                <w:spacing w:val="6"/>
              </w:rPr>
              <w:t>/h</w:t>
            </w:r>
            <w:r>
              <w:rPr>
                <w:rFonts w:hint="eastAsia"/>
                <w:color w:val="auto"/>
                <w:spacing w:val="6"/>
                <w:lang w:val="en-US" w:eastAsia="zh-CN"/>
              </w:rPr>
              <w:t>，根据《机械通风冷却塔工艺设计规范》项目总消耗量=（蒸发+吹风+排污）≈3%-5%，本项目循环损耗取5%，因此项目每天需要补充新鲜水4</w:t>
            </w:r>
            <w:r>
              <w:rPr>
                <w:rFonts w:hint="default" w:ascii="Times New Roman" w:hAnsi="Times New Roman" w:cs="Times New Roman"/>
                <w:color w:val="auto"/>
                <w:spacing w:val="6"/>
                <w:lang w:val="en-US" w:eastAsia="zh-CN"/>
              </w:rPr>
              <w:t>m³</w:t>
            </w:r>
            <w:r>
              <w:rPr>
                <w:rFonts w:hint="eastAsia" w:ascii="Times New Roman" w:hAnsi="Times New Roman" w:cs="Times New Roman"/>
                <w:color w:val="auto"/>
                <w:spacing w:val="6"/>
                <w:lang w:val="en-US" w:eastAsia="zh-CN"/>
              </w:rPr>
              <w:t>/d（每天需补充新鲜水2.11m³/d）</w:t>
            </w:r>
            <w:r>
              <w:rPr>
                <w:rFonts w:hint="eastAsia"/>
                <w:color w:val="auto"/>
                <w:spacing w:val="6"/>
                <w:lang w:val="en-US" w:eastAsia="zh-CN"/>
              </w:rPr>
              <w:t>，排污系数取3%，</w:t>
            </w:r>
            <w:r>
              <w:rPr>
                <w:color w:val="auto"/>
                <w:spacing w:val="6"/>
              </w:rPr>
              <w:t>项目冷却水排污量为</w:t>
            </w:r>
            <w:r>
              <w:rPr>
                <w:rFonts w:hint="eastAsia" w:ascii="Times New Roman" w:hAnsi="Times New Roman" w:eastAsia="宋体" w:cs="Times New Roman"/>
                <w:color w:val="auto"/>
                <w:spacing w:val="6"/>
                <w:lang w:val="en-US" w:eastAsia="zh-CN"/>
              </w:rPr>
              <w:t>2.4</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3</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744</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5"/>
                <w:position w:val="6"/>
                <w:sz w:val="13"/>
                <w:szCs w:val="13"/>
              </w:rPr>
              <w:t>3</w:t>
            </w:r>
            <w:r>
              <w:rPr>
                <w:rFonts w:ascii="Times New Roman" w:hAnsi="Times New Roman" w:eastAsia="Times New Roman" w:cs="Times New Roman"/>
                <w:color w:val="auto"/>
                <w:spacing w:val="5"/>
              </w:rPr>
              <w:t>/a</w:t>
            </w:r>
            <w:r>
              <w:rPr>
                <w:color w:val="auto"/>
                <w:spacing w:val="17"/>
              </w:rPr>
              <w:t>），</w:t>
            </w:r>
            <w:r>
              <w:rPr>
                <w:color w:val="auto"/>
                <w:spacing w:val="5"/>
              </w:rPr>
              <w:t>经污水处理站处理</w:t>
            </w:r>
            <w:r>
              <w:rPr>
                <w:color w:val="auto"/>
                <w:spacing w:val="7"/>
              </w:rPr>
              <w:t>后进入市政污水管网。</w:t>
            </w:r>
          </w:p>
          <w:p w14:paraId="5B35CC72">
            <w:pPr>
              <w:tabs>
                <w:tab w:val="left" w:pos="2040"/>
              </w:tabs>
              <w:ind w:firstLine="470" w:firstLineChars="196"/>
              <w:rPr>
                <w:rFonts w:hint="eastAsia"/>
                <w:color w:val="auto"/>
                <w:kern w:val="0"/>
                <w:lang w:val="en-US" w:eastAsia="zh-CN"/>
              </w:rPr>
            </w:pPr>
            <w:r>
              <w:rPr>
                <w:rFonts w:hint="eastAsia"/>
                <w:color w:val="auto"/>
                <w:kern w:val="0"/>
                <w:lang w:val="en-US" w:eastAsia="zh-CN"/>
              </w:rPr>
              <w:t>⑤运输设施（转运箱）清洗用水</w:t>
            </w:r>
          </w:p>
          <w:p w14:paraId="17FC7BAE">
            <w:pPr>
              <w:pStyle w:val="57"/>
              <w:spacing w:before="159" w:line="367" w:lineRule="auto"/>
              <w:ind w:left="109" w:right="37" w:firstLine="425"/>
              <w:rPr>
                <w:color w:val="auto"/>
                <w:spacing w:val="3"/>
              </w:rPr>
            </w:pPr>
            <w:r>
              <w:rPr>
                <w:color w:val="auto"/>
                <w:spacing w:val="10"/>
              </w:rPr>
              <w:t>项目设有一套转运箱清洗系统，用于转运箱清洗，该部分清洗用水全部采</w:t>
            </w:r>
            <w:r>
              <w:rPr>
                <w:color w:val="auto"/>
                <w:spacing w:val="9"/>
              </w:rPr>
              <w:t>用清洁水回</w:t>
            </w:r>
            <w:r>
              <w:rPr>
                <w:color w:val="auto"/>
                <w:spacing w:val="3"/>
              </w:rPr>
              <w:t>收罐回收的制水浓水和蒸汽冷凝水。项目配置</w:t>
            </w:r>
            <w:r>
              <w:rPr>
                <w:rFonts w:hint="eastAsia" w:ascii="Times New Roman" w:hAnsi="Times New Roman" w:eastAsia="宋体" w:cs="Times New Roman"/>
                <w:color w:val="auto"/>
                <w:spacing w:val="3"/>
                <w:lang w:val="en-US" w:eastAsia="zh-CN"/>
              </w:rPr>
              <w:t>1</w:t>
            </w:r>
            <w:r>
              <w:rPr>
                <w:color w:val="auto"/>
                <w:spacing w:val="3"/>
              </w:rPr>
              <w:t>辆专用运输车辆，每辆</w:t>
            </w:r>
            <w:r>
              <w:rPr>
                <w:color w:val="auto"/>
                <w:spacing w:val="2"/>
              </w:rPr>
              <w:t>车约有</w:t>
            </w:r>
            <w:r>
              <w:rPr>
                <w:rFonts w:ascii="Times New Roman" w:hAnsi="Times New Roman" w:eastAsia="Times New Roman" w:cs="Times New Roman"/>
                <w:color w:val="auto"/>
                <w:spacing w:val="2"/>
              </w:rPr>
              <w:t>5</w:t>
            </w:r>
            <w:r>
              <w:rPr>
                <w:color w:val="auto"/>
                <w:spacing w:val="2"/>
              </w:rPr>
              <w:t>个转运箱，</w:t>
            </w:r>
            <w:r>
              <w:rPr>
                <w:color w:val="auto"/>
                <w:spacing w:val="8"/>
              </w:rPr>
              <w:t>根据企业提供资料，车辆清洗用水为</w:t>
            </w:r>
            <w:r>
              <w:rPr>
                <w:rFonts w:hint="eastAsia" w:ascii="Times New Roman" w:hAnsi="Times New Roman" w:eastAsia="宋体" w:cs="Times New Roman"/>
                <w:color w:val="auto"/>
                <w:spacing w:val="8"/>
                <w:lang w:val="en-US" w:eastAsia="zh-CN"/>
              </w:rPr>
              <w:t>0.15</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8"/>
              </w:rPr>
              <w:t>/d</w:t>
            </w:r>
            <w:r>
              <w:rPr>
                <w:color w:val="auto"/>
                <w:spacing w:val="8"/>
              </w:rPr>
              <w:t>（</w:t>
            </w:r>
            <w:r>
              <w:rPr>
                <w:rFonts w:hint="eastAsia" w:ascii="Times New Roman" w:hAnsi="Times New Roman" w:eastAsia="宋体" w:cs="Times New Roman"/>
                <w:color w:val="auto"/>
                <w:spacing w:val="8"/>
                <w:lang w:val="en-US" w:eastAsia="zh-CN"/>
              </w:rPr>
              <w:t>4.65</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8"/>
              </w:rPr>
              <w:t>/a</w:t>
            </w:r>
            <w:r>
              <w:rPr>
                <w:color w:val="auto"/>
                <w:spacing w:val="17"/>
              </w:rPr>
              <w:t>），</w:t>
            </w:r>
            <w:r>
              <w:rPr>
                <w:color w:val="auto"/>
                <w:spacing w:val="8"/>
              </w:rPr>
              <w:t>排污系数以</w:t>
            </w:r>
            <w:r>
              <w:rPr>
                <w:rFonts w:ascii="Times New Roman" w:hAnsi="Times New Roman" w:eastAsia="Times New Roman" w:cs="Times New Roman"/>
                <w:color w:val="auto"/>
                <w:spacing w:val="8"/>
              </w:rPr>
              <w:t>8</w:t>
            </w:r>
            <w:r>
              <w:rPr>
                <w:rFonts w:ascii="Times New Roman" w:hAnsi="Times New Roman" w:eastAsia="Times New Roman" w:cs="Times New Roman"/>
                <w:color w:val="auto"/>
                <w:spacing w:val="7"/>
              </w:rPr>
              <w:t>0%</w:t>
            </w:r>
            <w:r>
              <w:rPr>
                <w:color w:val="auto"/>
                <w:spacing w:val="7"/>
              </w:rPr>
              <w:t>计，运输设施</w:t>
            </w:r>
            <w:r>
              <w:rPr>
                <w:color w:val="auto"/>
                <w:spacing w:val="6"/>
              </w:rPr>
              <w:t>清洗废水产生量为</w:t>
            </w:r>
            <w:r>
              <w:rPr>
                <w:rFonts w:hint="eastAsia" w:ascii="Times New Roman" w:hAnsi="Times New Roman" w:eastAsia="宋体" w:cs="Times New Roman"/>
                <w:color w:val="auto"/>
                <w:spacing w:val="6"/>
                <w:lang w:val="en-US" w:eastAsia="zh-CN"/>
              </w:rPr>
              <w:t>0.12</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3</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3.72</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3</w:t>
            </w:r>
            <w:r>
              <w:rPr>
                <w:rFonts w:ascii="Times New Roman" w:hAnsi="Times New Roman" w:eastAsia="Times New Roman" w:cs="Times New Roman"/>
                <w:color w:val="auto"/>
                <w:spacing w:val="6"/>
              </w:rPr>
              <w:t>/a</w:t>
            </w:r>
            <w:r>
              <w:rPr>
                <w:color w:val="auto"/>
                <w:spacing w:val="10"/>
              </w:rPr>
              <w:t>），</w:t>
            </w:r>
            <w:r>
              <w:rPr>
                <w:color w:val="auto"/>
                <w:spacing w:val="6"/>
              </w:rPr>
              <w:t>项目运输设施清洗废水水质与洗涤废水水质相近，</w:t>
            </w:r>
            <w:r>
              <w:rPr>
                <w:color w:val="auto"/>
                <w:spacing w:val="2"/>
              </w:rPr>
              <w:t>水质为</w:t>
            </w:r>
            <w:r>
              <w:rPr>
                <w:rFonts w:ascii="Times New Roman" w:hAnsi="Times New Roman" w:eastAsia="Times New Roman" w:cs="Times New Roman"/>
                <w:color w:val="auto"/>
              </w:rPr>
              <w:t>pH</w:t>
            </w:r>
            <w:r>
              <w:rPr>
                <w:rFonts w:ascii="Times New Roman" w:hAnsi="Times New Roman" w:eastAsia="Times New Roman" w:cs="Times New Roman"/>
                <w:color w:val="auto"/>
                <w:spacing w:val="2"/>
              </w:rPr>
              <w:t>6~9</w:t>
            </w:r>
            <w:r>
              <w:rPr>
                <w:color w:val="auto"/>
                <w:spacing w:val="2"/>
              </w:rPr>
              <w:t>、</w:t>
            </w:r>
            <w:r>
              <w:rPr>
                <w:rFonts w:ascii="Times New Roman" w:hAnsi="Times New Roman" w:eastAsia="Times New Roman" w:cs="Times New Roman"/>
                <w:color w:val="auto"/>
              </w:rPr>
              <w:t>COD</w:t>
            </w:r>
            <w:r>
              <w:rPr>
                <w:rFonts w:ascii="Times New Roman" w:hAnsi="Times New Roman" w:eastAsia="Times New Roman" w:cs="Times New Roman"/>
                <w:color w:val="auto"/>
                <w:spacing w:val="2"/>
              </w:rPr>
              <w:t>151</w:t>
            </w:r>
            <w:r>
              <w:rPr>
                <w:rFonts w:ascii="Times New Roman" w:hAnsi="Times New Roman" w:eastAsia="Times New Roman" w:cs="Times New Roman"/>
                <w:color w:val="auto"/>
              </w:rPr>
              <w:t>mg</w:t>
            </w:r>
            <w:r>
              <w:rPr>
                <w:rFonts w:ascii="Times New Roman" w:hAnsi="Times New Roman" w:eastAsia="Times New Roman" w:cs="Times New Roman"/>
                <w:color w:val="auto"/>
                <w:spacing w:val="2"/>
              </w:rPr>
              <w:t>/L</w:t>
            </w:r>
            <w:r>
              <w:rPr>
                <w:color w:val="auto"/>
                <w:spacing w:val="2"/>
              </w:rPr>
              <w:t>、</w:t>
            </w:r>
            <w:r>
              <w:rPr>
                <w:rFonts w:ascii="Times New Roman" w:hAnsi="Times New Roman" w:eastAsia="Times New Roman" w:cs="Times New Roman"/>
                <w:color w:val="auto"/>
              </w:rPr>
              <w:t>BOD</w:t>
            </w:r>
            <w:r>
              <w:rPr>
                <w:rFonts w:ascii="Times New Roman" w:hAnsi="Times New Roman" w:eastAsia="Times New Roman" w:cs="Times New Roman"/>
                <w:color w:val="auto"/>
                <w:spacing w:val="2"/>
                <w:position w:val="-1"/>
                <w:sz w:val="13"/>
                <w:szCs w:val="13"/>
              </w:rPr>
              <w:t>5</w:t>
            </w:r>
            <w:r>
              <w:rPr>
                <w:rFonts w:ascii="Times New Roman" w:hAnsi="Times New Roman" w:eastAsia="Times New Roman" w:cs="Times New Roman"/>
                <w:color w:val="auto"/>
                <w:spacing w:val="2"/>
              </w:rPr>
              <w:t>41.9</w:t>
            </w:r>
            <w:r>
              <w:rPr>
                <w:rFonts w:ascii="Times New Roman" w:hAnsi="Times New Roman" w:eastAsia="Times New Roman" w:cs="Times New Roman"/>
                <w:color w:val="auto"/>
              </w:rPr>
              <w:t>mg</w:t>
            </w:r>
            <w:r>
              <w:rPr>
                <w:rFonts w:ascii="Times New Roman" w:hAnsi="Times New Roman" w:eastAsia="Times New Roman" w:cs="Times New Roman"/>
                <w:color w:val="auto"/>
                <w:spacing w:val="2"/>
              </w:rPr>
              <w:t>/L</w:t>
            </w:r>
            <w:r>
              <w:rPr>
                <w:color w:val="auto"/>
                <w:spacing w:val="2"/>
              </w:rPr>
              <w:t>、</w:t>
            </w:r>
            <w:r>
              <w:rPr>
                <w:rFonts w:ascii="Times New Roman" w:hAnsi="Times New Roman" w:eastAsia="Times New Roman" w:cs="Times New Roman"/>
                <w:color w:val="auto"/>
              </w:rPr>
              <w:t>SS</w:t>
            </w:r>
            <w:r>
              <w:rPr>
                <w:rFonts w:ascii="Times New Roman" w:hAnsi="Times New Roman" w:eastAsia="Times New Roman" w:cs="Times New Roman"/>
                <w:color w:val="auto"/>
                <w:spacing w:val="2"/>
              </w:rPr>
              <w:t>400</w:t>
            </w:r>
            <w:r>
              <w:rPr>
                <w:rFonts w:ascii="Times New Roman" w:hAnsi="Times New Roman" w:eastAsia="Times New Roman" w:cs="Times New Roman"/>
                <w:color w:val="auto"/>
              </w:rPr>
              <w:t>mg</w:t>
            </w:r>
            <w:r>
              <w:rPr>
                <w:rFonts w:ascii="Times New Roman" w:hAnsi="Times New Roman" w:eastAsia="Times New Roman" w:cs="Times New Roman"/>
                <w:color w:val="auto"/>
                <w:spacing w:val="2"/>
              </w:rPr>
              <w:t>/L</w:t>
            </w:r>
            <w:r>
              <w:rPr>
                <w:color w:val="auto"/>
                <w:spacing w:val="2"/>
              </w:rPr>
              <w:t>、</w:t>
            </w:r>
            <w:r>
              <w:rPr>
                <w:rFonts w:ascii="Times New Roman" w:hAnsi="Times New Roman" w:eastAsia="Times New Roman" w:cs="Times New Roman"/>
                <w:color w:val="auto"/>
              </w:rPr>
              <w:t>NH</w:t>
            </w:r>
            <w:r>
              <w:rPr>
                <w:rFonts w:ascii="Times New Roman" w:hAnsi="Times New Roman" w:eastAsia="Times New Roman" w:cs="Times New Roman"/>
                <w:color w:val="auto"/>
                <w:spacing w:val="2"/>
                <w:sz w:val="13"/>
                <w:szCs w:val="13"/>
              </w:rPr>
              <w:t>3</w:t>
            </w:r>
            <w:r>
              <w:rPr>
                <w:rFonts w:ascii="Times New Roman" w:hAnsi="Times New Roman" w:eastAsia="Times New Roman" w:cs="Times New Roman"/>
                <w:color w:val="auto"/>
                <w:spacing w:val="2"/>
              </w:rPr>
              <w:t>-N15.</w:t>
            </w:r>
            <w:r>
              <w:rPr>
                <w:rFonts w:ascii="Times New Roman" w:hAnsi="Times New Roman" w:eastAsia="Times New Roman" w:cs="Times New Roman"/>
                <w:color w:val="auto"/>
                <w:spacing w:val="1"/>
              </w:rPr>
              <w:t>5</w:t>
            </w:r>
            <w:r>
              <w:rPr>
                <w:rFonts w:ascii="Times New Roman" w:hAnsi="Times New Roman" w:eastAsia="Times New Roman" w:cs="Times New Roman"/>
                <w:color w:val="auto"/>
              </w:rPr>
              <w:t>mg</w:t>
            </w:r>
            <w:r>
              <w:rPr>
                <w:rFonts w:ascii="Times New Roman" w:hAnsi="Times New Roman" w:eastAsia="Times New Roman" w:cs="Times New Roman"/>
                <w:color w:val="auto"/>
                <w:spacing w:val="1"/>
              </w:rPr>
              <w:t>/L</w:t>
            </w:r>
            <w:r>
              <w:rPr>
                <w:color w:val="auto"/>
                <w:spacing w:val="1"/>
              </w:rPr>
              <w:t>、</w:t>
            </w:r>
            <w:r>
              <w:rPr>
                <w:rFonts w:ascii="Times New Roman" w:hAnsi="Times New Roman" w:eastAsia="Times New Roman" w:cs="Times New Roman"/>
                <w:color w:val="auto"/>
              </w:rPr>
              <w:t>TN</w:t>
            </w:r>
            <w:r>
              <w:rPr>
                <w:rFonts w:ascii="Times New Roman" w:hAnsi="Times New Roman" w:eastAsia="Times New Roman" w:cs="Times New Roman"/>
                <w:color w:val="auto"/>
                <w:spacing w:val="1"/>
              </w:rPr>
              <w:t>21.1</w:t>
            </w:r>
            <w:r>
              <w:rPr>
                <w:rFonts w:ascii="Times New Roman" w:hAnsi="Times New Roman" w:eastAsia="Times New Roman" w:cs="Times New Roman"/>
                <w:color w:val="auto"/>
              </w:rPr>
              <w:t>mg</w:t>
            </w:r>
            <w:r>
              <w:rPr>
                <w:rFonts w:ascii="Times New Roman" w:hAnsi="Times New Roman" w:eastAsia="Times New Roman" w:cs="Times New Roman"/>
                <w:color w:val="auto"/>
                <w:spacing w:val="1"/>
              </w:rPr>
              <w:t>/L</w:t>
            </w:r>
            <w:r>
              <w:rPr>
                <w:color w:val="auto"/>
                <w:spacing w:val="1"/>
              </w:rPr>
              <w:t>、</w:t>
            </w:r>
            <w:r>
              <w:rPr>
                <w:rFonts w:ascii="Times New Roman" w:hAnsi="Times New Roman" w:eastAsia="Times New Roman" w:cs="Times New Roman"/>
                <w:color w:val="auto"/>
              </w:rPr>
              <w:t>TP</w:t>
            </w:r>
            <w:r>
              <w:rPr>
                <w:rFonts w:ascii="Times New Roman" w:hAnsi="Times New Roman" w:eastAsia="Times New Roman" w:cs="Times New Roman"/>
                <w:color w:val="auto"/>
                <w:spacing w:val="7"/>
              </w:rPr>
              <w:t>5.7</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、石油类</w:t>
            </w:r>
            <w:r>
              <w:rPr>
                <w:rFonts w:ascii="Times New Roman" w:hAnsi="Times New Roman" w:eastAsia="Times New Roman" w:cs="Times New Roman"/>
                <w:color w:val="auto"/>
                <w:spacing w:val="7"/>
              </w:rPr>
              <w:t>18</w:t>
            </w:r>
            <w:r>
              <w:rPr>
                <w:rFonts w:ascii="Times New Roman" w:hAnsi="Times New Roman" w:eastAsia="Times New Roman" w:cs="Times New Roman"/>
                <w:color w:val="auto"/>
              </w:rPr>
              <w:t>mg</w:t>
            </w:r>
            <w:r>
              <w:rPr>
                <w:rFonts w:ascii="Times New Roman" w:hAnsi="Times New Roman" w:eastAsia="Times New Roman" w:cs="Times New Roman"/>
                <w:color w:val="auto"/>
                <w:spacing w:val="7"/>
              </w:rPr>
              <w:t>/L</w:t>
            </w:r>
            <w:r>
              <w:rPr>
                <w:color w:val="auto"/>
                <w:spacing w:val="7"/>
              </w:rPr>
              <w:t>、粪大肠杆菌</w:t>
            </w:r>
            <w:r>
              <w:rPr>
                <w:rFonts w:ascii="Times New Roman" w:hAnsi="Times New Roman" w:eastAsia="Times New Roman" w:cs="Times New Roman"/>
                <w:color w:val="auto"/>
                <w:spacing w:val="7"/>
              </w:rPr>
              <w:t>2800</w:t>
            </w:r>
            <w:r>
              <w:rPr>
                <w:rFonts w:ascii="Times New Roman" w:hAnsi="Times New Roman" w:eastAsia="Times New Roman" w:cs="Times New Roman"/>
                <w:color w:val="auto"/>
              </w:rPr>
              <w:t>MPN</w:t>
            </w:r>
            <w:r>
              <w:rPr>
                <w:rFonts w:ascii="Times New Roman" w:hAnsi="Times New Roman" w:eastAsia="Times New Roman" w:cs="Times New Roman"/>
                <w:color w:val="auto"/>
                <w:spacing w:val="7"/>
              </w:rPr>
              <w:t>/L</w:t>
            </w:r>
            <w:r>
              <w:rPr>
                <w:color w:val="auto"/>
                <w:spacing w:val="7"/>
              </w:rPr>
              <w:t>，经污水</w:t>
            </w:r>
            <w:r>
              <w:rPr>
                <w:color w:val="auto"/>
                <w:spacing w:val="6"/>
              </w:rPr>
              <w:t>处理站处理后进入市政污水</w:t>
            </w:r>
            <w:r>
              <w:rPr>
                <w:color w:val="auto"/>
                <w:spacing w:val="3"/>
              </w:rPr>
              <w:t>管网。</w:t>
            </w:r>
          </w:p>
          <w:p w14:paraId="3C8A447C">
            <w:pPr>
              <w:tabs>
                <w:tab w:val="left" w:pos="2040"/>
              </w:tabs>
              <w:ind w:firstLine="470" w:firstLineChars="196"/>
              <w:rPr>
                <w:rFonts w:hint="eastAsia" w:eastAsia="宋体"/>
                <w:color w:val="auto"/>
                <w:kern w:val="0"/>
                <w:lang w:val="en-US" w:eastAsia="zh-CN"/>
              </w:rPr>
            </w:pPr>
            <w:r>
              <w:rPr>
                <w:rFonts w:hint="eastAsia"/>
                <w:color w:val="auto"/>
                <w:kern w:val="0"/>
                <w:lang w:val="en-US" w:eastAsia="zh-CN"/>
              </w:rPr>
              <w:t>⑥地面清洗用</w:t>
            </w:r>
            <w:r>
              <w:rPr>
                <w:rFonts w:hint="eastAsia"/>
                <w:color w:val="auto"/>
                <w:lang w:val="en-US" w:eastAsia="zh-CN"/>
              </w:rPr>
              <w:t>水</w:t>
            </w:r>
          </w:p>
          <w:p w14:paraId="5620F4B3">
            <w:pPr>
              <w:pStyle w:val="57"/>
              <w:spacing w:before="164" w:line="366" w:lineRule="auto"/>
              <w:ind w:left="113" w:right="86" w:firstLine="421"/>
              <w:rPr>
                <w:color w:val="auto"/>
                <w:spacing w:val="7"/>
              </w:rPr>
            </w:pPr>
            <w:r>
              <w:rPr>
                <w:color w:val="auto"/>
                <w:spacing w:val="10"/>
              </w:rPr>
              <w:t>项目建成后每日地面需要清洁，采用拖洗方式，根据</w:t>
            </w:r>
            <w:r>
              <w:rPr>
                <w:color w:val="auto"/>
                <w:spacing w:val="9"/>
              </w:rPr>
              <w:t>企业提供资料，地面清洗用水为</w:t>
            </w:r>
            <w:r>
              <w:rPr>
                <w:rFonts w:hint="eastAsia" w:ascii="Times New Roman" w:hAnsi="Times New Roman" w:eastAsia="宋体" w:cs="Times New Roman"/>
                <w:color w:val="auto"/>
                <w:spacing w:val="8"/>
                <w:lang w:val="en-US" w:eastAsia="zh-CN"/>
              </w:rPr>
              <w:t>0.2</w:t>
            </w:r>
            <w:r>
              <w:rPr>
                <w:rFonts w:ascii="Times New Roman" w:hAnsi="Times New Roman" w:eastAsia="Times New Roman" w:cs="Times New Roman"/>
                <w:color w:val="auto"/>
                <w:spacing w:val="8"/>
              </w:rPr>
              <w:t>t/d</w:t>
            </w:r>
            <w:r>
              <w:rPr>
                <w:color w:val="auto"/>
                <w:spacing w:val="8"/>
              </w:rPr>
              <w:t>（</w:t>
            </w:r>
            <w:r>
              <w:rPr>
                <w:rFonts w:hint="eastAsia" w:ascii="Times New Roman" w:hAnsi="Times New Roman" w:eastAsia="宋体" w:cs="Times New Roman"/>
                <w:color w:val="auto"/>
                <w:spacing w:val="8"/>
                <w:lang w:val="en-US" w:eastAsia="zh-CN"/>
              </w:rPr>
              <w:t>73</w:t>
            </w:r>
            <w:r>
              <w:rPr>
                <w:rFonts w:ascii="Times New Roman" w:hAnsi="Times New Roman" w:eastAsia="Times New Roman" w:cs="Times New Roman"/>
                <w:color w:val="auto"/>
                <w:spacing w:val="8"/>
              </w:rPr>
              <w:t>t/a</w:t>
            </w:r>
            <w:r>
              <w:rPr>
                <w:color w:val="auto"/>
                <w:spacing w:val="16"/>
              </w:rPr>
              <w:t>），</w:t>
            </w:r>
            <w:r>
              <w:rPr>
                <w:color w:val="auto"/>
                <w:spacing w:val="8"/>
              </w:rPr>
              <w:t>该部分清洗用水全部采用清洁水回收罐回收的制水浓水和蒸汽冷凝水。排污系数以</w:t>
            </w:r>
            <w:r>
              <w:rPr>
                <w:rFonts w:ascii="Times New Roman" w:hAnsi="Times New Roman" w:eastAsia="Times New Roman" w:cs="Times New Roman"/>
                <w:color w:val="auto"/>
                <w:spacing w:val="8"/>
              </w:rPr>
              <w:t>90%</w:t>
            </w:r>
            <w:r>
              <w:rPr>
                <w:color w:val="auto"/>
                <w:spacing w:val="8"/>
              </w:rPr>
              <w:t>计，地面擦拭清洁排水量为</w:t>
            </w:r>
            <w:r>
              <w:rPr>
                <w:rFonts w:hint="eastAsia"/>
                <w:color w:val="auto"/>
                <w:spacing w:val="-35"/>
                <w:lang w:val="en-US" w:eastAsia="zh-CN"/>
              </w:rPr>
              <w:t>0.</w:t>
            </w:r>
            <w:r>
              <w:rPr>
                <w:rFonts w:hint="eastAsia" w:ascii="Times New Roman" w:hAnsi="Times New Roman" w:eastAsia="宋体" w:cs="Times New Roman"/>
                <w:color w:val="auto"/>
                <w:spacing w:val="8"/>
                <w:lang w:val="en-US" w:eastAsia="zh-CN"/>
              </w:rPr>
              <w:t>18m</w:t>
            </w:r>
            <w:r>
              <w:rPr>
                <w:rFonts w:hint="eastAsia" w:ascii="Times New Roman" w:hAnsi="Times New Roman" w:eastAsia="宋体" w:cs="Times New Roman"/>
                <w:color w:val="auto"/>
                <w:spacing w:val="8"/>
                <w:vertAlign w:val="superscript"/>
                <w:lang w:val="en-US" w:eastAsia="zh-CN"/>
              </w:rPr>
              <w:t>3</w:t>
            </w:r>
            <w:r>
              <w:rPr>
                <w:rFonts w:hint="eastAsia" w:ascii="Times New Roman" w:hAnsi="Times New Roman" w:eastAsia="宋体" w:cs="Times New Roman"/>
                <w:color w:val="auto"/>
                <w:spacing w:val="8"/>
                <w:lang w:val="en-US" w:eastAsia="zh-CN"/>
              </w:rPr>
              <w:t>/</w:t>
            </w:r>
            <w:r>
              <w:rPr>
                <w:rFonts w:ascii="Times New Roman" w:hAnsi="Times New Roman" w:eastAsia="Times New Roman" w:cs="Times New Roman"/>
                <w:color w:val="auto"/>
                <w:spacing w:val="8"/>
              </w:rPr>
              <w:t>d</w:t>
            </w:r>
            <w:r>
              <w:rPr>
                <w:color w:val="auto"/>
                <w:spacing w:val="8"/>
              </w:rPr>
              <w:t>（</w:t>
            </w:r>
            <w:r>
              <w:rPr>
                <w:rFonts w:hint="eastAsia" w:ascii="Times New Roman" w:hAnsi="Times New Roman" w:eastAsia="宋体" w:cs="Times New Roman"/>
                <w:color w:val="auto"/>
                <w:spacing w:val="8"/>
                <w:lang w:val="en-US" w:eastAsia="zh-CN"/>
              </w:rPr>
              <w:t>65.7</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6"/>
                <w:sz w:val="13"/>
                <w:szCs w:val="13"/>
              </w:rPr>
              <w:t>3</w:t>
            </w:r>
            <w:r>
              <w:rPr>
                <w:rFonts w:ascii="Times New Roman" w:hAnsi="Times New Roman" w:eastAsia="Times New Roman" w:cs="Times New Roman"/>
                <w:color w:val="auto"/>
                <w:spacing w:val="8"/>
              </w:rPr>
              <w:t>/a</w:t>
            </w:r>
            <w:r>
              <w:rPr>
                <w:color w:val="auto"/>
                <w:spacing w:val="26"/>
              </w:rPr>
              <w:t>），</w:t>
            </w:r>
            <w:r>
              <w:rPr>
                <w:color w:val="auto"/>
                <w:spacing w:val="8"/>
              </w:rPr>
              <w:t>该部分水质与制水浓水、蒸汽冷凝水水质类似</w:t>
            </w:r>
            <w:r>
              <w:rPr>
                <w:rFonts w:ascii="Times New Roman" w:hAnsi="Times New Roman" w:eastAsia="Times New Roman" w:cs="Times New Roman"/>
                <w:color w:val="auto"/>
              </w:rPr>
              <w:t>COD</w:t>
            </w:r>
            <w:r>
              <w:rPr>
                <w:rFonts w:ascii="Times New Roman" w:hAnsi="Times New Roman" w:eastAsia="Times New Roman" w:cs="Times New Roman"/>
                <w:color w:val="auto"/>
                <w:spacing w:val="8"/>
              </w:rPr>
              <w:t>40</w:t>
            </w:r>
            <w:r>
              <w:rPr>
                <w:rFonts w:ascii="Times New Roman" w:hAnsi="Times New Roman" w:eastAsia="Times New Roman" w:cs="Times New Roman"/>
                <w:color w:val="auto"/>
              </w:rPr>
              <w:t>mg</w:t>
            </w:r>
            <w:r>
              <w:rPr>
                <w:rFonts w:ascii="Times New Roman" w:hAnsi="Times New Roman" w:eastAsia="Times New Roman" w:cs="Times New Roman"/>
                <w:color w:val="auto"/>
                <w:spacing w:val="8"/>
              </w:rPr>
              <w:t>/L</w:t>
            </w:r>
            <w:r>
              <w:rPr>
                <w:color w:val="auto"/>
                <w:spacing w:val="8"/>
              </w:rPr>
              <w:t>、</w:t>
            </w:r>
            <w:r>
              <w:rPr>
                <w:rFonts w:ascii="Times New Roman" w:hAnsi="Times New Roman" w:eastAsia="Times New Roman" w:cs="Times New Roman"/>
                <w:color w:val="auto"/>
              </w:rPr>
              <w:t>SS</w:t>
            </w:r>
            <w:r>
              <w:rPr>
                <w:rFonts w:ascii="Times New Roman" w:hAnsi="Times New Roman" w:eastAsia="Times New Roman" w:cs="Times New Roman"/>
                <w:color w:val="auto"/>
                <w:spacing w:val="8"/>
              </w:rPr>
              <w:t>200</w:t>
            </w:r>
            <w:r>
              <w:rPr>
                <w:rFonts w:ascii="Times New Roman" w:hAnsi="Times New Roman" w:eastAsia="Times New Roman" w:cs="Times New Roman"/>
                <w:color w:val="auto"/>
              </w:rPr>
              <w:t>mg</w:t>
            </w:r>
            <w:r>
              <w:rPr>
                <w:rFonts w:ascii="Times New Roman" w:hAnsi="Times New Roman" w:eastAsia="Times New Roman" w:cs="Times New Roman"/>
                <w:color w:val="auto"/>
                <w:spacing w:val="8"/>
              </w:rPr>
              <w:t>/L</w:t>
            </w:r>
            <w:r>
              <w:rPr>
                <w:color w:val="auto"/>
                <w:spacing w:val="7"/>
              </w:rPr>
              <w:t>，经污水处理站处理后进入市政污水管网。</w:t>
            </w:r>
          </w:p>
          <w:p w14:paraId="7C9E31A6">
            <w:pPr>
              <w:pStyle w:val="57"/>
              <w:spacing w:before="164" w:line="366" w:lineRule="auto"/>
              <w:ind w:left="113" w:right="86" w:firstLine="421"/>
              <w:rPr>
                <w:color w:val="auto"/>
                <w:spacing w:val="7"/>
              </w:rPr>
            </w:pPr>
          </w:p>
          <w:p w14:paraId="22F141C7">
            <w:pPr>
              <w:pStyle w:val="57"/>
              <w:spacing w:before="164" w:line="366" w:lineRule="auto"/>
              <w:ind w:left="113" w:right="86" w:firstLine="421"/>
              <w:rPr>
                <w:color w:val="auto"/>
                <w:spacing w:val="7"/>
              </w:rPr>
            </w:pPr>
          </w:p>
          <w:p w14:paraId="1664D816">
            <w:pPr>
              <w:pStyle w:val="57"/>
              <w:spacing w:before="164" w:line="366" w:lineRule="auto"/>
              <w:ind w:left="113" w:right="86" w:firstLine="421"/>
              <w:rPr>
                <w:color w:val="auto"/>
                <w:spacing w:val="7"/>
              </w:rPr>
            </w:pPr>
          </w:p>
          <w:p w14:paraId="7A53F0A9">
            <w:pPr>
              <w:pStyle w:val="57"/>
              <w:spacing w:before="164" w:line="366" w:lineRule="auto"/>
              <w:ind w:left="113" w:right="86" w:firstLine="421"/>
              <w:rPr>
                <w:rFonts w:hint="eastAsia"/>
                <w:color w:val="auto"/>
                <w:spacing w:val="7"/>
                <w:lang w:eastAsia="zh-CN"/>
              </w:rPr>
            </w:pPr>
          </w:p>
          <w:p w14:paraId="154377FA">
            <w:pPr>
              <w:pStyle w:val="2"/>
              <w:rPr>
                <w:color w:val="auto"/>
              </w:rPr>
            </w:pPr>
            <w:r>
              <w:rPr>
                <w:color w:val="auto"/>
              </w:rPr>
              <w:drawing>
                <wp:anchor distT="0" distB="0" distL="114300" distR="114300" simplePos="0" relativeHeight="251706368" behindDoc="0" locked="0" layoutInCell="1" allowOverlap="1">
                  <wp:simplePos x="0" y="0"/>
                  <wp:positionH relativeFrom="column">
                    <wp:posOffset>95250</wp:posOffset>
                  </wp:positionH>
                  <wp:positionV relativeFrom="paragraph">
                    <wp:posOffset>50165</wp:posOffset>
                  </wp:positionV>
                  <wp:extent cx="4519930" cy="2921635"/>
                  <wp:effectExtent l="0" t="0" r="13970" b="12065"/>
                  <wp:wrapNone/>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22"/>
                          <a:stretch>
                            <a:fillRect/>
                          </a:stretch>
                        </pic:blipFill>
                        <pic:spPr>
                          <a:xfrm>
                            <a:off x="0" y="0"/>
                            <a:ext cx="4519930" cy="2921635"/>
                          </a:xfrm>
                          <a:prstGeom prst="rect">
                            <a:avLst/>
                          </a:prstGeom>
                          <a:noFill/>
                          <a:ln>
                            <a:noFill/>
                          </a:ln>
                        </pic:spPr>
                      </pic:pic>
                    </a:graphicData>
                  </a:graphic>
                </wp:anchor>
              </w:drawing>
            </w:r>
          </w:p>
          <w:p w14:paraId="6898576E">
            <w:pPr>
              <w:pStyle w:val="2"/>
              <w:rPr>
                <w:color w:val="auto"/>
              </w:rPr>
            </w:pPr>
          </w:p>
          <w:p w14:paraId="61DE1B05">
            <w:pPr>
              <w:pStyle w:val="2"/>
              <w:rPr>
                <w:color w:val="auto"/>
              </w:rPr>
            </w:pPr>
          </w:p>
          <w:p w14:paraId="6629A0A4">
            <w:pPr>
              <w:pStyle w:val="2"/>
              <w:rPr>
                <w:color w:val="auto"/>
              </w:rPr>
            </w:pPr>
          </w:p>
          <w:p w14:paraId="4E85CD37">
            <w:pPr>
              <w:pStyle w:val="2"/>
              <w:rPr>
                <w:color w:val="auto"/>
              </w:rPr>
            </w:pPr>
          </w:p>
          <w:p w14:paraId="4762CFA0">
            <w:pPr>
              <w:pStyle w:val="2"/>
              <w:rPr>
                <w:color w:val="auto"/>
              </w:rPr>
            </w:pPr>
          </w:p>
          <w:p w14:paraId="57D0ADC2">
            <w:pPr>
              <w:pStyle w:val="2"/>
              <w:rPr>
                <w:color w:val="auto"/>
              </w:rPr>
            </w:pPr>
          </w:p>
          <w:p w14:paraId="53566085">
            <w:pPr>
              <w:pStyle w:val="2"/>
              <w:rPr>
                <w:color w:val="auto"/>
              </w:rPr>
            </w:pPr>
          </w:p>
          <w:p w14:paraId="2711C4D6">
            <w:pPr>
              <w:pStyle w:val="2"/>
              <w:rPr>
                <w:color w:val="auto"/>
              </w:rPr>
            </w:pPr>
          </w:p>
          <w:p w14:paraId="73C6E7C2">
            <w:pPr>
              <w:pStyle w:val="2"/>
              <w:rPr>
                <w:color w:val="auto"/>
              </w:rPr>
            </w:pPr>
          </w:p>
          <w:p w14:paraId="4A7FAEDF">
            <w:pPr>
              <w:pStyle w:val="2"/>
              <w:rPr>
                <w:color w:val="auto"/>
              </w:rPr>
            </w:pPr>
          </w:p>
          <w:p w14:paraId="704036D4">
            <w:pPr>
              <w:pStyle w:val="2"/>
              <w:rPr>
                <w:color w:val="auto"/>
              </w:rPr>
            </w:pPr>
          </w:p>
          <w:p w14:paraId="7C036A0C">
            <w:pPr>
              <w:pStyle w:val="2"/>
              <w:rPr>
                <w:color w:val="auto"/>
              </w:rPr>
            </w:pPr>
          </w:p>
          <w:p w14:paraId="6CDF9716">
            <w:pPr>
              <w:widowControl/>
              <w:ind w:firstLine="422"/>
              <w:jc w:val="center"/>
              <w:rPr>
                <w:b/>
                <w:bCs/>
                <w:color w:val="auto"/>
                <w:sz w:val="21"/>
                <w:highlight w:val="none"/>
              </w:rPr>
            </w:pPr>
          </w:p>
          <w:p w14:paraId="6BD1E46F">
            <w:pPr>
              <w:widowControl/>
              <w:ind w:firstLine="422"/>
              <w:jc w:val="center"/>
              <w:rPr>
                <w:b/>
                <w:bCs/>
                <w:color w:val="auto"/>
                <w:sz w:val="21"/>
                <w:highlight w:val="none"/>
              </w:rPr>
            </w:pPr>
            <w:r>
              <w:rPr>
                <w:b/>
                <w:bCs/>
                <w:color w:val="auto"/>
                <w:sz w:val="21"/>
                <w:highlight w:val="none"/>
              </w:rPr>
              <w:t>图4-</w:t>
            </w:r>
            <w:r>
              <w:rPr>
                <w:rFonts w:hint="eastAsia"/>
                <w:b/>
                <w:bCs/>
                <w:color w:val="auto"/>
                <w:sz w:val="21"/>
                <w:highlight w:val="none"/>
                <w:lang w:val="en-US" w:eastAsia="zh-CN"/>
              </w:rPr>
              <w:t>1本项目</w:t>
            </w:r>
            <w:r>
              <w:rPr>
                <w:b/>
                <w:bCs/>
                <w:color w:val="auto"/>
                <w:sz w:val="21"/>
                <w:highlight w:val="none"/>
              </w:rPr>
              <w:t>水平衡图单位m</w:t>
            </w:r>
            <w:r>
              <w:rPr>
                <w:b/>
                <w:bCs/>
                <w:color w:val="auto"/>
                <w:sz w:val="21"/>
                <w:highlight w:val="none"/>
                <w:vertAlign w:val="superscript"/>
              </w:rPr>
              <w:t>3</w:t>
            </w:r>
            <w:r>
              <w:rPr>
                <w:b/>
                <w:bCs/>
                <w:color w:val="auto"/>
                <w:sz w:val="21"/>
                <w:highlight w:val="none"/>
              </w:rPr>
              <w:t>/d</w:t>
            </w:r>
          </w:p>
          <w:p w14:paraId="0602D58E">
            <w:pPr>
              <w:widowControl/>
              <w:ind w:firstLine="422"/>
              <w:jc w:val="center"/>
              <w:rPr>
                <w:b/>
                <w:bCs/>
                <w:color w:val="auto"/>
                <w:sz w:val="21"/>
                <w:highlight w:val="none"/>
              </w:rPr>
            </w:pPr>
            <w:r>
              <w:rPr>
                <w:color w:val="auto"/>
              </w:rPr>
              <w:drawing>
                <wp:anchor distT="0" distB="0" distL="114300" distR="114300" simplePos="0" relativeHeight="251707392" behindDoc="0" locked="0" layoutInCell="1" allowOverlap="1">
                  <wp:simplePos x="0" y="0"/>
                  <wp:positionH relativeFrom="column">
                    <wp:posOffset>13970</wp:posOffset>
                  </wp:positionH>
                  <wp:positionV relativeFrom="paragraph">
                    <wp:posOffset>143510</wp:posOffset>
                  </wp:positionV>
                  <wp:extent cx="4624705" cy="3346450"/>
                  <wp:effectExtent l="0" t="0" r="4445" b="6350"/>
                  <wp:wrapNone/>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pic:cNvPicPr>
                        </pic:nvPicPr>
                        <pic:blipFill>
                          <a:blip r:embed="rId23"/>
                          <a:stretch>
                            <a:fillRect/>
                          </a:stretch>
                        </pic:blipFill>
                        <pic:spPr>
                          <a:xfrm>
                            <a:off x="0" y="0"/>
                            <a:ext cx="4624705" cy="3346450"/>
                          </a:xfrm>
                          <a:prstGeom prst="rect">
                            <a:avLst/>
                          </a:prstGeom>
                          <a:noFill/>
                          <a:ln>
                            <a:noFill/>
                          </a:ln>
                        </pic:spPr>
                      </pic:pic>
                    </a:graphicData>
                  </a:graphic>
                </wp:anchor>
              </w:drawing>
            </w:r>
          </w:p>
          <w:p w14:paraId="2EFBF25A">
            <w:pPr>
              <w:widowControl/>
              <w:ind w:firstLine="422"/>
              <w:jc w:val="center"/>
              <w:rPr>
                <w:b/>
                <w:bCs/>
                <w:color w:val="auto"/>
                <w:sz w:val="21"/>
                <w:highlight w:val="none"/>
              </w:rPr>
            </w:pPr>
          </w:p>
          <w:p w14:paraId="0E079064">
            <w:pPr>
              <w:widowControl/>
              <w:ind w:firstLine="422"/>
              <w:jc w:val="center"/>
              <w:rPr>
                <w:b/>
                <w:bCs/>
                <w:color w:val="auto"/>
                <w:sz w:val="21"/>
                <w:highlight w:val="none"/>
              </w:rPr>
            </w:pPr>
          </w:p>
          <w:p w14:paraId="7A51D47E">
            <w:pPr>
              <w:widowControl/>
              <w:ind w:firstLine="422"/>
              <w:jc w:val="center"/>
              <w:rPr>
                <w:b/>
                <w:bCs/>
                <w:color w:val="auto"/>
                <w:sz w:val="21"/>
                <w:highlight w:val="none"/>
              </w:rPr>
            </w:pPr>
          </w:p>
          <w:p w14:paraId="440C84A3">
            <w:pPr>
              <w:widowControl/>
              <w:ind w:firstLine="422"/>
              <w:jc w:val="center"/>
              <w:rPr>
                <w:b/>
                <w:bCs/>
                <w:color w:val="auto"/>
                <w:sz w:val="21"/>
                <w:highlight w:val="none"/>
              </w:rPr>
            </w:pPr>
          </w:p>
          <w:p w14:paraId="26D0874E">
            <w:pPr>
              <w:widowControl/>
              <w:ind w:firstLine="422"/>
              <w:jc w:val="center"/>
              <w:rPr>
                <w:b/>
                <w:bCs/>
                <w:color w:val="auto"/>
                <w:sz w:val="21"/>
                <w:highlight w:val="none"/>
              </w:rPr>
            </w:pPr>
          </w:p>
          <w:p w14:paraId="3E97378D">
            <w:pPr>
              <w:widowControl/>
              <w:ind w:firstLine="422"/>
              <w:jc w:val="center"/>
              <w:rPr>
                <w:b/>
                <w:bCs/>
                <w:color w:val="auto"/>
                <w:sz w:val="21"/>
                <w:highlight w:val="none"/>
              </w:rPr>
            </w:pPr>
          </w:p>
          <w:p w14:paraId="3B885604">
            <w:pPr>
              <w:widowControl/>
              <w:ind w:left="0" w:leftChars="0" w:firstLine="0" w:firstLineChars="0"/>
              <w:jc w:val="both"/>
              <w:rPr>
                <w:color w:val="auto"/>
              </w:rPr>
            </w:pPr>
          </w:p>
          <w:p w14:paraId="298D7F1F">
            <w:pPr>
              <w:pStyle w:val="2"/>
              <w:rPr>
                <w:color w:val="auto"/>
              </w:rPr>
            </w:pPr>
          </w:p>
          <w:p w14:paraId="5ADDCC85">
            <w:pPr>
              <w:pStyle w:val="2"/>
              <w:rPr>
                <w:color w:val="auto"/>
              </w:rPr>
            </w:pPr>
          </w:p>
          <w:p w14:paraId="197EE119">
            <w:pPr>
              <w:pStyle w:val="2"/>
              <w:rPr>
                <w:color w:val="auto"/>
              </w:rPr>
            </w:pPr>
          </w:p>
          <w:p w14:paraId="143B004B">
            <w:pPr>
              <w:pStyle w:val="2"/>
              <w:rPr>
                <w:color w:val="auto"/>
              </w:rPr>
            </w:pPr>
          </w:p>
          <w:p w14:paraId="179A00D8">
            <w:pPr>
              <w:pStyle w:val="2"/>
              <w:rPr>
                <w:color w:val="auto"/>
              </w:rPr>
            </w:pPr>
          </w:p>
          <w:p w14:paraId="45EEB0AB">
            <w:pPr>
              <w:pStyle w:val="2"/>
              <w:rPr>
                <w:color w:val="auto"/>
              </w:rPr>
            </w:pPr>
          </w:p>
          <w:p w14:paraId="331865B8">
            <w:pPr>
              <w:pStyle w:val="2"/>
              <w:rPr>
                <w:color w:val="auto"/>
              </w:rPr>
            </w:pPr>
          </w:p>
          <w:p w14:paraId="57F2ABFD">
            <w:pPr>
              <w:pStyle w:val="2"/>
              <w:rPr>
                <w:color w:val="auto"/>
              </w:rPr>
            </w:pPr>
          </w:p>
          <w:p w14:paraId="11456C72">
            <w:pPr>
              <w:widowControl/>
              <w:ind w:firstLine="422"/>
              <w:jc w:val="center"/>
              <w:rPr>
                <w:b/>
                <w:bCs/>
                <w:color w:val="auto"/>
                <w:sz w:val="21"/>
                <w:highlight w:val="none"/>
              </w:rPr>
            </w:pPr>
            <w:r>
              <w:rPr>
                <w:b/>
                <w:bCs/>
                <w:color w:val="auto"/>
                <w:sz w:val="21"/>
                <w:highlight w:val="none"/>
              </w:rPr>
              <w:t>图4-</w:t>
            </w:r>
            <w:r>
              <w:rPr>
                <w:rFonts w:hint="eastAsia"/>
                <w:b/>
                <w:bCs/>
                <w:color w:val="auto"/>
                <w:sz w:val="21"/>
                <w:highlight w:val="none"/>
                <w:lang w:val="en-US" w:eastAsia="zh-CN"/>
              </w:rPr>
              <w:t>2本项目建成后</w:t>
            </w:r>
            <w:r>
              <w:rPr>
                <w:b/>
                <w:bCs/>
                <w:color w:val="auto"/>
                <w:sz w:val="21"/>
                <w:highlight w:val="none"/>
              </w:rPr>
              <w:t>水平衡图单位m</w:t>
            </w:r>
            <w:r>
              <w:rPr>
                <w:b/>
                <w:bCs/>
                <w:color w:val="auto"/>
                <w:sz w:val="21"/>
                <w:highlight w:val="none"/>
                <w:vertAlign w:val="superscript"/>
              </w:rPr>
              <w:t>3</w:t>
            </w:r>
            <w:r>
              <w:rPr>
                <w:b/>
                <w:bCs/>
                <w:color w:val="auto"/>
                <w:sz w:val="21"/>
                <w:highlight w:val="none"/>
              </w:rPr>
              <w:t>/d</w:t>
            </w:r>
          </w:p>
          <w:p w14:paraId="56BDBE2E">
            <w:pPr>
              <w:pStyle w:val="2"/>
              <w:rPr>
                <w:rFonts w:hint="eastAsia"/>
                <w:b/>
                <w:bCs/>
                <w:color w:val="auto"/>
                <w:sz w:val="28"/>
                <w:szCs w:val="28"/>
                <w:lang w:val="en-US" w:eastAsia="zh-CN"/>
              </w:rPr>
            </w:pPr>
            <w:r>
              <w:rPr>
                <w:rFonts w:hint="eastAsia"/>
                <w:b/>
                <w:bCs/>
                <w:color w:val="auto"/>
                <w:sz w:val="28"/>
                <w:szCs w:val="28"/>
                <w:lang w:val="en-US" w:eastAsia="zh-CN"/>
              </w:rPr>
              <w:t>江城卫生院：</w:t>
            </w:r>
          </w:p>
          <w:p w14:paraId="07B8D444">
            <w:pPr>
              <w:tabs>
                <w:tab w:val="left" w:pos="2040"/>
              </w:tabs>
              <w:ind w:firstLine="472" w:firstLineChars="196"/>
              <w:rPr>
                <w:rFonts w:hint="default" w:eastAsia="宋体"/>
                <w:b/>
                <w:bCs/>
                <w:color w:val="auto"/>
                <w:kern w:val="0"/>
                <w:lang w:val="en-US" w:eastAsia="zh-CN"/>
              </w:rPr>
            </w:pPr>
            <w:r>
              <w:rPr>
                <w:rFonts w:hint="eastAsia"/>
                <w:b/>
                <w:bCs/>
                <w:color w:val="auto"/>
                <w:kern w:val="0"/>
                <w:lang w:eastAsia="zh-CN"/>
              </w:rPr>
              <w:t>本项目目前污水不外排，污水经污水处理站处理后回用于绿化，本次环评建议整改为：经污水处理站处理后排入市政污水管网最终进入污水处理厂。</w:t>
            </w:r>
          </w:p>
          <w:p w14:paraId="4E578422">
            <w:pPr>
              <w:tabs>
                <w:tab w:val="left" w:pos="2040"/>
              </w:tabs>
              <w:ind w:firstLine="470" w:firstLineChars="196"/>
              <w:rPr>
                <w:color w:val="auto"/>
                <w:kern w:val="0"/>
              </w:rPr>
            </w:pPr>
            <w:r>
              <w:rPr>
                <w:color w:val="auto"/>
                <w:kern w:val="0"/>
              </w:rPr>
              <w:t>本次扩建新增废水主要为医护人员、门诊、住院废水，本次扩建新增床位</w:t>
            </w:r>
            <w:r>
              <w:rPr>
                <w:rFonts w:hint="eastAsia"/>
                <w:color w:val="auto"/>
                <w:kern w:val="0"/>
                <w:lang w:val="en-US" w:eastAsia="zh-CN"/>
              </w:rPr>
              <w:t>45</w:t>
            </w:r>
            <w:r>
              <w:rPr>
                <w:color w:val="auto"/>
                <w:kern w:val="0"/>
              </w:rPr>
              <w:t>床</w:t>
            </w:r>
            <w:r>
              <w:rPr>
                <w:rFonts w:hint="eastAsia"/>
                <w:color w:val="auto"/>
                <w:kern w:val="0"/>
                <w:lang w:eastAsia="zh-CN"/>
              </w:rPr>
              <w:t>、</w:t>
            </w:r>
            <w:r>
              <w:rPr>
                <w:rFonts w:hint="eastAsia"/>
                <w:color w:val="auto"/>
                <w:kern w:val="0"/>
                <w:lang w:val="en-US" w:eastAsia="zh-CN"/>
              </w:rPr>
              <w:t>就诊人数新增约113人次/d</w:t>
            </w:r>
            <w:r>
              <w:rPr>
                <w:color w:val="auto"/>
                <w:kern w:val="0"/>
              </w:rPr>
              <w:t>。</w:t>
            </w:r>
          </w:p>
          <w:p w14:paraId="74807245">
            <w:pPr>
              <w:tabs>
                <w:tab w:val="left" w:pos="2040"/>
              </w:tabs>
              <w:ind w:firstLine="470" w:firstLineChars="196"/>
              <w:rPr>
                <w:color w:val="auto"/>
                <w:kern w:val="0"/>
              </w:rPr>
            </w:pPr>
            <w:r>
              <w:rPr>
                <w:color w:val="auto"/>
                <w:kern w:val="0"/>
              </w:rPr>
              <w:t>（1）门诊、住院用水</w:t>
            </w:r>
          </w:p>
          <w:p w14:paraId="5E866730">
            <w:pPr>
              <w:tabs>
                <w:tab w:val="left" w:pos="2040"/>
              </w:tabs>
              <w:ind w:firstLine="470" w:firstLineChars="196"/>
              <w:rPr>
                <w:color w:val="auto"/>
              </w:rPr>
            </w:pPr>
            <w:r>
              <w:rPr>
                <w:color w:val="auto"/>
                <w:kern w:val="0"/>
                <w:szCs w:val="24"/>
                <w:lang w:bidi="ar"/>
              </w:rPr>
              <w:t>本次扩建新增床位数为</w:t>
            </w:r>
            <w:r>
              <w:rPr>
                <w:rFonts w:hint="eastAsia"/>
                <w:color w:val="auto"/>
                <w:kern w:val="0"/>
                <w:szCs w:val="24"/>
                <w:lang w:val="en-US" w:eastAsia="zh-CN" w:bidi="ar"/>
              </w:rPr>
              <w:t>45</w:t>
            </w:r>
            <w:r>
              <w:rPr>
                <w:color w:val="auto"/>
                <w:kern w:val="0"/>
                <w:szCs w:val="24"/>
                <w:lang w:bidi="ar"/>
              </w:rPr>
              <w:t>张，根据建设单位提供资料本项目扩建后就诊人数</w:t>
            </w:r>
            <w:r>
              <w:rPr>
                <w:rFonts w:hint="eastAsia"/>
                <w:color w:val="auto"/>
                <w:kern w:val="0"/>
                <w:szCs w:val="24"/>
                <w:lang w:val="en-US" w:eastAsia="zh-CN" w:bidi="ar"/>
              </w:rPr>
              <w:t>平均按500人次/d，本次扩建后</w:t>
            </w:r>
            <w:r>
              <w:rPr>
                <w:color w:val="auto"/>
                <w:kern w:val="0"/>
                <w:szCs w:val="24"/>
                <w:lang w:bidi="ar"/>
              </w:rPr>
              <w:t>新增按照平均</w:t>
            </w:r>
            <w:r>
              <w:rPr>
                <w:rFonts w:hint="eastAsia"/>
                <w:color w:val="auto"/>
                <w:kern w:val="0"/>
                <w:szCs w:val="24"/>
                <w:lang w:val="en-US" w:eastAsia="zh-CN" w:bidi="ar"/>
              </w:rPr>
              <w:t>113</w:t>
            </w:r>
            <w:r>
              <w:rPr>
                <w:color w:val="auto"/>
                <w:kern w:val="0"/>
                <w:szCs w:val="24"/>
                <w:lang w:bidi="ar"/>
              </w:rPr>
              <w:t>人次/d</w:t>
            </w:r>
            <w:r>
              <w:rPr>
                <w:rFonts w:hint="eastAsia"/>
                <w:color w:val="auto"/>
                <w:kern w:val="0"/>
                <w:szCs w:val="24"/>
                <w:lang w:eastAsia="zh-CN" w:bidi="ar"/>
              </w:rPr>
              <w:t>，</w:t>
            </w:r>
            <w:r>
              <w:rPr>
                <w:color w:val="auto"/>
                <w:kern w:val="0"/>
                <w:szCs w:val="24"/>
                <w:lang w:bidi="ar"/>
              </w:rPr>
              <w:t>根据</w:t>
            </w:r>
            <w:r>
              <w:rPr>
                <w:color w:val="auto"/>
                <w:kern w:val="0"/>
              </w:rPr>
              <w:t>《云南省用水定额》（DB53/T168-2019），门诊用水量为20L/（人.次）（无住院部含行政及医护人员、附属设施等综合用水），住院部用水量为300L/（床.d）（含行政及医护人员、附属设施等综合用水）。</w:t>
            </w:r>
            <w:r>
              <w:rPr>
                <w:color w:val="auto"/>
              </w:rPr>
              <w:t>经计算本项目新增医疗用水量约为</w:t>
            </w:r>
            <w:r>
              <w:rPr>
                <w:rFonts w:hint="eastAsia"/>
                <w:color w:val="auto"/>
                <w:lang w:val="en-US" w:eastAsia="zh-CN"/>
              </w:rPr>
              <w:t>15.76m</w:t>
            </w:r>
            <w:r>
              <w:rPr>
                <w:color w:val="auto"/>
              </w:rPr>
              <w:t>³/d，</w:t>
            </w:r>
            <w:r>
              <w:rPr>
                <w:rFonts w:hint="eastAsia"/>
                <w:color w:val="auto"/>
              </w:rPr>
              <w:t>废水产生按用水量的</w:t>
            </w:r>
            <w:r>
              <w:rPr>
                <w:color w:val="auto"/>
              </w:rPr>
              <w:t>8</w:t>
            </w:r>
            <w:r>
              <w:rPr>
                <w:rFonts w:hint="eastAsia"/>
                <w:color w:val="auto"/>
              </w:rPr>
              <w:t>0%计算，</w:t>
            </w:r>
            <w:r>
              <w:rPr>
                <w:color w:val="auto"/>
              </w:rPr>
              <w:t>排放废水约为</w:t>
            </w:r>
            <w:r>
              <w:rPr>
                <w:rFonts w:hint="eastAsia"/>
                <w:color w:val="auto"/>
                <w:lang w:val="en-US" w:eastAsia="zh-CN"/>
              </w:rPr>
              <w:t>12.6</w:t>
            </w:r>
            <w:r>
              <w:rPr>
                <w:color w:val="auto"/>
                <w:sz w:val="21"/>
                <w:szCs w:val="21"/>
              </w:rPr>
              <w:t>m</w:t>
            </w:r>
            <w:r>
              <w:rPr>
                <w:color w:val="auto"/>
                <w:sz w:val="21"/>
                <w:szCs w:val="21"/>
                <w:vertAlign w:val="superscript"/>
              </w:rPr>
              <w:t>3</w:t>
            </w:r>
            <w:r>
              <w:rPr>
                <w:color w:val="auto"/>
              </w:rPr>
              <w:t>/d。废水进入新建</w:t>
            </w:r>
            <w:r>
              <w:rPr>
                <w:rFonts w:hint="eastAsia"/>
                <w:color w:val="auto"/>
                <w:lang w:val="en-US" w:eastAsia="zh-CN"/>
              </w:rPr>
              <w:t>污水处理站</w:t>
            </w:r>
            <w:r>
              <w:rPr>
                <w:color w:val="auto"/>
              </w:rPr>
              <w:t>处理后排入</w:t>
            </w:r>
            <w:r>
              <w:rPr>
                <w:rFonts w:hint="eastAsia"/>
                <w:color w:val="auto"/>
                <w:lang w:val="en-US" w:eastAsia="zh-CN"/>
              </w:rPr>
              <w:t>市政污水管网</w:t>
            </w:r>
            <w:r>
              <w:rPr>
                <w:color w:val="auto"/>
              </w:rPr>
              <w:t>。</w:t>
            </w:r>
          </w:p>
          <w:p w14:paraId="6F0A8DFA">
            <w:pPr>
              <w:pStyle w:val="40"/>
              <w:tabs>
                <w:tab w:val="left" w:pos="2040"/>
              </w:tabs>
              <w:spacing w:line="360" w:lineRule="auto"/>
              <w:ind w:firstLine="480"/>
              <w:jc w:val="left"/>
              <w:rPr>
                <w:color w:val="auto"/>
                <w:kern w:val="0"/>
                <w:szCs w:val="24"/>
              </w:rPr>
            </w:pPr>
            <w:r>
              <w:rPr>
                <w:color w:val="auto"/>
                <w:kern w:val="0"/>
                <w:szCs w:val="24"/>
              </w:rPr>
              <w:t>（2）检验科用水</w:t>
            </w:r>
          </w:p>
          <w:p w14:paraId="0C44B41C">
            <w:pPr>
              <w:pStyle w:val="40"/>
              <w:tabs>
                <w:tab w:val="left" w:pos="2040"/>
              </w:tabs>
              <w:spacing w:line="360" w:lineRule="auto"/>
              <w:ind w:firstLine="480"/>
              <w:jc w:val="left"/>
              <w:rPr>
                <w:rFonts w:hint="eastAsia"/>
                <w:color w:val="auto"/>
                <w:kern w:val="0"/>
                <w:szCs w:val="24"/>
                <w:lang w:val="en-US" w:eastAsia="zh-CN"/>
              </w:rPr>
            </w:pPr>
            <w:r>
              <w:rPr>
                <w:color w:val="auto"/>
                <w:kern w:val="0"/>
                <w:szCs w:val="24"/>
              </w:rPr>
              <w:t>检验科产生的废水主要为酸性废水。项目检验室仅做简单的血液、尿、粪便的常规分析，其他专项或者复杂项目均外送专业机构进行检验化验。检验项目无需进行化学清洗，不涉及使用过氯酸、三氯乙酸等化学清洗剂，不使用氰化物、重铬酸钾、三氧化铬等化学品。</w:t>
            </w:r>
            <w:r>
              <w:rPr>
                <w:rFonts w:hint="eastAsia"/>
                <w:color w:val="auto"/>
                <w:kern w:val="0"/>
                <w:szCs w:val="24"/>
                <w:lang w:val="en-US" w:eastAsia="zh-CN"/>
              </w:rPr>
              <w:t xml:space="preserve">      </w:t>
            </w:r>
          </w:p>
          <w:p w14:paraId="461BFCE6">
            <w:pPr>
              <w:pStyle w:val="40"/>
              <w:tabs>
                <w:tab w:val="left" w:pos="2040"/>
              </w:tabs>
              <w:spacing w:line="360" w:lineRule="auto"/>
              <w:ind w:firstLine="480"/>
              <w:jc w:val="left"/>
              <w:rPr>
                <w:rFonts w:hint="default" w:eastAsia="宋体"/>
                <w:color w:val="auto"/>
                <w:kern w:val="0"/>
                <w:szCs w:val="24"/>
                <w:highlight w:val="none"/>
                <w:lang w:val="en-US" w:eastAsia="zh-CN"/>
              </w:rPr>
            </w:pPr>
            <w:r>
              <w:rPr>
                <w:color w:val="auto"/>
                <w:kern w:val="0"/>
                <w:szCs w:val="24"/>
                <w:lang w:bidi="ar"/>
              </w:rPr>
              <w:t>根据建设单位提供资料本项目扩建后</w:t>
            </w:r>
            <w:r>
              <w:rPr>
                <w:rFonts w:hint="eastAsia"/>
                <w:color w:val="auto"/>
                <w:kern w:val="0"/>
                <w:szCs w:val="24"/>
                <w:lang w:val="en-US" w:eastAsia="zh-CN" w:bidi="ar"/>
              </w:rPr>
              <w:t>每天检验科就诊人数为150人次/d，</w:t>
            </w:r>
            <w:r>
              <w:rPr>
                <w:color w:val="auto"/>
                <w:kern w:val="0"/>
                <w:szCs w:val="24"/>
              </w:rPr>
              <w:t>扩建后检验科每天就诊人次新增约</w:t>
            </w:r>
            <w:r>
              <w:rPr>
                <w:rFonts w:hint="eastAsia"/>
                <w:color w:val="auto"/>
                <w:kern w:val="0"/>
                <w:szCs w:val="24"/>
                <w:lang w:val="en-US" w:eastAsia="zh-CN"/>
              </w:rPr>
              <w:t>50</w:t>
            </w:r>
            <w:r>
              <w:rPr>
                <w:color w:val="auto"/>
                <w:kern w:val="0"/>
                <w:szCs w:val="24"/>
              </w:rPr>
              <w:t>人次/d，用水按照1L/人计，则新增用水量约为0.</w:t>
            </w:r>
            <w:r>
              <w:rPr>
                <w:rFonts w:hint="eastAsia"/>
                <w:color w:val="auto"/>
                <w:kern w:val="0"/>
                <w:szCs w:val="24"/>
                <w:lang w:val="en-US" w:eastAsia="zh-CN"/>
              </w:rPr>
              <w:t>05</w:t>
            </w:r>
            <w:r>
              <w:rPr>
                <w:color w:val="auto"/>
                <w:kern w:val="0"/>
                <w:szCs w:val="24"/>
              </w:rPr>
              <w:t>m³/d，</w:t>
            </w:r>
            <w:r>
              <w:rPr>
                <w:rFonts w:hint="eastAsia"/>
                <w:color w:val="auto"/>
                <w:kern w:val="0"/>
                <w:szCs w:val="24"/>
                <w:lang w:val="en-US" w:eastAsia="zh-CN"/>
              </w:rPr>
              <w:t>18.25</w:t>
            </w:r>
            <w:r>
              <w:rPr>
                <w:color w:val="auto"/>
                <w:kern w:val="0"/>
                <w:szCs w:val="24"/>
              </w:rPr>
              <w:t>m</w:t>
            </w:r>
            <w:r>
              <w:rPr>
                <w:color w:val="auto"/>
                <w:kern w:val="0"/>
                <w:szCs w:val="24"/>
                <w:vertAlign w:val="superscript"/>
              </w:rPr>
              <w:t>3</w:t>
            </w:r>
            <w:r>
              <w:rPr>
                <w:color w:val="auto"/>
                <w:kern w:val="0"/>
                <w:szCs w:val="24"/>
              </w:rPr>
              <w:t>/a。废水产生按用水量的90%计算，则新增废水产生量为</w:t>
            </w:r>
            <w:r>
              <w:rPr>
                <w:rFonts w:hint="eastAsia"/>
                <w:color w:val="auto"/>
                <w:kern w:val="0"/>
                <w:szCs w:val="24"/>
                <w:lang w:val="en-US" w:eastAsia="zh-CN"/>
              </w:rPr>
              <w:t>0.045</w:t>
            </w:r>
            <w:r>
              <w:rPr>
                <w:color w:val="auto"/>
                <w:kern w:val="0"/>
                <w:szCs w:val="24"/>
              </w:rPr>
              <w:t>m³/d，</w:t>
            </w:r>
            <w:r>
              <w:rPr>
                <w:rFonts w:hint="eastAsia"/>
                <w:color w:val="auto"/>
                <w:kern w:val="0"/>
                <w:szCs w:val="24"/>
                <w:lang w:val="en-US" w:eastAsia="zh-CN"/>
              </w:rPr>
              <w:t>16.425</w:t>
            </w:r>
            <w:r>
              <w:rPr>
                <w:color w:val="auto"/>
                <w:kern w:val="0"/>
                <w:szCs w:val="24"/>
              </w:rPr>
              <w:t>m³/a。</w:t>
            </w:r>
            <w:r>
              <w:rPr>
                <w:color w:val="auto"/>
                <w:kern w:val="0"/>
                <w:szCs w:val="24"/>
                <w:highlight w:val="none"/>
              </w:rPr>
              <w:t>检验科废水</w:t>
            </w:r>
            <w:r>
              <w:rPr>
                <w:rFonts w:hint="eastAsia"/>
                <w:color w:val="auto"/>
                <w:kern w:val="0"/>
                <w:szCs w:val="24"/>
                <w:highlight w:val="none"/>
                <w:lang w:val="en-US" w:eastAsia="zh-CN"/>
              </w:rPr>
              <w:t>预</w:t>
            </w:r>
            <w:r>
              <w:rPr>
                <w:color w:val="auto"/>
                <w:kern w:val="0"/>
                <w:szCs w:val="24"/>
                <w:highlight w:val="none"/>
              </w:rPr>
              <w:t>处理设备</w:t>
            </w:r>
            <w:r>
              <w:rPr>
                <w:rFonts w:hint="eastAsia"/>
                <w:color w:val="auto"/>
                <w:kern w:val="0"/>
                <w:szCs w:val="24"/>
                <w:highlight w:val="none"/>
                <w:lang w:val="en-US" w:eastAsia="zh-CN"/>
              </w:rPr>
              <w:t>(0.2m³/d，收集桶+次氯酸钠消毒）</w:t>
            </w:r>
            <w:r>
              <w:rPr>
                <w:color w:val="auto"/>
                <w:kern w:val="0"/>
                <w:szCs w:val="24"/>
                <w:highlight w:val="none"/>
              </w:rPr>
              <w:t>处理后排入</w:t>
            </w:r>
            <w:r>
              <w:rPr>
                <w:rFonts w:hint="eastAsia"/>
                <w:color w:val="auto"/>
                <w:kern w:val="0"/>
                <w:szCs w:val="24"/>
                <w:highlight w:val="none"/>
                <w:lang w:eastAsia="zh-CN"/>
              </w:rPr>
              <w:t>污水处理站处理达标后最终进入市政污水管网</w:t>
            </w:r>
            <w:r>
              <w:rPr>
                <w:rFonts w:hint="eastAsia"/>
                <w:color w:val="auto"/>
                <w:kern w:val="0"/>
                <w:szCs w:val="24"/>
                <w:highlight w:val="none"/>
                <w:lang w:val="en-US" w:eastAsia="zh-CN"/>
              </w:rPr>
              <w:t>。</w:t>
            </w:r>
          </w:p>
          <w:p w14:paraId="294141CE">
            <w:pPr>
              <w:pStyle w:val="40"/>
              <w:tabs>
                <w:tab w:val="left" w:pos="2040"/>
              </w:tabs>
              <w:spacing w:line="360" w:lineRule="auto"/>
              <w:ind w:firstLine="480"/>
              <w:jc w:val="left"/>
              <w:rPr>
                <w:color w:val="auto"/>
                <w:kern w:val="0"/>
                <w:szCs w:val="24"/>
              </w:rPr>
            </w:pPr>
            <w:r>
              <w:rPr>
                <w:color w:val="auto"/>
                <w:kern w:val="0"/>
                <w:szCs w:val="24"/>
              </w:rPr>
              <w:t>（3）厨房用水</w:t>
            </w:r>
          </w:p>
          <w:p w14:paraId="7F158EA1">
            <w:pPr>
              <w:pStyle w:val="40"/>
              <w:tabs>
                <w:tab w:val="left" w:pos="2040"/>
              </w:tabs>
              <w:spacing w:line="360" w:lineRule="auto"/>
              <w:ind w:firstLine="480"/>
              <w:jc w:val="left"/>
              <w:rPr>
                <w:color w:val="auto"/>
                <w:kern w:val="0"/>
                <w:szCs w:val="24"/>
                <w:lang w:bidi="ar"/>
              </w:rPr>
            </w:pPr>
            <w:r>
              <w:rPr>
                <w:color w:val="auto"/>
                <w:kern w:val="0"/>
                <w:szCs w:val="24"/>
                <w:lang w:bidi="ar"/>
              </w:rPr>
              <w:t>项目区设置对外食堂，部分员工及病人在食堂就餐，</w:t>
            </w:r>
            <w:r>
              <w:rPr>
                <w:rFonts w:hint="eastAsia"/>
                <w:color w:val="auto"/>
                <w:kern w:val="0"/>
                <w:szCs w:val="24"/>
                <w:lang w:val="en-US" w:eastAsia="zh-CN" w:bidi="ar"/>
              </w:rPr>
              <w:t>原有项目食堂就餐人数为45人，</w:t>
            </w:r>
            <w:r>
              <w:rPr>
                <w:color w:val="auto"/>
                <w:kern w:val="0"/>
                <w:szCs w:val="24"/>
                <w:lang w:bidi="ar"/>
              </w:rPr>
              <w:t>食堂</w:t>
            </w:r>
            <w:r>
              <w:rPr>
                <w:rFonts w:hint="eastAsia"/>
                <w:color w:val="auto"/>
                <w:kern w:val="0"/>
                <w:szCs w:val="24"/>
                <w:lang w:val="en-US" w:eastAsia="zh-CN" w:bidi="ar"/>
              </w:rPr>
              <w:t>新增</w:t>
            </w:r>
            <w:r>
              <w:rPr>
                <w:color w:val="auto"/>
                <w:kern w:val="0"/>
                <w:szCs w:val="24"/>
                <w:lang w:bidi="ar"/>
              </w:rPr>
              <w:t>就餐人数约</w:t>
            </w:r>
            <w:r>
              <w:rPr>
                <w:rFonts w:hint="eastAsia"/>
                <w:color w:val="auto"/>
                <w:kern w:val="0"/>
                <w:szCs w:val="24"/>
                <w:lang w:val="en-US" w:eastAsia="zh-CN" w:bidi="ar"/>
              </w:rPr>
              <w:t>20</w:t>
            </w:r>
            <w:r>
              <w:rPr>
                <w:color w:val="auto"/>
                <w:kern w:val="0"/>
                <w:szCs w:val="24"/>
                <w:lang w:bidi="ar"/>
              </w:rPr>
              <w:t>人，食堂用水量约为</w:t>
            </w:r>
            <w:r>
              <w:rPr>
                <w:rFonts w:hint="eastAsia"/>
                <w:color w:val="auto"/>
                <w:kern w:val="0"/>
                <w:szCs w:val="24"/>
                <w:lang w:val="en-US" w:eastAsia="zh-CN" w:bidi="ar"/>
              </w:rPr>
              <w:t>0.2</w:t>
            </w:r>
            <w:r>
              <w:rPr>
                <w:color w:val="auto"/>
                <w:kern w:val="0"/>
                <w:szCs w:val="24"/>
                <w:lang w:bidi="ar"/>
              </w:rPr>
              <w:t>m³/d，则年用水总量为</w:t>
            </w:r>
            <w:r>
              <w:rPr>
                <w:rFonts w:hint="eastAsia"/>
                <w:color w:val="auto"/>
                <w:kern w:val="0"/>
                <w:szCs w:val="24"/>
                <w:lang w:val="en-US" w:eastAsia="zh-CN" w:bidi="ar"/>
              </w:rPr>
              <w:t>73</w:t>
            </w:r>
            <w:r>
              <w:rPr>
                <w:color w:val="auto"/>
                <w:kern w:val="0"/>
                <w:szCs w:val="24"/>
                <w:lang w:bidi="ar"/>
              </w:rPr>
              <w:t>m³/a。产污系数按0.8计，废水产生量为</w:t>
            </w:r>
            <w:r>
              <w:rPr>
                <w:rFonts w:hint="eastAsia"/>
                <w:color w:val="auto"/>
                <w:kern w:val="0"/>
                <w:szCs w:val="24"/>
                <w:lang w:val="en-US" w:eastAsia="zh-CN" w:bidi="ar"/>
              </w:rPr>
              <w:t>0.16</w:t>
            </w:r>
            <w:r>
              <w:rPr>
                <w:color w:val="auto"/>
                <w:kern w:val="0"/>
                <w:szCs w:val="24"/>
                <w:lang w:bidi="ar"/>
              </w:rPr>
              <w:t>m³/d</w:t>
            </w:r>
            <w:r>
              <w:rPr>
                <w:rFonts w:hint="eastAsia"/>
                <w:color w:val="auto"/>
                <w:kern w:val="0"/>
                <w:szCs w:val="24"/>
                <w:lang w:eastAsia="zh-CN" w:bidi="ar"/>
              </w:rPr>
              <w:t>（</w:t>
            </w:r>
            <w:r>
              <w:rPr>
                <w:rFonts w:hint="eastAsia"/>
                <w:color w:val="auto"/>
                <w:kern w:val="0"/>
                <w:szCs w:val="24"/>
                <w:lang w:val="en-US" w:eastAsia="zh-CN" w:bidi="ar"/>
              </w:rPr>
              <w:t>58.4</w:t>
            </w:r>
            <w:r>
              <w:rPr>
                <w:color w:val="auto"/>
                <w:kern w:val="0"/>
                <w:szCs w:val="24"/>
                <w:lang w:bidi="ar"/>
              </w:rPr>
              <w:t>m³/</w:t>
            </w:r>
            <w:r>
              <w:rPr>
                <w:rFonts w:hint="eastAsia"/>
                <w:color w:val="auto"/>
                <w:kern w:val="0"/>
                <w:szCs w:val="24"/>
                <w:lang w:val="en-US" w:eastAsia="zh-CN" w:bidi="ar"/>
              </w:rPr>
              <w:t>a）</w:t>
            </w:r>
            <w:r>
              <w:rPr>
                <w:color w:val="auto"/>
                <w:kern w:val="0"/>
                <w:szCs w:val="24"/>
                <w:lang w:bidi="ar"/>
              </w:rPr>
              <w:t>。食堂废水经隔油池处理后，与门诊废水、住院部废水及生活污水等排入污水处理站处理。</w:t>
            </w:r>
          </w:p>
          <w:p w14:paraId="7E2F024A">
            <w:pPr>
              <w:pStyle w:val="38"/>
              <w:jc w:val="center"/>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5</w:t>
            </w:r>
            <w:r>
              <w:rPr>
                <w:rFonts w:ascii="Times New Roman" w:hAnsi="Times New Roman" w:eastAsia="宋体"/>
                <w:b/>
                <w:bCs/>
                <w:color w:val="auto"/>
              </w:rPr>
              <w:t>本项目用水量预测表(m</w:t>
            </w:r>
            <w:r>
              <w:rPr>
                <w:rFonts w:ascii="Times New Roman" w:hAnsi="Times New Roman" w:eastAsia="宋体"/>
                <w:b/>
                <w:bCs/>
                <w:color w:val="auto"/>
                <w:vertAlign w:val="superscript"/>
              </w:rPr>
              <w:t>3</w:t>
            </w:r>
            <w:r>
              <w:rPr>
                <w:rFonts w:ascii="Times New Roman" w:hAnsi="Times New Roman" w:eastAsia="宋体"/>
                <w:b/>
                <w:bCs/>
                <w:color w:val="auto"/>
              </w:rPr>
              <w:t>/d)</w:t>
            </w:r>
          </w:p>
          <w:tbl>
            <w:tblPr>
              <w:tblStyle w:val="1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Change w:id="0" w:author="王可以" w:date="2026-04-11T16:27:07Z">
                <w:tblPr>
                  <w:tblStyle w:val="19"/>
                  <w:tblW w:w="807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PrChange>
            </w:tblPr>
            <w:tblGrid>
              <w:gridCol w:w="631"/>
              <w:gridCol w:w="978"/>
              <w:gridCol w:w="1194"/>
              <w:gridCol w:w="703"/>
              <w:gridCol w:w="741"/>
              <w:gridCol w:w="668"/>
              <w:gridCol w:w="812"/>
              <w:gridCol w:w="2347"/>
              <w:tblGridChange w:id="1">
                <w:tblGrid>
                  <w:gridCol w:w="657"/>
                  <w:gridCol w:w="1019"/>
                  <w:gridCol w:w="1233"/>
                  <w:gridCol w:w="730"/>
                  <w:gridCol w:w="765"/>
                  <w:gridCol w:w="247"/>
                  <w:gridCol w:w="950"/>
                  <w:gridCol w:w="2473"/>
                </w:tblGrid>
              </w:tblGridChange>
            </w:tblGrid>
            <w:tr w14:paraId="6D2C3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2"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1198" w:hRule="atLeast"/>
                <w:trPrChange w:id="2" w:author="王可以" w:date="2026-04-11T16:27:07Z">
                  <w:trPr>
                    <w:trHeight w:val="295" w:hRule="atLeast"/>
                  </w:trPr>
                </w:trPrChange>
              </w:trPr>
              <w:tc>
                <w:tcPr>
                  <w:tcW w:w="1609"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Change w:id="3" w:author="王可以" w:date="2026-04-11T16:27:07Z">
                    <w:tcPr>
                      <w:tcW w:w="1627"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tcPrChange>
                </w:tcPr>
                <w:p w14:paraId="71F5218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类型</w:t>
                  </w:r>
                </w:p>
              </w:tc>
              <w:tc>
                <w:tcPr>
                  <w:tcW w:w="1194" w:type="dxa"/>
                  <w:tcBorders>
                    <w:top w:val="single" w:color="000000" w:sz="8" w:space="0"/>
                    <w:left w:val="nil"/>
                    <w:bottom w:val="single" w:color="000000" w:sz="8" w:space="0"/>
                    <w:right w:val="single" w:color="000000" w:sz="8" w:space="0"/>
                  </w:tcBorders>
                  <w:shd w:val="clear" w:color="auto" w:fill="auto"/>
                  <w:vAlign w:val="center"/>
                  <w:tcPrChange w:id="4" w:author="王可以" w:date="2026-04-11T16:27:07Z">
                    <w:tcPr>
                      <w:tcW w:w="1197" w:type="dxa"/>
                      <w:tcBorders>
                        <w:top w:val="single" w:color="000000" w:sz="8" w:space="0"/>
                        <w:left w:val="nil"/>
                        <w:bottom w:val="single" w:color="000000" w:sz="8" w:space="0"/>
                        <w:right w:val="single" w:color="000000" w:sz="8" w:space="0"/>
                      </w:tcBorders>
                      <w:shd w:val="clear" w:color="auto" w:fill="auto"/>
                      <w:vAlign w:val="center"/>
                    </w:tcPr>
                  </w:tcPrChange>
                </w:tcPr>
                <w:p w14:paraId="4325A1F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标准</w:t>
                  </w:r>
                </w:p>
              </w:tc>
              <w:tc>
                <w:tcPr>
                  <w:tcW w:w="703" w:type="dxa"/>
                  <w:tcBorders>
                    <w:top w:val="single" w:color="000000" w:sz="8" w:space="0"/>
                    <w:left w:val="nil"/>
                    <w:bottom w:val="single" w:color="000000" w:sz="8" w:space="0"/>
                    <w:right w:val="single" w:color="000000" w:sz="8" w:space="0"/>
                  </w:tcBorders>
                  <w:shd w:val="clear" w:color="auto" w:fill="auto"/>
                  <w:vAlign w:val="center"/>
                  <w:tcPrChange w:id="5" w:author="王可以" w:date="2026-04-11T16:27:07Z">
                    <w:tcPr>
                      <w:tcW w:w="709" w:type="dxa"/>
                      <w:tcBorders>
                        <w:top w:val="single" w:color="000000" w:sz="8" w:space="0"/>
                        <w:left w:val="nil"/>
                        <w:bottom w:val="single" w:color="000000" w:sz="8" w:space="0"/>
                        <w:right w:val="single" w:color="000000" w:sz="8" w:space="0"/>
                      </w:tcBorders>
                      <w:shd w:val="clear" w:color="auto" w:fill="auto"/>
                      <w:vAlign w:val="center"/>
                    </w:tcPr>
                  </w:tcPrChange>
                </w:tcPr>
                <w:p w14:paraId="61BDD6F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用水单位</w:t>
                  </w:r>
                </w:p>
              </w:tc>
              <w:tc>
                <w:tcPr>
                  <w:tcW w:w="741" w:type="dxa"/>
                  <w:tcBorders>
                    <w:top w:val="single" w:color="000000" w:sz="8" w:space="0"/>
                    <w:left w:val="nil"/>
                    <w:bottom w:val="single" w:color="000000" w:sz="8" w:space="0"/>
                    <w:right w:val="single" w:color="000000" w:sz="8" w:space="0"/>
                  </w:tcBorders>
                  <w:shd w:val="clear" w:color="auto" w:fill="auto"/>
                  <w:vAlign w:val="center"/>
                  <w:tcPrChange w:id="6" w:author="王可以" w:date="2026-04-11T16:27:07Z">
                    <w:tcPr>
                      <w:tcW w:w="743" w:type="dxa"/>
                      <w:tcBorders>
                        <w:top w:val="single" w:color="000000" w:sz="8" w:space="0"/>
                        <w:left w:val="nil"/>
                        <w:bottom w:val="single" w:color="000000" w:sz="8" w:space="0"/>
                        <w:right w:val="single" w:color="000000" w:sz="8" w:space="0"/>
                      </w:tcBorders>
                      <w:shd w:val="clear" w:color="auto" w:fill="auto"/>
                      <w:vAlign w:val="center"/>
                    </w:tcPr>
                  </w:tcPrChange>
                </w:tcPr>
                <w:p w14:paraId="5D7ECCD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用水量</w:t>
                  </w:r>
                </w:p>
              </w:tc>
              <w:tc>
                <w:tcPr>
                  <w:tcW w:w="668" w:type="dxa"/>
                  <w:tcBorders>
                    <w:top w:val="single" w:color="000000" w:sz="8" w:space="0"/>
                    <w:left w:val="nil"/>
                    <w:bottom w:val="single" w:color="000000" w:sz="8" w:space="0"/>
                    <w:right w:val="single" w:color="000000" w:sz="8" w:space="0"/>
                  </w:tcBorders>
                  <w:shd w:val="clear" w:color="auto" w:fill="auto"/>
                  <w:vAlign w:val="center"/>
                  <w:tcPrChange w:id="7" w:author="王可以" w:date="2026-04-11T16:27:07Z">
                    <w:tcPr>
                      <w:tcW w:w="240" w:type="dxa"/>
                      <w:tcBorders>
                        <w:top w:val="single" w:color="000000" w:sz="8" w:space="0"/>
                        <w:left w:val="nil"/>
                        <w:bottom w:val="single" w:color="000000" w:sz="8" w:space="0"/>
                        <w:right w:val="single" w:color="000000" w:sz="8" w:space="0"/>
                      </w:tcBorders>
                      <w:shd w:val="clear" w:color="auto" w:fill="auto"/>
                      <w:vAlign w:val="center"/>
                    </w:tcPr>
                  </w:tcPrChange>
                </w:tcPr>
                <w:p w14:paraId="7016352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排污系数</w:t>
                  </w:r>
                </w:p>
              </w:tc>
              <w:tc>
                <w:tcPr>
                  <w:tcW w:w="812" w:type="dxa"/>
                  <w:tcBorders>
                    <w:top w:val="single" w:color="000000" w:sz="8" w:space="0"/>
                    <w:left w:val="nil"/>
                    <w:bottom w:val="single" w:color="000000" w:sz="8" w:space="0"/>
                    <w:right w:val="single" w:color="000000" w:sz="8" w:space="0"/>
                  </w:tcBorders>
                  <w:shd w:val="clear" w:color="auto" w:fill="auto"/>
                  <w:vAlign w:val="center"/>
                  <w:tcPrChange w:id="8" w:author="王可以" w:date="2026-04-11T16:27:07Z">
                    <w:tcPr>
                      <w:tcW w:w="922" w:type="dxa"/>
                      <w:tcBorders>
                        <w:top w:val="single" w:color="000000" w:sz="8" w:space="0"/>
                        <w:left w:val="nil"/>
                        <w:bottom w:val="single" w:color="000000" w:sz="8" w:space="0"/>
                        <w:right w:val="single" w:color="000000" w:sz="8" w:space="0"/>
                      </w:tcBorders>
                      <w:shd w:val="clear" w:color="auto" w:fill="auto"/>
                      <w:vAlign w:val="center"/>
                    </w:tcPr>
                  </w:tcPrChange>
                </w:tcPr>
                <w:p w14:paraId="2578F95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污水量</w:t>
                  </w:r>
                </w:p>
              </w:tc>
              <w:tc>
                <w:tcPr>
                  <w:tcW w:w="2347" w:type="dxa"/>
                  <w:tcBorders>
                    <w:top w:val="single" w:color="000000" w:sz="8" w:space="0"/>
                    <w:left w:val="nil"/>
                    <w:bottom w:val="single" w:color="000000" w:sz="8" w:space="0"/>
                    <w:right w:val="single" w:color="000000" w:sz="8" w:space="0"/>
                  </w:tcBorders>
                  <w:shd w:val="clear" w:color="auto" w:fill="auto"/>
                  <w:vAlign w:val="center"/>
                  <w:tcPrChange w:id="9" w:author="王可以" w:date="2026-04-11T16:27:07Z">
                    <w:tcPr>
                      <w:tcW w:w="2399" w:type="dxa"/>
                      <w:tcBorders>
                        <w:top w:val="single" w:color="000000" w:sz="8" w:space="0"/>
                        <w:left w:val="nil"/>
                        <w:bottom w:val="single" w:color="000000" w:sz="8" w:space="0"/>
                        <w:right w:val="single" w:color="000000" w:sz="8" w:space="0"/>
                      </w:tcBorders>
                      <w:shd w:val="clear" w:color="auto" w:fill="auto"/>
                      <w:vAlign w:val="center"/>
                    </w:tcPr>
                  </w:tcPrChange>
                </w:tcPr>
                <w:p w14:paraId="7664620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备注</w:t>
                  </w:r>
                </w:p>
              </w:tc>
            </w:tr>
            <w:tr w14:paraId="088C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10"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1198" w:hRule="atLeast"/>
                <w:trPrChange w:id="10" w:author="王可以" w:date="2026-04-11T16:27:07Z">
                  <w:trPr>
                    <w:trHeight w:val="555" w:hRule="atLeast"/>
                  </w:trPr>
                </w:trPrChange>
              </w:trPr>
              <w:tc>
                <w:tcPr>
                  <w:tcW w:w="631" w:type="dxa"/>
                  <w:vMerge w:val="restart"/>
                  <w:tcBorders>
                    <w:top w:val="nil"/>
                    <w:left w:val="single" w:color="000000" w:sz="8" w:space="0"/>
                    <w:bottom w:val="single" w:color="000000" w:sz="8" w:space="0"/>
                    <w:right w:val="single" w:color="000000" w:sz="8" w:space="0"/>
                  </w:tcBorders>
                  <w:shd w:val="clear" w:color="auto" w:fill="auto"/>
                  <w:vAlign w:val="center"/>
                  <w:tcPrChange w:id="11" w:author="王可以" w:date="2026-04-11T16:27:07Z">
                    <w:tcPr>
                      <w:tcW w:w="638" w:type="dxa"/>
                      <w:vMerge w:val="restart"/>
                      <w:tcBorders>
                        <w:top w:val="nil"/>
                        <w:left w:val="single" w:color="000000" w:sz="8" w:space="0"/>
                        <w:bottom w:val="single" w:color="000000" w:sz="8" w:space="0"/>
                        <w:right w:val="single" w:color="000000" w:sz="8" w:space="0"/>
                      </w:tcBorders>
                      <w:shd w:val="clear" w:color="auto" w:fill="auto"/>
                      <w:vAlign w:val="center"/>
                    </w:tcPr>
                  </w:tcPrChange>
                </w:tcPr>
                <w:p w14:paraId="3071A33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医疗用水</w:t>
                  </w:r>
                </w:p>
              </w:tc>
              <w:tc>
                <w:tcPr>
                  <w:tcW w:w="978" w:type="dxa"/>
                  <w:tcBorders>
                    <w:top w:val="nil"/>
                    <w:left w:val="nil"/>
                    <w:bottom w:val="single" w:color="000000" w:sz="8" w:space="0"/>
                    <w:right w:val="single" w:color="000000" w:sz="8" w:space="0"/>
                  </w:tcBorders>
                  <w:shd w:val="clear" w:color="auto" w:fill="auto"/>
                  <w:vAlign w:val="center"/>
                  <w:tcPrChange w:id="12" w:author="王可以" w:date="2026-04-11T16:27:07Z">
                    <w:tcPr>
                      <w:tcW w:w="989" w:type="dxa"/>
                      <w:tcBorders>
                        <w:top w:val="nil"/>
                        <w:left w:val="nil"/>
                        <w:bottom w:val="single" w:color="000000" w:sz="8" w:space="0"/>
                        <w:right w:val="single" w:color="000000" w:sz="8" w:space="0"/>
                      </w:tcBorders>
                      <w:shd w:val="clear" w:color="auto" w:fill="auto"/>
                      <w:vAlign w:val="center"/>
                    </w:tcPr>
                  </w:tcPrChange>
                </w:tcPr>
                <w:p w14:paraId="68989A2F">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病床（带洗浴）</w:t>
                  </w:r>
                </w:p>
              </w:tc>
              <w:tc>
                <w:tcPr>
                  <w:tcW w:w="1194" w:type="dxa"/>
                  <w:tcBorders>
                    <w:top w:val="nil"/>
                    <w:left w:val="nil"/>
                    <w:bottom w:val="single" w:color="000000" w:sz="8" w:space="0"/>
                    <w:right w:val="single" w:color="000000" w:sz="8" w:space="0"/>
                  </w:tcBorders>
                  <w:shd w:val="clear" w:color="auto" w:fill="auto"/>
                  <w:vAlign w:val="center"/>
                  <w:tcPrChange w:id="13" w:author="王可以" w:date="2026-04-11T16:27:07Z">
                    <w:tcPr>
                      <w:tcW w:w="1197" w:type="dxa"/>
                      <w:tcBorders>
                        <w:top w:val="nil"/>
                        <w:left w:val="nil"/>
                        <w:bottom w:val="single" w:color="000000" w:sz="8" w:space="0"/>
                        <w:right w:val="single" w:color="000000" w:sz="8" w:space="0"/>
                      </w:tcBorders>
                      <w:shd w:val="clear" w:color="auto" w:fill="auto"/>
                      <w:vAlign w:val="center"/>
                    </w:tcPr>
                  </w:tcPrChange>
                </w:tcPr>
                <w:p w14:paraId="7977496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300L/d·床</w:t>
                  </w:r>
                </w:p>
              </w:tc>
              <w:tc>
                <w:tcPr>
                  <w:tcW w:w="703" w:type="dxa"/>
                  <w:tcBorders>
                    <w:top w:val="nil"/>
                    <w:left w:val="nil"/>
                    <w:bottom w:val="single" w:color="000000" w:sz="8" w:space="0"/>
                    <w:right w:val="single" w:color="000000" w:sz="8" w:space="0"/>
                  </w:tcBorders>
                  <w:shd w:val="clear" w:color="auto" w:fill="auto"/>
                  <w:vAlign w:val="center"/>
                  <w:tcPrChange w:id="14" w:author="王可以" w:date="2026-04-11T16:27:07Z">
                    <w:tcPr>
                      <w:tcW w:w="709" w:type="dxa"/>
                      <w:tcBorders>
                        <w:top w:val="nil"/>
                        <w:left w:val="nil"/>
                        <w:bottom w:val="single" w:color="000000" w:sz="8" w:space="0"/>
                        <w:right w:val="single" w:color="000000" w:sz="8" w:space="0"/>
                      </w:tcBorders>
                      <w:shd w:val="clear" w:color="auto" w:fill="auto"/>
                      <w:vAlign w:val="center"/>
                    </w:tcPr>
                  </w:tcPrChange>
                </w:tcPr>
                <w:p w14:paraId="043C1CD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r>
                    <w:rPr>
                      <w:rFonts w:hint="eastAsia" w:ascii="宋体" w:hAnsi="宋体" w:eastAsia="宋体" w:cs="宋体"/>
                      <w:i w:val="0"/>
                      <w:iCs w:val="0"/>
                      <w:color w:val="auto"/>
                      <w:kern w:val="0"/>
                      <w:sz w:val="21"/>
                      <w:szCs w:val="21"/>
                      <w:u w:val="none"/>
                      <w:lang w:val="en-US" w:eastAsia="zh-CN" w:bidi="ar"/>
                    </w:rPr>
                    <w:t>床</w:t>
                  </w:r>
                </w:p>
              </w:tc>
              <w:tc>
                <w:tcPr>
                  <w:tcW w:w="741" w:type="dxa"/>
                  <w:tcBorders>
                    <w:top w:val="nil"/>
                    <w:left w:val="nil"/>
                    <w:bottom w:val="single" w:color="000000" w:sz="8" w:space="0"/>
                    <w:right w:val="single" w:color="000000" w:sz="8" w:space="0"/>
                  </w:tcBorders>
                  <w:shd w:val="clear" w:color="auto" w:fill="auto"/>
                  <w:vAlign w:val="center"/>
                  <w:tcPrChange w:id="15" w:author="王可以" w:date="2026-04-11T16:27:07Z">
                    <w:tcPr>
                      <w:tcW w:w="743" w:type="dxa"/>
                      <w:tcBorders>
                        <w:top w:val="nil"/>
                        <w:left w:val="nil"/>
                        <w:bottom w:val="single" w:color="000000" w:sz="8" w:space="0"/>
                        <w:right w:val="single" w:color="000000" w:sz="8" w:space="0"/>
                      </w:tcBorders>
                      <w:shd w:val="clear" w:color="auto" w:fill="auto"/>
                      <w:vAlign w:val="center"/>
                    </w:tcPr>
                  </w:tcPrChange>
                </w:tcPr>
                <w:p w14:paraId="6C42888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13.5</w:t>
                  </w:r>
                </w:p>
              </w:tc>
              <w:tc>
                <w:tcPr>
                  <w:tcW w:w="668" w:type="dxa"/>
                  <w:tcBorders>
                    <w:top w:val="nil"/>
                    <w:left w:val="nil"/>
                    <w:bottom w:val="single" w:color="000000" w:sz="8" w:space="0"/>
                    <w:right w:val="single" w:color="000000" w:sz="8" w:space="0"/>
                  </w:tcBorders>
                  <w:shd w:val="clear" w:color="auto" w:fill="auto"/>
                  <w:vAlign w:val="center"/>
                  <w:tcPrChange w:id="16" w:author="王可以" w:date="2026-04-11T16:27:07Z">
                    <w:tcPr>
                      <w:tcW w:w="240" w:type="dxa"/>
                      <w:tcBorders>
                        <w:top w:val="nil"/>
                        <w:left w:val="nil"/>
                        <w:bottom w:val="single" w:color="000000" w:sz="8" w:space="0"/>
                        <w:right w:val="single" w:color="000000" w:sz="8" w:space="0"/>
                      </w:tcBorders>
                      <w:shd w:val="clear" w:color="auto" w:fill="auto"/>
                      <w:vAlign w:val="center"/>
                    </w:tcPr>
                  </w:tcPrChange>
                </w:tcPr>
                <w:p w14:paraId="59E672C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2" w:type="dxa"/>
                  <w:tcBorders>
                    <w:top w:val="nil"/>
                    <w:left w:val="nil"/>
                    <w:bottom w:val="single" w:color="000000" w:sz="8" w:space="0"/>
                    <w:right w:val="single" w:color="000000" w:sz="8" w:space="0"/>
                  </w:tcBorders>
                  <w:shd w:val="clear" w:color="auto" w:fill="auto"/>
                  <w:vAlign w:val="center"/>
                  <w:tcPrChange w:id="17" w:author="王可以" w:date="2026-04-11T16:27:07Z">
                    <w:tcPr>
                      <w:tcW w:w="922" w:type="dxa"/>
                      <w:tcBorders>
                        <w:top w:val="nil"/>
                        <w:left w:val="nil"/>
                        <w:bottom w:val="single" w:color="000000" w:sz="8" w:space="0"/>
                        <w:right w:val="single" w:color="000000" w:sz="8" w:space="0"/>
                      </w:tcBorders>
                      <w:shd w:val="clear" w:color="auto" w:fill="auto"/>
                      <w:vAlign w:val="center"/>
                    </w:tcPr>
                  </w:tcPrChange>
                </w:tcPr>
                <w:p w14:paraId="755060E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2347" w:type="dxa"/>
                  <w:vMerge w:val="restart"/>
                  <w:tcBorders>
                    <w:top w:val="single" w:color="000000" w:sz="8" w:space="0"/>
                    <w:left w:val="nil"/>
                    <w:bottom w:val="single" w:color="000000" w:sz="8" w:space="0"/>
                    <w:right w:val="single" w:color="000000" w:sz="8" w:space="0"/>
                  </w:tcBorders>
                  <w:shd w:val="clear" w:color="auto" w:fill="auto"/>
                  <w:vAlign w:val="center"/>
                  <w:tcPrChange w:id="18" w:author="王可以" w:date="2026-04-11T16:27:07Z">
                    <w:tcPr>
                      <w:tcW w:w="2399" w:type="dxa"/>
                      <w:vMerge w:val="restart"/>
                      <w:tcBorders>
                        <w:top w:val="single" w:color="000000" w:sz="8" w:space="0"/>
                        <w:left w:val="nil"/>
                        <w:bottom w:val="single" w:color="000000" w:sz="8" w:space="0"/>
                        <w:right w:val="single" w:color="000000" w:sz="8" w:space="0"/>
                      </w:tcBorders>
                      <w:shd w:val="clear" w:color="auto" w:fill="auto"/>
                      <w:vAlign w:val="center"/>
                    </w:tcPr>
                  </w:tcPrChange>
                </w:tcPr>
                <w:p w14:paraId="204578C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含行政及医护人员、附属设施等综合用水）</w:t>
                  </w:r>
                </w:p>
              </w:tc>
            </w:tr>
            <w:tr w14:paraId="6E7CDD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19"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1067" w:hRule="atLeast"/>
                <w:trPrChange w:id="19" w:author="王可以" w:date="2026-04-11T16:27:07Z">
                  <w:trPr>
                    <w:trHeight w:val="555" w:hRule="atLeast"/>
                  </w:trPr>
                </w:trPrChange>
              </w:trPr>
              <w:tc>
                <w:tcPr>
                  <w:tcW w:w="631" w:type="dxa"/>
                  <w:vMerge w:val="continue"/>
                  <w:tcBorders>
                    <w:top w:val="nil"/>
                    <w:left w:val="single" w:color="000000" w:sz="8" w:space="0"/>
                    <w:bottom w:val="single" w:color="000000" w:sz="8" w:space="0"/>
                    <w:right w:val="single" w:color="000000" w:sz="8" w:space="0"/>
                  </w:tcBorders>
                  <w:shd w:val="clear" w:color="auto" w:fill="auto"/>
                  <w:vAlign w:val="center"/>
                  <w:tcPrChange w:id="20" w:author="王可以" w:date="2026-04-11T16:27:07Z">
                    <w:tcPr>
                      <w:tcW w:w="638" w:type="dxa"/>
                      <w:vMerge w:val="continue"/>
                      <w:tcBorders>
                        <w:top w:val="nil"/>
                        <w:left w:val="single" w:color="000000" w:sz="8" w:space="0"/>
                        <w:bottom w:val="single" w:color="000000" w:sz="8" w:space="0"/>
                        <w:right w:val="single" w:color="000000" w:sz="8" w:space="0"/>
                      </w:tcBorders>
                      <w:shd w:val="clear" w:color="auto" w:fill="auto"/>
                      <w:vAlign w:val="center"/>
                    </w:tcPr>
                  </w:tcPrChange>
                </w:tcPr>
                <w:p w14:paraId="1E7E652C">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978" w:type="dxa"/>
                  <w:tcBorders>
                    <w:top w:val="nil"/>
                    <w:left w:val="nil"/>
                    <w:bottom w:val="single" w:color="000000" w:sz="8" w:space="0"/>
                    <w:right w:val="single" w:color="000000" w:sz="8" w:space="0"/>
                  </w:tcBorders>
                  <w:shd w:val="clear" w:color="auto" w:fill="auto"/>
                  <w:vAlign w:val="center"/>
                  <w:tcPrChange w:id="21" w:author="王可以" w:date="2026-04-11T16:27:07Z">
                    <w:tcPr>
                      <w:tcW w:w="989" w:type="dxa"/>
                      <w:tcBorders>
                        <w:top w:val="nil"/>
                        <w:left w:val="nil"/>
                        <w:bottom w:val="single" w:color="000000" w:sz="8" w:space="0"/>
                        <w:right w:val="single" w:color="000000" w:sz="8" w:space="0"/>
                      </w:tcBorders>
                      <w:shd w:val="clear" w:color="auto" w:fill="auto"/>
                      <w:vAlign w:val="center"/>
                    </w:tcPr>
                  </w:tcPrChange>
                </w:tcPr>
                <w:p w14:paraId="4546313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门诊</w:t>
                  </w:r>
                </w:p>
              </w:tc>
              <w:tc>
                <w:tcPr>
                  <w:tcW w:w="1194" w:type="dxa"/>
                  <w:tcBorders>
                    <w:top w:val="nil"/>
                    <w:left w:val="nil"/>
                    <w:bottom w:val="single" w:color="000000" w:sz="8" w:space="0"/>
                    <w:right w:val="single" w:color="000000" w:sz="8" w:space="0"/>
                  </w:tcBorders>
                  <w:shd w:val="clear" w:color="auto" w:fill="auto"/>
                  <w:vAlign w:val="center"/>
                  <w:tcPrChange w:id="22" w:author="王可以" w:date="2026-04-11T16:27:07Z">
                    <w:tcPr>
                      <w:tcW w:w="1197" w:type="dxa"/>
                      <w:tcBorders>
                        <w:top w:val="nil"/>
                        <w:left w:val="nil"/>
                        <w:bottom w:val="single" w:color="000000" w:sz="8" w:space="0"/>
                        <w:right w:val="single" w:color="000000" w:sz="8" w:space="0"/>
                      </w:tcBorders>
                      <w:shd w:val="clear" w:color="auto" w:fill="auto"/>
                      <w:vAlign w:val="center"/>
                    </w:tcPr>
                  </w:tcPrChange>
                </w:tcPr>
                <w:p w14:paraId="519F06D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20L/</w:t>
                  </w:r>
                  <w:r>
                    <w:rPr>
                      <w:rFonts w:hint="eastAsia" w:ascii="宋体" w:hAnsi="宋体" w:eastAsia="宋体" w:cs="宋体"/>
                      <w:i w:val="0"/>
                      <w:iCs w:val="0"/>
                      <w:color w:val="auto"/>
                      <w:kern w:val="0"/>
                      <w:sz w:val="21"/>
                      <w:szCs w:val="21"/>
                      <w:u w:val="none"/>
                      <w:lang w:val="en-US" w:eastAsia="zh-CN" w:bidi="ar"/>
                    </w:rPr>
                    <w:t>（人</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次</w:t>
                  </w:r>
                  <w:r>
                    <w:rPr>
                      <w:rFonts w:hint="default" w:ascii="Times New Roman" w:hAnsi="Times New Roman" w:eastAsia="宋体" w:cs="Times New Roman"/>
                      <w:i w:val="0"/>
                      <w:iCs w:val="0"/>
                      <w:color w:val="auto"/>
                      <w:kern w:val="0"/>
                      <w:sz w:val="21"/>
                      <w:szCs w:val="21"/>
                      <w:u w:val="none"/>
                      <w:lang w:val="en-US" w:eastAsia="zh-CN" w:bidi="ar"/>
                    </w:rPr>
                    <w:t>)</w:t>
                  </w:r>
                </w:p>
              </w:tc>
              <w:tc>
                <w:tcPr>
                  <w:tcW w:w="703" w:type="dxa"/>
                  <w:tcBorders>
                    <w:top w:val="nil"/>
                    <w:left w:val="nil"/>
                    <w:bottom w:val="single" w:color="000000" w:sz="8" w:space="0"/>
                    <w:right w:val="single" w:color="000000" w:sz="8" w:space="0"/>
                  </w:tcBorders>
                  <w:shd w:val="clear" w:color="auto" w:fill="auto"/>
                  <w:vAlign w:val="center"/>
                  <w:tcPrChange w:id="23" w:author="王可以" w:date="2026-04-11T16:27:07Z">
                    <w:tcPr>
                      <w:tcW w:w="709" w:type="dxa"/>
                      <w:tcBorders>
                        <w:top w:val="nil"/>
                        <w:left w:val="nil"/>
                        <w:bottom w:val="single" w:color="000000" w:sz="8" w:space="0"/>
                        <w:right w:val="single" w:color="000000" w:sz="8" w:space="0"/>
                      </w:tcBorders>
                      <w:shd w:val="clear" w:color="auto" w:fill="auto"/>
                      <w:vAlign w:val="center"/>
                    </w:tcPr>
                  </w:tcPrChange>
                </w:tcPr>
                <w:p w14:paraId="5D9D2AB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113</w:t>
                  </w:r>
                  <w:r>
                    <w:rPr>
                      <w:rFonts w:hint="eastAsia" w:ascii="宋体" w:hAnsi="宋体" w:eastAsia="宋体" w:cs="宋体"/>
                      <w:i w:val="0"/>
                      <w:iCs w:val="0"/>
                      <w:color w:val="auto"/>
                      <w:kern w:val="0"/>
                      <w:sz w:val="21"/>
                      <w:szCs w:val="21"/>
                      <w:u w:val="none"/>
                      <w:lang w:val="en-US" w:eastAsia="zh-CN" w:bidi="ar"/>
                    </w:rPr>
                    <w:t>人</w:t>
                  </w:r>
                </w:p>
              </w:tc>
              <w:tc>
                <w:tcPr>
                  <w:tcW w:w="741" w:type="dxa"/>
                  <w:tcBorders>
                    <w:top w:val="nil"/>
                    <w:left w:val="nil"/>
                    <w:bottom w:val="single" w:color="000000" w:sz="8" w:space="0"/>
                    <w:right w:val="single" w:color="000000" w:sz="8" w:space="0"/>
                  </w:tcBorders>
                  <w:shd w:val="clear" w:color="auto" w:fill="auto"/>
                  <w:vAlign w:val="center"/>
                  <w:tcPrChange w:id="24" w:author="王可以" w:date="2026-04-11T16:27:07Z">
                    <w:tcPr>
                      <w:tcW w:w="743" w:type="dxa"/>
                      <w:tcBorders>
                        <w:top w:val="nil"/>
                        <w:left w:val="nil"/>
                        <w:bottom w:val="single" w:color="000000" w:sz="8" w:space="0"/>
                        <w:right w:val="single" w:color="000000" w:sz="8" w:space="0"/>
                      </w:tcBorders>
                      <w:shd w:val="clear" w:color="auto" w:fill="auto"/>
                      <w:vAlign w:val="center"/>
                    </w:tcPr>
                  </w:tcPrChange>
                </w:tcPr>
                <w:p w14:paraId="46530D7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w:t>
                  </w:r>
                </w:p>
              </w:tc>
              <w:tc>
                <w:tcPr>
                  <w:tcW w:w="668" w:type="dxa"/>
                  <w:tcBorders>
                    <w:top w:val="nil"/>
                    <w:left w:val="nil"/>
                    <w:bottom w:val="single" w:color="000000" w:sz="8" w:space="0"/>
                    <w:right w:val="single" w:color="000000" w:sz="8" w:space="0"/>
                  </w:tcBorders>
                  <w:shd w:val="clear" w:color="auto" w:fill="auto"/>
                  <w:vAlign w:val="center"/>
                  <w:tcPrChange w:id="25" w:author="王可以" w:date="2026-04-11T16:27:07Z">
                    <w:tcPr>
                      <w:tcW w:w="240" w:type="dxa"/>
                      <w:tcBorders>
                        <w:top w:val="nil"/>
                        <w:left w:val="nil"/>
                        <w:bottom w:val="single" w:color="000000" w:sz="8" w:space="0"/>
                        <w:right w:val="single" w:color="000000" w:sz="8" w:space="0"/>
                      </w:tcBorders>
                      <w:shd w:val="clear" w:color="auto" w:fill="auto"/>
                      <w:vAlign w:val="center"/>
                    </w:tcPr>
                  </w:tcPrChange>
                </w:tcPr>
                <w:p w14:paraId="78353D1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2" w:type="dxa"/>
                  <w:tcBorders>
                    <w:top w:val="nil"/>
                    <w:left w:val="nil"/>
                    <w:bottom w:val="single" w:color="000000" w:sz="8" w:space="0"/>
                    <w:right w:val="single" w:color="000000" w:sz="8" w:space="0"/>
                  </w:tcBorders>
                  <w:shd w:val="clear" w:color="auto" w:fill="auto"/>
                  <w:vAlign w:val="center"/>
                  <w:tcPrChange w:id="26" w:author="王可以" w:date="2026-04-11T16:27:07Z">
                    <w:tcPr>
                      <w:tcW w:w="922" w:type="dxa"/>
                      <w:tcBorders>
                        <w:top w:val="nil"/>
                        <w:left w:val="nil"/>
                        <w:bottom w:val="single" w:color="000000" w:sz="8" w:space="0"/>
                        <w:right w:val="single" w:color="000000" w:sz="8" w:space="0"/>
                      </w:tcBorders>
                      <w:shd w:val="clear" w:color="auto" w:fill="auto"/>
                      <w:vAlign w:val="center"/>
                    </w:tcPr>
                  </w:tcPrChange>
                </w:tcPr>
                <w:p w14:paraId="0A58D9B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2347" w:type="dxa"/>
                  <w:vMerge w:val="continue"/>
                  <w:tcBorders>
                    <w:top w:val="single" w:color="000000" w:sz="8" w:space="0"/>
                    <w:left w:val="nil"/>
                    <w:bottom w:val="single" w:color="000000" w:sz="8" w:space="0"/>
                    <w:right w:val="single" w:color="000000" w:sz="8" w:space="0"/>
                  </w:tcBorders>
                  <w:shd w:val="clear" w:color="auto" w:fill="auto"/>
                  <w:vAlign w:val="center"/>
                  <w:tcPrChange w:id="27" w:author="王可以" w:date="2026-04-11T16:27:07Z">
                    <w:tcPr>
                      <w:tcW w:w="2399" w:type="dxa"/>
                      <w:vMerge w:val="continue"/>
                      <w:tcBorders>
                        <w:top w:val="single" w:color="000000" w:sz="8" w:space="0"/>
                        <w:left w:val="nil"/>
                        <w:bottom w:val="single" w:color="000000" w:sz="8" w:space="0"/>
                        <w:right w:val="single" w:color="000000" w:sz="8" w:space="0"/>
                      </w:tcBorders>
                      <w:shd w:val="clear" w:color="auto" w:fill="auto"/>
                      <w:vAlign w:val="center"/>
                    </w:tcPr>
                  </w:tcPrChange>
                </w:tcPr>
                <w:p w14:paraId="4FFB36A3">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r>
            <w:tr w14:paraId="20FDE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28"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1842" w:hRule="atLeast"/>
                <w:trPrChange w:id="28" w:author="王可以" w:date="2026-04-11T16:27:07Z">
                  <w:trPr>
                    <w:trHeight w:val="1905" w:hRule="atLeast"/>
                  </w:trPr>
                </w:trPrChange>
              </w:trPr>
              <w:tc>
                <w:tcPr>
                  <w:tcW w:w="631" w:type="dxa"/>
                  <w:vMerge w:val="continue"/>
                  <w:tcBorders>
                    <w:top w:val="nil"/>
                    <w:left w:val="single" w:color="000000" w:sz="8" w:space="0"/>
                    <w:bottom w:val="single" w:color="000000" w:sz="8" w:space="0"/>
                    <w:right w:val="single" w:color="000000" w:sz="8" w:space="0"/>
                  </w:tcBorders>
                  <w:shd w:val="clear" w:color="auto" w:fill="auto"/>
                  <w:vAlign w:val="center"/>
                  <w:tcPrChange w:id="29" w:author="王可以" w:date="2026-04-11T16:27:07Z">
                    <w:tcPr>
                      <w:tcW w:w="638" w:type="dxa"/>
                      <w:vMerge w:val="continue"/>
                      <w:tcBorders>
                        <w:top w:val="nil"/>
                        <w:left w:val="single" w:color="000000" w:sz="8" w:space="0"/>
                        <w:bottom w:val="single" w:color="000000" w:sz="8" w:space="0"/>
                        <w:right w:val="single" w:color="000000" w:sz="8" w:space="0"/>
                      </w:tcBorders>
                      <w:shd w:val="clear" w:color="auto" w:fill="auto"/>
                      <w:vAlign w:val="center"/>
                    </w:tcPr>
                  </w:tcPrChange>
                </w:tcPr>
                <w:p w14:paraId="2406425D">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978" w:type="dxa"/>
                  <w:tcBorders>
                    <w:top w:val="nil"/>
                    <w:left w:val="nil"/>
                    <w:bottom w:val="single" w:color="000000" w:sz="8" w:space="0"/>
                    <w:right w:val="single" w:color="000000" w:sz="8" w:space="0"/>
                  </w:tcBorders>
                  <w:shd w:val="clear" w:color="auto" w:fill="auto"/>
                  <w:vAlign w:val="center"/>
                  <w:tcPrChange w:id="30" w:author="王可以" w:date="2026-04-11T16:27:07Z">
                    <w:tcPr>
                      <w:tcW w:w="989" w:type="dxa"/>
                      <w:tcBorders>
                        <w:top w:val="nil"/>
                        <w:left w:val="nil"/>
                        <w:bottom w:val="single" w:color="000000" w:sz="8" w:space="0"/>
                        <w:right w:val="single" w:color="000000" w:sz="8" w:space="0"/>
                      </w:tcBorders>
                      <w:shd w:val="clear" w:color="auto" w:fill="auto"/>
                      <w:vAlign w:val="center"/>
                    </w:tcPr>
                  </w:tcPrChange>
                </w:tcPr>
                <w:p w14:paraId="1647CBA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检验科</w:t>
                  </w:r>
                </w:p>
              </w:tc>
              <w:tc>
                <w:tcPr>
                  <w:tcW w:w="1194" w:type="dxa"/>
                  <w:tcBorders>
                    <w:top w:val="nil"/>
                    <w:left w:val="nil"/>
                    <w:bottom w:val="single" w:color="000000" w:sz="8" w:space="0"/>
                    <w:right w:val="single" w:color="000000" w:sz="8" w:space="0"/>
                  </w:tcBorders>
                  <w:shd w:val="clear" w:color="auto" w:fill="auto"/>
                  <w:vAlign w:val="center"/>
                  <w:tcPrChange w:id="31" w:author="王可以" w:date="2026-04-11T16:27:07Z">
                    <w:tcPr>
                      <w:tcW w:w="1197" w:type="dxa"/>
                      <w:tcBorders>
                        <w:top w:val="nil"/>
                        <w:left w:val="nil"/>
                        <w:bottom w:val="single" w:color="000000" w:sz="8" w:space="0"/>
                        <w:right w:val="single" w:color="000000" w:sz="8" w:space="0"/>
                      </w:tcBorders>
                      <w:shd w:val="clear" w:color="auto" w:fill="auto"/>
                      <w:vAlign w:val="center"/>
                    </w:tcPr>
                  </w:tcPrChange>
                </w:tcPr>
                <w:p w14:paraId="1622BB8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r>
                    <w:rPr>
                      <w:rFonts w:hint="eastAsia" w:ascii="宋体" w:hAnsi="宋体" w:eastAsia="宋体" w:cs="宋体"/>
                      <w:i w:val="0"/>
                      <w:iCs w:val="0"/>
                      <w:color w:val="auto"/>
                      <w:kern w:val="0"/>
                      <w:sz w:val="21"/>
                      <w:szCs w:val="21"/>
                      <w:u w:val="none"/>
                      <w:lang w:val="en-US" w:eastAsia="zh-CN" w:bidi="ar"/>
                    </w:rPr>
                    <w:t>人</w:t>
                  </w:r>
                </w:p>
              </w:tc>
              <w:tc>
                <w:tcPr>
                  <w:tcW w:w="703" w:type="dxa"/>
                  <w:tcBorders>
                    <w:top w:val="nil"/>
                    <w:left w:val="nil"/>
                    <w:bottom w:val="single" w:color="000000" w:sz="8" w:space="0"/>
                    <w:right w:val="single" w:color="000000" w:sz="8" w:space="0"/>
                  </w:tcBorders>
                  <w:shd w:val="clear" w:color="auto" w:fill="auto"/>
                  <w:vAlign w:val="center"/>
                  <w:tcPrChange w:id="32" w:author="王可以" w:date="2026-04-11T16:27:07Z">
                    <w:tcPr>
                      <w:tcW w:w="709" w:type="dxa"/>
                      <w:tcBorders>
                        <w:top w:val="nil"/>
                        <w:left w:val="nil"/>
                        <w:bottom w:val="single" w:color="000000" w:sz="8" w:space="0"/>
                        <w:right w:val="single" w:color="000000" w:sz="8" w:space="0"/>
                      </w:tcBorders>
                      <w:shd w:val="clear" w:color="auto" w:fill="auto"/>
                      <w:vAlign w:val="center"/>
                    </w:tcPr>
                  </w:tcPrChange>
                </w:tcPr>
                <w:p w14:paraId="27025F6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r>
                    <w:rPr>
                      <w:rFonts w:hint="eastAsia" w:ascii="宋体" w:hAnsi="宋体" w:eastAsia="宋体" w:cs="宋体"/>
                      <w:i w:val="0"/>
                      <w:iCs w:val="0"/>
                      <w:color w:val="auto"/>
                      <w:kern w:val="0"/>
                      <w:sz w:val="21"/>
                      <w:szCs w:val="21"/>
                      <w:u w:val="none"/>
                      <w:lang w:val="en-US" w:eastAsia="zh-CN" w:bidi="ar"/>
                    </w:rPr>
                    <w:t>人</w:t>
                  </w:r>
                </w:p>
              </w:tc>
              <w:tc>
                <w:tcPr>
                  <w:tcW w:w="741" w:type="dxa"/>
                  <w:tcBorders>
                    <w:top w:val="nil"/>
                    <w:left w:val="nil"/>
                    <w:bottom w:val="single" w:color="000000" w:sz="8" w:space="0"/>
                    <w:right w:val="single" w:color="000000" w:sz="8" w:space="0"/>
                  </w:tcBorders>
                  <w:shd w:val="clear" w:color="auto" w:fill="auto"/>
                  <w:vAlign w:val="center"/>
                  <w:tcPrChange w:id="33" w:author="王可以" w:date="2026-04-11T16:27:07Z">
                    <w:tcPr>
                      <w:tcW w:w="743" w:type="dxa"/>
                      <w:tcBorders>
                        <w:top w:val="nil"/>
                        <w:left w:val="nil"/>
                        <w:bottom w:val="single" w:color="000000" w:sz="8" w:space="0"/>
                        <w:right w:val="single" w:color="000000" w:sz="8" w:space="0"/>
                      </w:tcBorders>
                      <w:shd w:val="clear" w:color="auto" w:fill="auto"/>
                      <w:vAlign w:val="center"/>
                    </w:tcPr>
                  </w:tcPrChange>
                </w:tcPr>
                <w:p w14:paraId="7CADC64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668" w:type="dxa"/>
                  <w:tcBorders>
                    <w:top w:val="nil"/>
                    <w:left w:val="nil"/>
                    <w:bottom w:val="single" w:color="000000" w:sz="8" w:space="0"/>
                    <w:right w:val="single" w:color="000000" w:sz="8" w:space="0"/>
                  </w:tcBorders>
                  <w:shd w:val="clear" w:color="auto" w:fill="auto"/>
                  <w:vAlign w:val="center"/>
                  <w:tcPrChange w:id="34" w:author="王可以" w:date="2026-04-11T16:27:07Z">
                    <w:tcPr>
                      <w:tcW w:w="240" w:type="dxa"/>
                      <w:tcBorders>
                        <w:top w:val="nil"/>
                        <w:left w:val="nil"/>
                        <w:bottom w:val="single" w:color="000000" w:sz="8" w:space="0"/>
                        <w:right w:val="single" w:color="000000" w:sz="8" w:space="0"/>
                      </w:tcBorders>
                      <w:shd w:val="clear" w:color="auto" w:fill="auto"/>
                      <w:vAlign w:val="center"/>
                    </w:tcPr>
                  </w:tcPrChange>
                </w:tcPr>
                <w:p w14:paraId="0FF152D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w:t>
                  </w:r>
                </w:p>
              </w:tc>
              <w:tc>
                <w:tcPr>
                  <w:tcW w:w="812" w:type="dxa"/>
                  <w:tcBorders>
                    <w:top w:val="nil"/>
                    <w:left w:val="nil"/>
                    <w:bottom w:val="single" w:color="000000" w:sz="8" w:space="0"/>
                    <w:right w:val="single" w:color="000000" w:sz="8" w:space="0"/>
                  </w:tcBorders>
                  <w:shd w:val="clear" w:color="auto" w:fill="auto"/>
                  <w:vAlign w:val="center"/>
                  <w:tcPrChange w:id="35" w:author="王可以" w:date="2026-04-11T16:27:07Z">
                    <w:tcPr>
                      <w:tcW w:w="922" w:type="dxa"/>
                      <w:tcBorders>
                        <w:top w:val="nil"/>
                        <w:left w:val="nil"/>
                        <w:bottom w:val="single" w:color="000000" w:sz="8" w:space="0"/>
                        <w:right w:val="single" w:color="000000" w:sz="8" w:space="0"/>
                      </w:tcBorders>
                      <w:shd w:val="clear" w:color="auto" w:fill="auto"/>
                      <w:vAlign w:val="center"/>
                    </w:tcPr>
                  </w:tcPrChange>
                </w:tcPr>
                <w:p w14:paraId="69F161E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2347" w:type="dxa"/>
                  <w:tcBorders>
                    <w:top w:val="nil"/>
                    <w:left w:val="nil"/>
                    <w:bottom w:val="single" w:color="000000" w:sz="8" w:space="0"/>
                    <w:right w:val="single" w:color="000000" w:sz="8" w:space="0"/>
                  </w:tcBorders>
                  <w:shd w:val="clear" w:color="auto" w:fill="auto"/>
                  <w:vAlign w:val="center"/>
                  <w:tcPrChange w:id="36" w:author="王可以" w:date="2026-04-11T16:27:07Z">
                    <w:tcPr>
                      <w:tcW w:w="2399" w:type="dxa"/>
                      <w:tcBorders>
                        <w:top w:val="nil"/>
                        <w:left w:val="nil"/>
                        <w:bottom w:val="single" w:color="000000" w:sz="8" w:space="0"/>
                        <w:right w:val="single" w:color="000000" w:sz="8" w:space="0"/>
                      </w:tcBorders>
                      <w:shd w:val="clear" w:color="auto" w:fill="auto"/>
                      <w:vAlign w:val="center"/>
                    </w:tcPr>
                  </w:tcPrChange>
                </w:tcPr>
                <w:p w14:paraId="473C14C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经预处理设施处理后进入污水处理站处理后进入市政污水管网</w:t>
                  </w:r>
                </w:p>
              </w:tc>
            </w:tr>
            <w:tr w14:paraId="513B02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37"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1571" w:hRule="atLeast"/>
                <w:trPrChange w:id="37" w:author="王可以" w:date="2026-04-11T16:27:07Z">
                  <w:trPr>
                    <w:trHeight w:val="825" w:hRule="atLeast"/>
                  </w:trPr>
                </w:trPrChange>
              </w:trPr>
              <w:tc>
                <w:tcPr>
                  <w:tcW w:w="631" w:type="dxa"/>
                  <w:tcBorders>
                    <w:top w:val="nil"/>
                    <w:left w:val="single" w:color="000000" w:sz="8" w:space="0"/>
                    <w:bottom w:val="single" w:color="000000" w:sz="8" w:space="0"/>
                    <w:right w:val="single" w:color="000000" w:sz="8" w:space="0"/>
                  </w:tcBorders>
                  <w:shd w:val="clear" w:color="auto" w:fill="auto"/>
                  <w:vAlign w:val="center"/>
                  <w:tcPrChange w:id="38" w:author="王可以" w:date="2026-04-11T16:27:07Z">
                    <w:tcPr>
                      <w:tcW w:w="638" w:type="dxa"/>
                      <w:tcBorders>
                        <w:top w:val="nil"/>
                        <w:left w:val="single" w:color="000000" w:sz="8" w:space="0"/>
                        <w:bottom w:val="single" w:color="000000" w:sz="8" w:space="0"/>
                        <w:right w:val="single" w:color="000000" w:sz="8" w:space="0"/>
                      </w:tcBorders>
                      <w:shd w:val="clear" w:color="auto" w:fill="auto"/>
                      <w:vAlign w:val="center"/>
                    </w:tcPr>
                  </w:tcPrChange>
                </w:tcPr>
                <w:p w14:paraId="1A80681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生活用水</w:t>
                  </w:r>
                </w:p>
              </w:tc>
              <w:tc>
                <w:tcPr>
                  <w:tcW w:w="978" w:type="dxa"/>
                  <w:tcBorders>
                    <w:top w:val="nil"/>
                    <w:left w:val="nil"/>
                    <w:bottom w:val="single" w:color="000000" w:sz="8" w:space="0"/>
                    <w:right w:val="single" w:color="000000" w:sz="8" w:space="0"/>
                  </w:tcBorders>
                  <w:shd w:val="clear" w:color="auto" w:fill="auto"/>
                  <w:vAlign w:val="center"/>
                  <w:tcPrChange w:id="39" w:author="王可以" w:date="2026-04-11T16:27:07Z">
                    <w:tcPr>
                      <w:tcW w:w="989" w:type="dxa"/>
                      <w:tcBorders>
                        <w:top w:val="nil"/>
                        <w:left w:val="nil"/>
                        <w:bottom w:val="single" w:color="000000" w:sz="8" w:space="0"/>
                        <w:right w:val="single" w:color="000000" w:sz="8" w:space="0"/>
                      </w:tcBorders>
                      <w:shd w:val="clear" w:color="auto" w:fill="auto"/>
                      <w:vAlign w:val="center"/>
                    </w:tcPr>
                  </w:tcPrChange>
                </w:tcPr>
                <w:p w14:paraId="72A46DE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厨房</w:t>
                  </w:r>
                </w:p>
              </w:tc>
              <w:tc>
                <w:tcPr>
                  <w:tcW w:w="1194" w:type="dxa"/>
                  <w:tcBorders>
                    <w:top w:val="nil"/>
                    <w:left w:val="nil"/>
                    <w:bottom w:val="single" w:color="000000" w:sz="8" w:space="0"/>
                    <w:right w:val="single" w:color="000000" w:sz="8" w:space="0"/>
                  </w:tcBorders>
                  <w:shd w:val="clear" w:color="auto" w:fill="auto"/>
                  <w:vAlign w:val="center"/>
                  <w:tcPrChange w:id="40" w:author="王可以" w:date="2026-04-11T16:27:07Z">
                    <w:tcPr>
                      <w:tcW w:w="1197" w:type="dxa"/>
                      <w:tcBorders>
                        <w:top w:val="nil"/>
                        <w:left w:val="nil"/>
                        <w:bottom w:val="single" w:color="000000" w:sz="8" w:space="0"/>
                        <w:right w:val="single" w:color="000000" w:sz="8" w:space="0"/>
                      </w:tcBorders>
                      <w:shd w:val="clear" w:color="auto" w:fill="auto"/>
                      <w:vAlign w:val="center"/>
                    </w:tcPr>
                  </w:tcPrChange>
                </w:tcPr>
                <w:p w14:paraId="4634267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10L/</w:t>
                  </w:r>
                  <w:r>
                    <w:rPr>
                      <w:rFonts w:hint="eastAsia" w:ascii="宋体" w:hAnsi="宋体" w:eastAsia="宋体" w:cs="宋体"/>
                      <w:i w:val="0"/>
                      <w:iCs w:val="0"/>
                      <w:color w:val="auto"/>
                      <w:kern w:val="0"/>
                      <w:sz w:val="21"/>
                      <w:szCs w:val="21"/>
                      <w:u w:val="none"/>
                      <w:lang w:val="en-US" w:eastAsia="zh-CN" w:bidi="ar"/>
                    </w:rPr>
                    <w:t>（人</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天</w:t>
                  </w:r>
                  <w:r>
                    <w:rPr>
                      <w:rFonts w:hint="default" w:ascii="Times New Roman" w:hAnsi="Times New Roman" w:eastAsia="宋体" w:cs="Times New Roman"/>
                      <w:i w:val="0"/>
                      <w:iCs w:val="0"/>
                      <w:color w:val="auto"/>
                      <w:kern w:val="0"/>
                      <w:sz w:val="21"/>
                      <w:szCs w:val="21"/>
                      <w:u w:val="none"/>
                      <w:lang w:val="en-US" w:eastAsia="zh-CN" w:bidi="ar"/>
                    </w:rPr>
                    <w:t>)</w:t>
                  </w:r>
                </w:p>
              </w:tc>
              <w:tc>
                <w:tcPr>
                  <w:tcW w:w="703" w:type="dxa"/>
                  <w:tcBorders>
                    <w:top w:val="nil"/>
                    <w:left w:val="nil"/>
                    <w:bottom w:val="single" w:color="000000" w:sz="8" w:space="0"/>
                    <w:right w:val="single" w:color="000000" w:sz="8" w:space="0"/>
                  </w:tcBorders>
                  <w:shd w:val="clear" w:color="auto" w:fill="auto"/>
                  <w:vAlign w:val="center"/>
                  <w:tcPrChange w:id="41" w:author="王可以" w:date="2026-04-11T16:27:07Z">
                    <w:tcPr>
                      <w:tcW w:w="709" w:type="dxa"/>
                      <w:tcBorders>
                        <w:top w:val="nil"/>
                        <w:left w:val="nil"/>
                        <w:bottom w:val="single" w:color="000000" w:sz="8" w:space="0"/>
                        <w:right w:val="single" w:color="000000" w:sz="8" w:space="0"/>
                      </w:tcBorders>
                      <w:shd w:val="clear" w:color="auto" w:fill="auto"/>
                      <w:vAlign w:val="center"/>
                    </w:tcPr>
                  </w:tcPrChange>
                </w:tcPr>
                <w:p w14:paraId="5B85D94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r>
                    <w:rPr>
                      <w:rFonts w:hint="eastAsia" w:ascii="宋体" w:hAnsi="宋体" w:eastAsia="宋体" w:cs="宋体"/>
                      <w:i w:val="0"/>
                      <w:iCs w:val="0"/>
                      <w:color w:val="auto"/>
                      <w:kern w:val="0"/>
                      <w:sz w:val="21"/>
                      <w:szCs w:val="21"/>
                      <w:u w:val="none"/>
                      <w:lang w:val="en-US" w:eastAsia="zh-CN" w:bidi="ar"/>
                    </w:rPr>
                    <w:t>人</w:t>
                  </w:r>
                </w:p>
              </w:tc>
              <w:tc>
                <w:tcPr>
                  <w:tcW w:w="741" w:type="dxa"/>
                  <w:tcBorders>
                    <w:top w:val="nil"/>
                    <w:left w:val="nil"/>
                    <w:bottom w:val="single" w:color="000000" w:sz="8" w:space="0"/>
                    <w:right w:val="single" w:color="000000" w:sz="8" w:space="0"/>
                  </w:tcBorders>
                  <w:shd w:val="clear" w:color="auto" w:fill="auto"/>
                  <w:vAlign w:val="center"/>
                  <w:tcPrChange w:id="42" w:author="王可以" w:date="2026-04-11T16:27:07Z">
                    <w:tcPr>
                      <w:tcW w:w="743" w:type="dxa"/>
                      <w:tcBorders>
                        <w:top w:val="nil"/>
                        <w:left w:val="nil"/>
                        <w:bottom w:val="single" w:color="000000" w:sz="8" w:space="0"/>
                        <w:right w:val="single" w:color="000000" w:sz="8" w:space="0"/>
                      </w:tcBorders>
                      <w:shd w:val="clear" w:color="auto" w:fill="auto"/>
                      <w:vAlign w:val="center"/>
                    </w:tcPr>
                  </w:tcPrChange>
                </w:tcPr>
                <w:p w14:paraId="638B5E9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w:t>
                  </w:r>
                </w:p>
              </w:tc>
              <w:tc>
                <w:tcPr>
                  <w:tcW w:w="668" w:type="dxa"/>
                  <w:tcBorders>
                    <w:top w:val="nil"/>
                    <w:left w:val="nil"/>
                    <w:bottom w:val="single" w:color="000000" w:sz="8" w:space="0"/>
                    <w:right w:val="single" w:color="000000" w:sz="8" w:space="0"/>
                  </w:tcBorders>
                  <w:shd w:val="clear" w:color="auto" w:fill="auto"/>
                  <w:vAlign w:val="center"/>
                  <w:tcPrChange w:id="43" w:author="王可以" w:date="2026-04-11T16:27:07Z">
                    <w:tcPr>
                      <w:tcW w:w="240" w:type="dxa"/>
                      <w:tcBorders>
                        <w:top w:val="nil"/>
                        <w:left w:val="nil"/>
                        <w:bottom w:val="single" w:color="000000" w:sz="8" w:space="0"/>
                        <w:right w:val="single" w:color="000000" w:sz="8" w:space="0"/>
                      </w:tcBorders>
                      <w:shd w:val="clear" w:color="auto" w:fill="auto"/>
                      <w:vAlign w:val="center"/>
                    </w:tcPr>
                  </w:tcPrChange>
                </w:tcPr>
                <w:p w14:paraId="1C845ED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2" w:type="dxa"/>
                  <w:tcBorders>
                    <w:top w:val="nil"/>
                    <w:left w:val="nil"/>
                    <w:bottom w:val="single" w:color="000000" w:sz="8" w:space="0"/>
                    <w:right w:val="single" w:color="000000" w:sz="8" w:space="0"/>
                  </w:tcBorders>
                  <w:shd w:val="clear" w:color="auto" w:fill="auto"/>
                  <w:vAlign w:val="center"/>
                  <w:tcPrChange w:id="44" w:author="王可以" w:date="2026-04-11T16:27:07Z">
                    <w:tcPr>
                      <w:tcW w:w="922" w:type="dxa"/>
                      <w:tcBorders>
                        <w:top w:val="nil"/>
                        <w:left w:val="nil"/>
                        <w:bottom w:val="single" w:color="000000" w:sz="8" w:space="0"/>
                        <w:right w:val="single" w:color="000000" w:sz="8" w:space="0"/>
                      </w:tcBorders>
                      <w:shd w:val="clear" w:color="auto" w:fill="auto"/>
                      <w:vAlign w:val="center"/>
                    </w:tcPr>
                  </w:tcPrChange>
                </w:tcPr>
                <w:p w14:paraId="0876758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0.16</w:t>
                  </w:r>
                </w:p>
              </w:tc>
              <w:tc>
                <w:tcPr>
                  <w:tcW w:w="2347" w:type="dxa"/>
                  <w:tcBorders>
                    <w:top w:val="nil"/>
                    <w:left w:val="nil"/>
                    <w:bottom w:val="single" w:color="000000" w:sz="8" w:space="0"/>
                    <w:right w:val="single" w:color="000000" w:sz="8" w:space="0"/>
                  </w:tcBorders>
                  <w:shd w:val="clear" w:color="auto" w:fill="auto"/>
                  <w:vAlign w:val="center"/>
                  <w:tcPrChange w:id="45" w:author="王可以" w:date="2026-04-11T16:27:07Z">
                    <w:tcPr>
                      <w:tcW w:w="2399" w:type="dxa"/>
                      <w:tcBorders>
                        <w:top w:val="nil"/>
                        <w:left w:val="nil"/>
                        <w:bottom w:val="single" w:color="000000" w:sz="8" w:space="0"/>
                        <w:right w:val="single" w:color="000000" w:sz="8" w:space="0"/>
                      </w:tcBorders>
                      <w:shd w:val="clear" w:color="auto" w:fill="auto"/>
                      <w:vAlign w:val="center"/>
                    </w:tcPr>
                  </w:tcPrChange>
                </w:tcPr>
                <w:p w14:paraId="20351E5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经隔油池处理后进入化粪池</w:t>
                  </w:r>
                </w:p>
              </w:tc>
            </w:tr>
            <w:tr w14:paraId="3FC3B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Change w:id="46" w:author="王可以" w:date="2026-04-11T16:27:07Z">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blPrExChange>
              </w:tblPrEx>
              <w:trPr>
                <w:trHeight w:val="726" w:hRule="atLeast"/>
                <w:trPrChange w:id="46" w:author="王可以" w:date="2026-04-11T16:27:07Z">
                  <w:trPr>
                    <w:trHeight w:val="295" w:hRule="atLeast"/>
                  </w:trPr>
                </w:trPrChange>
              </w:trPr>
              <w:tc>
                <w:tcPr>
                  <w:tcW w:w="3506" w:type="dxa"/>
                  <w:gridSpan w:val="4"/>
                  <w:tcBorders>
                    <w:top w:val="nil"/>
                    <w:left w:val="single" w:color="000000" w:sz="8" w:space="0"/>
                    <w:bottom w:val="single" w:color="000000" w:sz="8" w:space="0"/>
                    <w:right w:val="single" w:color="000000" w:sz="8" w:space="0"/>
                  </w:tcBorders>
                  <w:shd w:val="clear" w:color="auto" w:fill="auto"/>
                  <w:vAlign w:val="center"/>
                  <w:tcPrChange w:id="47" w:author="王可以" w:date="2026-04-11T16:27:07Z">
                    <w:tcPr>
                      <w:tcW w:w="3533" w:type="dxa"/>
                      <w:gridSpan w:val="4"/>
                      <w:tcBorders>
                        <w:top w:val="nil"/>
                        <w:left w:val="single" w:color="000000" w:sz="8" w:space="0"/>
                        <w:bottom w:val="single" w:color="000000" w:sz="8" w:space="0"/>
                        <w:right w:val="single" w:color="000000" w:sz="8" w:space="0"/>
                      </w:tcBorders>
                      <w:shd w:val="clear" w:color="auto" w:fill="auto"/>
                      <w:vAlign w:val="center"/>
                    </w:tcPr>
                  </w:tcPrChange>
                </w:tcPr>
                <w:p w14:paraId="5C17AD3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合计</w:t>
                  </w:r>
                </w:p>
              </w:tc>
              <w:tc>
                <w:tcPr>
                  <w:tcW w:w="741" w:type="dxa"/>
                  <w:tcBorders>
                    <w:top w:val="nil"/>
                    <w:left w:val="nil"/>
                    <w:bottom w:val="single" w:color="000000" w:sz="8" w:space="0"/>
                    <w:right w:val="single" w:color="000000" w:sz="8" w:space="0"/>
                  </w:tcBorders>
                  <w:shd w:val="clear" w:color="auto" w:fill="auto"/>
                  <w:vAlign w:val="center"/>
                  <w:tcPrChange w:id="48" w:author="王可以" w:date="2026-04-11T16:27:07Z">
                    <w:tcPr>
                      <w:tcW w:w="743" w:type="dxa"/>
                      <w:tcBorders>
                        <w:top w:val="nil"/>
                        <w:left w:val="nil"/>
                        <w:bottom w:val="single" w:color="000000" w:sz="8" w:space="0"/>
                        <w:right w:val="single" w:color="000000" w:sz="8" w:space="0"/>
                      </w:tcBorders>
                      <w:shd w:val="clear" w:color="auto" w:fill="auto"/>
                      <w:vAlign w:val="center"/>
                    </w:tcPr>
                  </w:tcPrChange>
                </w:tcPr>
                <w:p w14:paraId="122C635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16.01</w:t>
                  </w:r>
                </w:p>
              </w:tc>
              <w:tc>
                <w:tcPr>
                  <w:tcW w:w="668" w:type="dxa"/>
                  <w:tcBorders>
                    <w:top w:val="nil"/>
                    <w:left w:val="nil"/>
                    <w:bottom w:val="single" w:color="000000" w:sz="8" w:space="0"/>
                    <w:right w:val="single" w:color="000000" w:sz="8" w:space="0"/>
                  </w:tcBorders>
                  <w:shd w:val="clear" w:color="auto" w:fill="auto"/>
                  <w:vAlign w:val="center"/>
                  <w:tcPrChange w:id="49" w:author="王可以" w:date="2026-04-11T16:27:07Z">
                    <w:tcPr>
                      <w:tcW w:w="240" w:type="dxa"/>
                      <w:tcBorders>
                        <w:top w:val="nil"/>
                        <w:left w:val="nil"/>
                        <w:bottom w:val="single" w:color="000000" w:sz="8" w:space="0"/>
                        <w:right w:val="single" w:color="000000" w:sz="8" w:space="0"/>
                      </w:tcBorders>
                      <w:shd w:val="clear" w:color="auto" w:fill="auto"/>
                      <w:vAlign w:val="center"/>
                    </w:tcPr>
                  </w:tcPrChange>
                </w:tcPr>
                <w:p w14:paraId="7531B38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2" w:type="dxa"/>
                  <w:tcBorders>
                    <w:top w:val="nil"/>
                    <w:left w:val="nil"/>
                    <w:bottom w:val="single" w:color="000000" w:sz="8" w:space="0"/>
                    <w:right w:val="single" w:color="000000" w:sz="8" w:space="0"/>
                  </w:tcBorders>
                  <w:shd w:val="clear" w:color="auto" w:fill="auto"/>
                  <w:vAlign w:val="center"/>
                  <w:tcPrChange w:id="50" w:author="王可以" w:date="2026-04-11T16:27:07Z">
                    <w:tcPr>
                      <w:tcW w:w="922" w:type="dxa"/>
                      <w:tcBorders>
                        <w:top w:val="nil"/>
                        <w:left w:val="nil"/>
                        <w:bottom w:val="single" w:color="000000" w:sz="8" w:space="0"/>
                        <w:right w:val="single" w:color="000000" w:sz="8" w:space="0"/>
                      </w:tcBorders>
                      <w:shd w:val="clear" w:color="auto" w:fill="auto"/>
                      <w:vAlign w:val="center"/>
                    </w:tcPr>
                  </w:tcPrChange>
                </w:tcPr>
                <w:p w14:paraId="5B04B1B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12.805</w:t>
                  </w:r>
                </w:p>
              </w:tc>
              <w:tc>
                <w:tcPr>
                  <w:tcW w:w="2347" w:type="dxa"/>
                  <w:tcBorders>
                    <w:top w:val="nil"/>
                    <w:left w:val="nil"/>
                    <w:bottom w:val="single" w:color="000000" w:sz="8" w:space="0"/>
                    <w:right w:val="single" w:color="000000" w:sz="8" w:space="0"/>
                  </w:tcBorders>
                  <w:shd w:val="clear" w:color="auto" w:fill="auto"/>
                  <w:vAlign w:val="center"/>
                  <w:tcPrChange w:id="51" w:author="王可以" w:date="2026-04-11T16:27:07Z">
                    <w:tcPr>
                      <w:tcW w:w="2399" w:type="dxa"/>
                      <w:tcBorders>
                        <w:top w:val="nil"/>
                        <w:left w:val="nil"/>
                        <w:bottom w:val="single" w:color="000000" w:sz="8" w:space="0"/>
                        <w:right w:val="single" w:color="000000" w:sz="8" w:space="0"/>
                      </w:tcBorders>
                      <w:shd w:val="clear" w:color="auto" w:fill="auto"/>
                      <w:vAlign w:val="center"/>
                    </w:tcPr>
                  </w:tcPrChange>
                </w:tcPr>
                <w:p w14:paraId="2DB5D96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bl>
          <w:p w14:paraId="423FCD37">
            <w:pPr>
              <w:pStyle w:val="40"/>
              <w:tabs>
                <w:tab w:val="left" w:pos="2040"/>
              </w:tabs>
              <w:spacing w:line="360" w:lineRule="auto"/>
              <w:ind w:left="0" w:leftChars="0" w:firstLine="480"/>
              <w:jc w:val="left"/>
              <w:rPr>
                <w:rFonts w:hint="eastAsia"/>
                <w:color w:val="auto"/>
                <w:kern w:val="0"/>
                <w:szCs w:val="24"/>
                <w:lang w:eastAsia="zh-CN"/>
              </w:rPr>
            </w:pPr>
            <w:r>
              <w:rPr>
                <w:color w:val="auto"/>
                <w:kern w:val="0"/>
                <w:szCs w:val="24"/>
              </w:rPr>
              <w:t>综上所述项目新增用水量为</w:t>
            </w:r>
            <w:r>
              <w:rPr>
                <w:rFonts w:hint="eastAsia"/>
                <w:color w:val="auto"/>
                <w:kern w:val="0"/>
                <w:szCs w:val="24"/>
                <w:lang w:val="en-US" w:eastAsia="zh-CN"/>
              </w:rPr>
              <w:t>16.01</w:t>
            </w:r>
            <w:r>
              <w:rPr>
                <w:color w:val="auto"/>
                <w:kern w:val="0"/>
                <w:szCs w:val="24"/>
              </w:rPr>
              <w:t>m³/d，新增废水产</w:t>
            </w:r>
            <w:r>
              <w:rPr>
                <w:rFonts w:hint="eastAsia"/>
                <w:color w:val="auto"/>
                <w:kern w:val="0"/>
                <w:szCs w:val="24"/>
                <w:lang w:val="en-US" w:eastAsia="zh-CN"/>
              </w:rPr>
              <w:t>生量12.805</w:t>
            </w:r>
            <w:r>
              <w:rPr>
                <w:color w:val="auto"/>
                <w:kern w:val="0"/>
                <w:szCs w:val="24"/>
              </w:rPr>
              <w:t>m³/d</w:t>
            </w:r>
            <w:r>
              <w:rPr>
                <w:rFonts w:hint="eastAsia"/>
                <w:color w:val="auto"/>
                <w:kern w:val="0"/>
                <w:szCs w:val="24"/>
                <w:lang w:eastAsia="zh-CN"/>
              </w:rPr>
              <w:t>。</w:t>
            </w:r>
          </w:p>
          <w:p w14:paraId="71D48AA2">
            <w:pPr>
              <w:pStyle w:val="38"/>
              <w:jc w:val="center"/>
              <w:rPr>
                <w:rFonts w:hint="eastAsia" w:ascii="Times New Roman" w:hAnsi="Times New Roman" w:eastAsia="宋体"/>
                <w:b/>
                <w:bCs/>
                <w:color w:val="auto"/>
                <w:lang w:eastAsia="zh-CN"/>
              </w:rPr>
            </w:pPr>
            <w:r>
              <w:rPr>
                <w:rFonts w:hint="eastAsia" w:ascii="Times New Roman" w:hAnsi="Times New Roman" w:eastAsia="宋体"/>
                <w:b/>
                <w:bCs/>
                <w:color w:val="auto"/>
                <w:lang w:eastAsia="zh-CN"/>
              </w:rPr>
              <w:t>表4-</w:t>
            </w:r>
            <w:r>
              <w:rPr>
                <w:rFonts w:hint="eastAsia" w:ascii="Times New Roman" w:hAnsi="Times New Roman" w:eastAsia="宋体"/>
                <w:b/>
                <w:bCs/>
                <w:color w:val="auto"/>
                <w:lang w:val="en-US" w:eastAsia="zh-CN"/>
              </w:rPr>
              <w:t>6</w:t>
            </w:r>
            <w:r>
              <w:rPr>
                <w:rFonts w:hint="eastAsia" w:ascii="Times New Roman" w:hAnsi="Times New Roman" w:eastAsia="宋体"/>
                <w:b/>
                <w:bCs/>
                <w:color w:val="auto"/>
                <w:lang w:eastAsia="zh-CN"/>
              </w:rPr>
              <w:t>本</w:t>
            </w:r>
            <w:r>
              <w:rPr>
                <w:rFonts w:hint="eastAsia" w:ascii="Times New Roman" w:hAnsi="Times New Roman" w:eastAsia="宋体"/>
                <w:b/>
                <w:bCs/>
                <w:color w:val="auto"/>
                <w:lang w:val="en-US" w:eastAsia="zh-CN"/>
              </w:rPr>
              <w:t>扩建后</w:t>
            </w:r>
            <w:r>
              <w:rPr>
                <w:rFonts w:hint="eastAsia" w:ascii="Times New Roman" w:hAnsi="Times New Roman" w:eastAsia="宋体"/>
                <w:b/>
                <w:bCs/>
                <w:color w:val="auto"/>
                <w:lang w:eastAsia="zh-CN"/>
              </w:rPr>
              <w:t>项目</w:t>
            </w:r>
            <w:r>
              <w:rPr>
                <w:rFonts w:hint="eastAsia" w:ascii="Times New Roman" w:hAnsi="Times New Roman" w:eastAsia="宋体"/>
                <w:b/>
                <w:bCs/>
                <w:color w:val="auto"/>
                <w:lang w:val="en-US" w:eastAsia="zh-CN"/>
              </w:rPr>
              <w:t>总</w:t>
            </w:r>
            <w:r>
              <w:rPr>
                <w:rFonts w:hint="eastAsia" w:ascii="Times New Roman" w:hAnsi="Times New Roman" w:eastAsia="宋体"/>
                <w:b/>
                <w:bCs/>
                <w:color w:val="auto"/>
                <w:lang w:eastAsia="zh-CN"/>
              </w:rPr>
              <w:t>用水量预测表(m</w:t>
            </w:r>
            <w:r>
              <w:rPr>
                <w:rFonts w:hint="eastAsia" w:ascii="Times New Roman" w:hAnsi="Times New Roman" w:eastAsia="宋体"/>
                <w:b/>
                <w:bCs/>
                <w:color w:val="auto"/>
                <w:vertAlign w:val="superscript"/>
                <w:lang w:eastAsia="zh-CN"/>
              </w:rPr>
              <w:t>3</w:t>
            </w:r>
            <w:r>
              <w:rPr>
                <w:rFonts w:hint="eastAsia" w:ascii="Times New Roman" w:hAnsi="Times New Roman" w:eastAsia="宋体"/>
                <w:b/>
                <w:bCs/>
                <w:color w:val="auto"/>
                <w:lang w:eastAsia="zh-CN"/>
              </w:rPr>
              <w:t>/d)</w:t>
            </w:r>
          </w:p>
          <w:tbl>
            <w:tblPr>
              <w:tblStyle w:val="19"/>
              <w:tblW w:w="0" w:type="auto"/>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2"/>
              <w:gridCol w:w="997"/>
              <w:gridCol w:w="1123"/>
              <w:gridCol w:w="713"/>
              <w:gridCol w:w="675"/>
              <w:gridCol w:w="679"/>
              <w:gridCol w:w="813"/>
              <w:gridCol w:w="2442"/>
            </w:tblGrid>
            <w:tr w14:paraId="2E5EB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1639"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5EE4000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类型</w:t>
                  </w:r>
                </w:p>
              </w:tc>
              <w:tc>
                <w:tcPr>
                  <w:tcW w:w="1123" w:type="dxa"/>
                  <w:tcBorders>
                    <w:top w:val="single" w:color="000000" w:sz="8" w:space="0"/>
                    <w:left w:val="nil"/>
                    <w:bottom w:val="single" w:color="000000" w:sz="8" w:space="0"/>
                    <w:right w:val="single" w:color="000000" w:sz="8" w:space="0"/>
                  </w:tcBorders>
                  <w:shd w:val="clear" w:color="auto" w:fill="auto"/>
                  <w:vAlign w:val="center"/>
                </w:tcPr>
                <w:p w14:paraId="5B5B6D3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标准</w:t>
                  </w:r>
                </w:p>
              </w:tc>
              <w:tc>
                <w:tcPr>
                  <w:tcW w:w="713" w:type="dxa"/>
                  <w:tcBorders>
                    <w:top w:val="single" w:color="000000" w:sz="8" w:space="0"/>
                    <w:left w:val="nil"/>
                    <w:bottom w:val="single" w:color="000000" w:sz="8" w:space="0"/>
                    <w:right w:val="single" w:color="000000" w:sz="8" w:space="0"/>
                  </w:tcBorders>
                  <w:shd w:val="clear" w:color="auto" w:fill="auto"/>
                  <w:vAlign w:val="center"/>
                </w:tcPr>
                <w:p w14:paraId="470F32E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用水单位</w:t>
                  </w:r>
                </w:p>
              </w:tc>
              <w:tc>
                <w:tcPr>
                  <w:tcW w:w="675" w:type="dxa"/>
                  <w:tcBorders>
                    <w:top w:val="single" w:color="000000" w:sz="8" w:space="0"/>
                    <w:left w:val="nil"/>
                    <w:bottom w:val="single" w:color="000000" w:sz="8" w:space="0"/>
                    <w:right w:val="single" w:color="000000" w:sz="8" w:space="0"/>
                  </w:tcBorders>
                  <w:shd w:val="clear" w:color="auto" w:fill="auto"/>
                  <w:vAlign w:val="center"/>
                </w:tcPr>
                <w:p w14:paraId="2E0C6C1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用水量</w:t>
                  </w:r>
                </w:p>
              </w:tc>
              <w:tc>
                <w:tcPr>
                  <w:tcW w:w="679" w:type="dxa"/>
                  <w:tcBorders>
                    <w:top w:val="single" w:color="000000" w:sz="8" w:space="0"/>
                    <w:left w:val="nil"/>
                    <w:bottom w:val="single" w:color="000000" w:sz="8" w:space="0"/>
                    <w:right w:val="single" w:color="000000" w:sz="8" w:space="0"/>
                  </w:tcBorders>
                  <w:shd w:val="clear" w:color="auto" w:fill="auto"/>
                  <w:vAlign w:val="center"/>
                </w:tcPr>
                <w:p w14:paraId="59F3D8D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排污系数</w:t>
                  </w:r>
                </w:p>
              </w:tc>
              <w:tc>
                <w:tcPr>
                  <w:tcW w:w="813" w:type="dxa"/>
                  <w:tcBorders>
                    <w:top w:val="single" w:color="000000" w:sz="8" w:space="0"/>
                    <w:left w:val="nil"/>
                    <w:bottom w:val="single" w:color="000000" w:sz="8" w:space="0"/>
                    <w:right w:val="single" w:color="000000" w:sz="8" w:space="0"/>
                  </w:tcBorders>
                  <w:shd w:val="clear" w:color="auto" w:fill="auto"/>
                  <w:vAlign w:val="center"/>
                </w:tcPr>
                <w:p w14:paraId="1D16980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污水量</w:t>
                  </w:r>
                </w:p>
              </w:tc>
              <w:tc>
                <w:tcPr>
                  <w:tcW w:w="2442" w:type="dxa"/>
                  <w:tcBorders>
                    <w:top w:val="single" w:color="000000" w:sz="8" w:space="0"/>
                    <w:left w:val="nil"/>
                    <w:bottom w:val="single" w:color="000000" w:sz="8" w:space="0"/>
                    <w:right w:val="single" w:color="000000" w:sz="8" w:space="0"/>
                  </w:tcBorders>
                  <w:shd w:val="clear" w:color="auto" w:fill="auto"/>
                  <w:vAlign w:val="center"/>
                </w:tcPr>
                <w:p w14:paraId="651CDF9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备注</w:t>
                  </w:r>
                </w:p>
              </w:tc>
            </w:tr>
            <w:tr w14:paraId="49E7C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42" w:type="dxa"/>
                  <w:vMerge w:val="restart"/>
                  <w:tcBorders>
                    <w:top w:val="nil"/>
                    <w:left w:val="single" w:color="000000" w:sz="8" w:space="0"/>
                    <w:bottom w:val="single" w:color="000000" w:sz="8" w:space="0"/>
                    <w:right w:val="single" w:color="000000" w:sz="8" w:space="0"/>
                  </w:tcBorders>
                  <w:shd w:val="clear" w:color="auto" w:fill="auto"/>
                  <w:vAlign w:val="center"/>
                </w:tcPr>
                <w:p w14:paraId="3CFF043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医疗用水</w:t>
                  </w:r>
                </w:p>
              </w:tc>
              <w:tc>
                <w:tcPr>
                  <w:tcW w:w="997" w:type="dxa"/>
                  <w:tcBorders>
                    <w:top w:val="nil"/>
                    <w:left w:val="nil"/>
                    <w:bottom w:val="single" w:color="000000" w:sz="8" w:space="0"/>
                    <w:right w:val="single" w:color="000000" w:sz="8" w:space="0"/>
                  </w:tcBorders>
                  <w:shd w:val="clear" w:color="auto" w:fill="auto"/>
                  <w:vAlign w:val="center"/>
                </w:tcPr>
                <w:p w14:paraId="7119342F">
                  <w:pPr>
                    <w:keepNext w:val="0"/>
                    <w:keepLines w:val="0"/>
                    <w:pageBreakBefore w:val="0"/>
                    <w:widowControl/>
                    <w:suppressLineNumbers w:val="0"/>
                    <w:kinsoku/>
                    <w:wordWrap/>
                    <w:overflowPunct/>
                    <w:topLinePunct w:val="0"/>
                    <w:autoSpaceDE/>
                    <w:autoSpaceDN/>
                    <w:bidi w:val="0"/>
                    <w:adjustRightInd/>
                    <w:snapToGrid/>
                    <w:ind w:firstLine="0" w:firstLineChars="0"/>
                    <w:jc w:val="left"/>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病床（带洗浴）</w:t>
                  </w:r>
                </w:p>
              </w:tc>
              <w:tc>
                <w:tcPr>
                  <w:tcW w:w="1123" w:type="dxa"/>
                  <w:tcBorders>
                    <w:top w:val="nil"/>
                    <w:left w:val="nil"/>
                    <w:bottom w:val="single" w:color="000000" w:sz="8" w:space="0"/>
                    <w:right w:val="single" w:color="000000" w:sz="8" w:space="0"/>
                  </w:tcBorders>
                  <w:shd w:val="clear" w:color="auto" w:fill="auto"/>
                  <w:vAlign w:val="center"/>
                </w:tcPr>
                <w:p w14:paraId="54227EE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300L/</w:t>
                  </w:r>
                  <w:r>
                    <w:rPr>
                      <w:rFonts w:hint="eastAsia" w:ascii="宋体" w:hAnsi="宋体" w:eastAsia="宋体" w:cs="宋体"/>
                      <w:i w:val="0"/>
                      <w:iCs w:val="0"/>
                      <w:color w:val="auto"/>
                      <w:kern w:val="0"/>
                      <w:sz w:val="21"/>
                      <w:szCs w:val="21"/>
                      <w:u w:val="none"/>
                      <w:lang w:val="en-US" w:eastAsia="zh-CN" w:bidi="ar"/>
                    </w:rPr>
                    <w:t>人</w:t>
                  </w:r>
                </w:p>
              </w:tc>
              <w:tc>
                <w:tcPr>
                  <w:tcW w:w="713" w:type="dxa"/>
                  <w:tcBorders>
                    <w:top w:val="nil"/>
                    <w:left w:val="nil"/>
                    <w:bottom w:val="single" w:color="000000" w:sz="8" w:space="0"/>
                    <w:right w:val="single" w:color="000000" w:sz="8" w:space="0"/>
                  </w:tcBorders>
                  <w:shd w:val="clear" w:color="auto" w:fill="auto"/>
                  <w:vAlign w:val="center"/>
                </w:tcPr>
                <w:p w14:paraId="0D4707A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145</w:t>
                  </w:r>
                </w:p>
              </w:tc>
              <w:tc>
                <w:tcPr>
                  <w:tcW w:w="675" w:type="dxa"/>
                  <w:tcBorders>
                    <w:top w:val="nil"/>
                    <w:left w:val="nil"/>
                    <w:bottom w:val="single" w:color="000000" w:sz="8" w:space="0"/>
                    <w:right w:val="single" w:color="000000" w:sz="8" w:space="0"/>
                  </w:tcBorders>
                  <w:shd w:val="clear" w:color="auto" w:fill="auto"/>
                  <w:vAlign w:val="center"/>
                </w:tcPr>
                <w:p w14:paraId="4A09128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43.5</w:t>
                  </w:r>
                </w:p>
              </w:tc>
              <w:tc>
                <w:tcPr>
                  <w:tcW w:w="679" w:type="dxa"/>
                  <w:tcBorders>
                    <w:top w:val="nil"/>
                    <w:left w:val="nil"/>
                    <w:bottom w:val="single" w:color="000000" w:sz="8" w:space="0"/>
                    <w:right w:val="single" w:color="000000" w:sz="8" w:space="0"/>
                  </w:tcBorders>
                  <w:shd w:val="clear" w:color="auto" w:fill="auto"/>
                  <w:vAlign w:val="center"/>
                </w:tcPr>
                <w:p w14:paraId="258EDC6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3" w:type="dxa"/>
                  <w:tcBorders>
                    <w:top w:val="nil"/>
                    <w:left w:val="nil"/>
                    <w:bottom w:val="single" w:color="000000" w:sz="8" w:space="0"/>
                    <w:right w:val="single" w:color="000000" w:sz="8" w:space="0"/>
                  </w:tcBorders>
                  <w:shd w:val="clear" w:color="auto" w:fill="auto"/>
                  <w:vAlign w:val="center"/>
                </w:tcPr>
                <w:p w14:paraId="6869A1F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34.8</w:t>
                  </w:r>
                </w:p>
              </w:tc>
              <w:tc>
                <w:tcPr>
                  <w:tcW w:w="2442" w:type="dxa"/>
                  <w:vMerge w:val="restart"/>
                  <w:tcBorders>
                    <w:top w:val="single" w:color="000000" w:sz="8" w:space="0"/>
                    <w:left w:val="nil"/>
                    <w:bottom w:val="single" w:color="000000" w:sz="8" w:space="0"/>
                    <w:right w:val="single" w:color="000000" w:sz="8" w:space="0"/>
                  </w:tcBorders>
                  <w:shd w:val="clear" w:color="auto" w:fill="auto"/>
                  <w:vAlign w:val="center"/>
                </w:tcPr>
                <w:p w14:paraId="6A81E2D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含行政及医护人员、附属设施等综合用水）</w:t>
                  </w:r>
                </w:p>
              </w:tc>
            </w:tr>
            <w:tr w14:paraId="1517FB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42" w:type="dxa"/>
                  <w:vMerge w:val="continue"/>
                  <w:tcBorders>
                    <w:top w:val="nil"/>
                    <w:left w:val="single" w:color="000000" w:sz="8" w:space="0"/>
                    <w:bottom w:val="single" w:color="000000" w:sz="8" w:space="0"/>
                    <w:right w:val="single" w:color="000000" w:sz="8" w:space="0"/>
                  </w:tcBorders>
                  <w:shd w:val="clear" w:color="auto" w:fill="auto"/>
                  <w:vAlign w:val="center"/>
                </w:tcPr>
                <w:p w14:paraId="3C624CA7">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997" w:type="dxa"/>
                  <w:tcBorders>
                    <w:top w:val="nil"/>
                    <w:left w:val="nil"/>
                    <w:bottom w:val="single" w:color="000000" w:sz="8" w:space="0"/>
                    <w:right w:val="single" w:color="000000" w:sz="8" w:space="0"/>
                  </w:tcBorders>
                  <w:shd w:val="clear" w:color="auto" w:fill="auto"/>
                  <w:vAlign w:val="center"/>
                </w:tcPr>
                <w:p w14:paraId="1D8A3D5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门诊</w:t>
                  </w:r>
                </w:p>
              </w:tc>
              <w:tc>
                <w:tcPr>
                  <w:tcW w:w="1123" w:type="dxa"/>
                  <w:tcBorders>
                    <w:top w:val="nil"/>
                    <w:left w:val="nil"/>
                    <w:bottom w:val="single" w:color="000000" w:sz="8" w:space="0"/>
                    <w:right w:val="single" w:color="000000" w:sz="8" w:space="0"/>
                  </w:tcBorders>
                  <w:shd w:val="clear" w:color="auto" w:fill="auto"/>
                  <w:vAlign w:val="center"/>
                </w:tcPr>
                <w:p w14:paraId="0C8B5B4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20L/</w:t>
                  </w:r>
                  <w:r>
                    <w:rPr>
                      <w:rFonts w:hint="eastAsia" w:ascii="宋体" w:hAnsi="宋体" w:eastAsia="宋体" w:cs="宋体"/>
                      <w:i w:val="0"/>
                      <w:iCs w:val="0"/>
                      <w:color w:val="auto"/>
                      <w:kern w:val="0"/>
                      <w:sz w:val="21"/>
                      <w:szCs w:val="21"/>
                      <w:u w:val="none"/>
                      <w:lang w:val="en-US" w:eastAsia="zh-CN" w:bidi="ar"/>
                    </w:rPr>
                    <w:t>人</w:t>
                  </w:r>
                </w:p>
              </w:tc>
              <w:tc>
                <w:tcPr>
                  <w:tcW w:w="713" w:type="dxa"/>
                  <w:tcBorders>
                    <w:top w:val="nil"/>
                    <w:left w:val="nil"/>
                    <w:bottom w:val="single" w:color="000000" w:sz="8" w:space="0"/>
                    <w:right w:val="single" w:color="000000" w:sz="8" w:space="0"/>
                  </w:tcBorders>
                  <w:shd w:val="clear" w:color="auto" w:fill="auto"/>
                  <w:vAlign w:val="center"/>
                </w:tcPr>
                <w:p w14:paraId="377803B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w:t>
                  </w:r>
                </w:p>
              </w:tc>
              <w:tc>
                <w:tcPr>
                  <w:tcW w:w="675" w:type="dxa"/>
                  <w:tcBorders>
                    <w:top w:val="nil"/>
                    <w:left w:val="nil"/>
                    <w:bottom w:val="single" w:color="000000" w:sz="8" w:space="0"/>
                    <w:right w:val="single" w:color="000000" w:sz="8" w:space="0"/>
                  </w:tcBorders>
                  <w:shd w:val="clear" w:color="auto" w:fill="auto"/>
                  <w:vAlign w:val="center"/>
                </w:tcPr>
                <w:p w14:paraId="673BED7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79" w:type="dxa"/>
                  <w:tcBorders>
                    <w:top w:val="nil"/>
                    <w:left w:val="nil"/>
                    <w:bottom w:val="single" w:color="000000" w:sz="8" w:space="0"/>
                    <w:right w:val="single" w:color="000000" w:sz="8" w:space="0"/>
                  </w:tcBorders>
                  <w:shd w:val="clear" w:color="auto" w:fill="auto"/>
                  <w:vAlign w:val="center"/>
                </w:tcPr>
                <w:p w14:paraId="0FE845D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3" w:type="dxa"/>
                  <w:tcBorders>
                    <w:top w:val="nil"/>
                    <w:left w:val="nil"/>
                    <w:bottom w:val="single" w:color="000000" w:sz="8" w:space="0"/>
                    <w:right w:val="single" w:color="000000" w:sz="8" w:space="0"/>
                  </w:tcBorders>
                  <w:shd w:val="clear" w:color="auto" w:fill="auto"/>
                  <w:vAlign w:val="center"/>
                </w:tcPr>
                <w:p w14:paraId="611674C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2442" w:type="dxa"/>
                  <w:vMerge w:val="continue"/>
                  <w:tcBorders>
                    <w:top w:val="single" w:color="000000" w:sz="8" w:space="0"/>
                    <w:left w:val="nil"/>
                    <w:bottom w:val="single" w:color="000000" w:sz="8" w:space="0"/>
                    <w:right w:val="single" w:color="000000" w:sz="8" w:space="0"/>
                  </w:tcBorders>
                  <w:shd w:val="clear" w:color="auto" w:fill="auto"/>
                  <w:vAlign w:val="center"/>
                </w:tcPr>
                <w:p w14:paraId="0C2CFACD">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r>
            <w:tr w14:paraId="005A5B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5" w:hRule="atLeast"/>
              </w:trPr>
              <w:tc>
                <w:tcPr>
                  <w:tcW w:w="642" w:type="dxa"/>
                  <w:vMerge w:val="continue"/>
                  <w:tcBorders>
                    <w:top w:val="nil"/>
                    <w:left w:val="single" w:color="000000" w:sz="8" w:space="0"/>
                    <w:bottom w:val="single" w:color="000000" w:sz="8" w:space="0"/>
                    <w:right w:val="single" w:color="000000" w:sz="8" w:space="0"/>
                  </w:tcBorders>
                  <w:shd w:val="clear" w:color="auto" w:fill="auto"/>
                  <w:vAlign w:val="center"/>
                </w:tcPr>
                <w:p w14:paraId="06F04589">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997" w:type="dxa"/>
                  <w:tcBorders>
                    <w:top w:val="nil"/>
                    <w:left w:val="nil"/>
                    <w:bottom w:val="single" w:color="000000" w:sz="8" w:space="0"/>
                    <w:right w:val="single" w:color="000000" w:sz="8" w:space="0"/>
                  </w:tcBorders>
                  <w:shd w:val="clear" w:color="auto" w:fill="auto"/>
                  <w:vAlign w:val="center"/>
                </w:tcPr>
                <w:p w14:paraId="7282A4D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检验科</w:t>
                  </w:r>
                </w:p>
              </w:tc>
              <w:tc>
                <w:tcPr>
                  <w:tcW w:w="1123" w:type="dxa"/>
                  <w:tcBorders>
                    <w:top w:val="nil"/>
                    <w:left w:val="nil"/>
                    <w:bottom w:val="single" w:color="000000" w:sz="8" w:space="0"/>
                    <w:right w:val="single" w:color="000000" w:sz="8" w:space="0"/>
                  </w:tcBorders>
                  <w:shd w:val="clear" w:color="auto" w:fill="auto"/>
                  <w:vAlign w:val="center"/>
                </w:tcPr>
                <w:p w14:paraId="7077748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r>
                    <w:rPr>
                      <w:rFonts w:hint="eastAsia" w:ascii="宋体" w:hAnsi="宋体" w:eastAsia="宋体" w:cs="宋体"/>
                      <w:i w:val="0"/>
                      <w:iCs w:val="0"/>
                      <w:color w:val="auto"/>
                      <w:kern w:val="0"/>
                      <w:sz w:val="21"/>
                      <w:szCs w:val="21"/>
                      <w:u w:val="none"/>
                      <w:lang w:val="en-US" w:eastAsia="zh-CN" w:bidi="ar"/>
                    </w:rPr>
                    <w:t>人</w:t>
                  </w:r>
                </w:p>
              </w:tc>
              <w:tc>
                <w:tcPr>
                  <w:tcW w:w="713" w:type="dxa"/>
                  <w:tcBorders>
                    <w:top w:val="nil"/>
                    <w:left w:val="nil"/>
                    <w:bottom w:val="single" w:color="000000" w:sz="8" w:space="0"/>
                    <w:right w:val="single" w:color="000000" w:sz="8" w:space="0"/>
                  </w:tcBorders>
                  <w:shd w:val="clear" w:color="auto" w:fill="auto"/>
                  <w:vAlign w:val="center"/>
                </w:tcPr>
                <w:p w14:paraId="6E1948B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50</w:t>
                  </w:r>
                  <w:r>
                    <w:rPr>
                      <w:rFonts w:hint="eastAsia" w:ascii="宋体" w:hAnsi="宋体" w:eastAsia="宋体" w:cs="宋体"/>
                      <w:i w:val="0"/>
                      <w:iCs w:val="0"/>
                      <w:color w:val="auto"/>
                      <w:kern w:val="0"/>
                      <w:sz w:val="21"/>
                      <w:szCs w:val="21"/>
                      <w:u w:val="none"/>
                      <w:lang w:val="en-US" w:eastAsia="zh-CN" w:bidi="ar"/>
                    </w:rPr>
                    <w:t>人</w:t>
                  </w:r>
                </w:p>
              </w:tc>
              <w:tc>
                <w:tcPr>
                  <w:tcW w:w="675" w:type="dxa"/>
                  <w:tcBorders>
                    <w:top w:val="nil"/>
                    <w:left w:val="nil"/>
                    <w:bottom w:val="single" w:color="000000" w:sz="8" w:space="0"/>
                    <w:right w:val="single" w:color="000000" w:sz="8" w:space="0"/>
                  </w:tcBorders>
                  <w:shd w:val="clear" w:color="auto" w:fill="auto"/>
                  <w:vAlign w:val="center"/>
                </w:tcPr>
                <w:p w14:paraId="0576D3F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5</w:t>
                  </w:r>
                </w:p>
              </w:tc>
              <w:tc>
                <w:tcPr>
                  <w:tcW w:w="679" w:type="dxa"/>
                  <w:tcBorders>
                    <w:top w:val="nil"/>
                    <w:left w:val="nil"/>
                    <w:bottom w:val="single" w:color="000000" w:sz="8" w:space="0"/>
                    <w:right w:val="single" w:color="000000" w:sz="8" w:space="0"/>
                  </w:tcBorders>
                  <w:shd w:val="clear" w:color="auto" w:fill="auto"/>
                  <w:vAlign w:val="center"/>
                </w:tcPr>
                <w:p w14:paraId="131D57A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w:t>
                  </w:r>
                </w:p>
              </w:tc>
              <w:tc>
                <w:tcPr>
                  <w:tcW w:w="813" w:type="dxa"/>
                  <w:tcBorders>
                    <w:top w:val="nil"/>
                    <w:left w:val="nil"/>
                    <w:bottom w:val="single" w:color="000000" w:sz="8" w:space="0"/>
                    <w:right w:val="single" w:color="000000" w:sz="8" w:space="0"/>
                  </w:tcBorders>
                  <w:shd w:val="clear" w:color="auto" w:fill="auto"/>
                  <w:vAlign w:val="center"/>
                </w:tcPr>
                <w:p w14:paraId="5DB9F62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Times New Roman" w:hAnsi="Times New Roman" w:eastAsia="宋体"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5</w:t>
                  </w:r>
                </w:p>
              </w:tc>
              <w:tc>
                <w:tcPr>
                  <w:tcW w:w="2442" w:type="dxa"/>
                  <w:tcBorders>
                    <w:top w:val="nil"/>
                    <w:left w:val="nil"/>
                    <w:bottom w:val="single" w:color="000000" w:sz="8" w:space="0"/>
                    <w:right w:val="single" w:color="000000" w:sz="8" w:space="0"/>
                  </w:tcBorders>
                  <w:shd w:val="clear" w:color="auto" w:fill="auto"/>
                  <w:vAlign w:val="center"/>
                </w:tcPr>
                <w:p w14:paraId="4DEB17D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经预处理设施处理后进入污水处理站处理后进入市政污水管网</w:t>
                  </w:r>
                </w:p>
              </w:tc>
            </w:tr>
            <w:tr w14:paraId="5906C1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642" w:type="dxa"/>
                  <w:tcBorders>
                    <w:top w:val="nil"/>
                    <w:left w:val="single" w:color="000000" w:sz="8" w:space="0"/>
                    <w:bottom w:val="single" w:color="000000" w:sz="8" w:space="0"/>
                    <w:right w:val="single" w:color="000000" w:sz="8" w:space="0"/>
                  </w:tcBorders>
                  <w:shd w:val="clear" w:color="auto" w:fill="auto"/>
                  <w:vAlign w:val="center"/>
                </w:tcPr>
                <w:p w14:paraId="56A22E1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生活用水</w:t>
                  </w:r>
                </w:p>
              </w:tc>
              <w:tc>
                <w:tcPr>
                  <w:tcW w:w="997" w:type="dxa"/>
                  <w:tcBorders>
                    <w:top w:val="nil"/>
                    <w:left w:val="nil"/>
                    <w:bottom w:val="single" w:color="000000" w:sz="8" w:space="0"/>
                    <w:right w:val="single" w:color="000000" w:sz="8" w:space="0"/>
                  </w:tcBorders>
                  <w:shd w:val="clear" w:color="auto" w:fill="auto"/>
                  <w:vAlign w:val="center"/>
                </w:tcPr>
                <w:p w14:paraId="46509CC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厨房</w:t>
                  </w:r>
                </w:p>
              </w:tc>
              <w:tc>
                <w:tcPr>
                  <w:tcW w:w="1123" w:type="dxa"/>
                  <w:tcBorders>
                    <w:top w:val="nil"/>
                    <w:left w:val="nil"/>
                    <w:bottom w:val="single" w:color="000000" w:sz="8" w:space="0"/>
                    <w:right w:val="single" w:color="000000" w:sz="8" w:space="0"/>
                  </w:tcBorders>
                  <w:shd w:val="clear" w:color="auto" w:fill="auto"/>
                  <w:vAlign w:val="center"/>
                </w:tcPr>
                <w:p w14:paraId="1DA4D5E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10L/</w:t>
                  </w:r>
                  <w:r>
                    <w:rPr>
                      <w:rFonts w:hint="eastAsia" w:ascii="宋体" w:hAnsi="宋体" w:eastAsia="宋体" w:cs="宋体"/>
                      <w:i w:val="0"/>
                      <w:iCs w:val="0"/>
                      <w:color w:val="auto"/>
                      <w:kern w:val="0"/>
                      <w:sz w:val="21"/>
                      <w:szCs w:val="21"/>
                      <w:u w:val="none"/>
                      <w:lang w:val="en-US" w:eastAsia="zh-CN" w:bidi="ar"/>
                    </w:rPr>
                    <w:t>（人</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天</w:t>
                  </w:r>
                  <w:r>
                    <w:rPr>
                      <w:rFonts w:hint="default" w:ascii="Times New Roman" w:hAnsi="Times New Roman" w:eastAsia="宋体" w:cs="Times New Roman"/>
                      <w:i w:val="0"/>
                      <w:iCs w:val="0"/>
                      <w:color w:val="auto"/>
                      <w:kern w:val="0"/>
                      <w:sz w:val="21"/>
                      <w:szCs w:val="21"/>
                      <w:u w:val="none"/>
                      <w:lang w:val="en-US" w:eastAsia="zh-CN" w:bidi="ar"/>
                    </w:rPr>
                    <w:t>)</w:t>
                  </w:r>
                </w:p>
              </w:tc>
              <w:tc>
                <w:tcPr>
                  <w:tcW w:w="713" w:type="dxa"/>
                  <w:tcBorders>
                    <w:top w:val="nil"/>
                    <w:left w:val="nil"/>
                    <w:bottom w:val="single" w:color="000000" w:sz="8" w:space="0"/>
                    <w:right w:val="single" w:color="000000" w:sz="8" w:space="0"/>
                  </w:tcBorders>
                  <w:shd w:val="clear" w:color="auto" w:fill="auto"/>
                  <w:vAlign w:val="center"/>
                </w:tcPr>
                <w:p w14:paraId="1665F19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65</w:t>
                  </w:r>
                  <w:r>
                    <w:rPr>
                      <w:rFonts w:hint="eastAsia" w:ascii="宋体" w:hAnsi="宋体" w:eastAsia="宋体" w:cs="宋体"/>
                      <w:i w:val="0"/>
                      <w:iCs w:val="0"/>
                      <w:color w:val="auto"/>
                      <w:kern w:val="0"/>
                      <w:sz w:val="21"/>
                      <w:szCs w:val="21"/>
                      <w:u w:val="none"/>
                      <w:lang w:val="en-US" w:eastAsia="zh-CN" w:bidi="ar"/>
                    </w:rPr>
                    <w:t>人</w:t>
                  </w:r>
                </w:p>
              </w:tc>
              <w:tc>
                <w:tcPr>
                  <w:tcW w:w="675" w:type="dxa"/>
                  <w:tcBorders>
                    <w:top w:val="nil"/>
                    <w:left w:val="nil"/>
                    <w:bottom w:val="single" w:color="000000" w:sz="8" w:space="0"/>
                    <w:right w:val="single" w:color="000000" w:sz="8" w:space="0"/>
                  </w:tcBorders>
                  <w:shd w:val="clear" w:color="auto" w:fill="auto"/>
                  <w:vAlign w:val="center"/>
                </w:tcPr>
                <w:p w14:paraId="3FA7E70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0.65</w:t>
                  </w:r>
                </w:p>
              </w:tc>
              <w:tc>
                <w:tcPr>
                  <w:tcW w:w="679" w:type="dxa"/>
                  <w:tcBorders>
                    <w:top w:val="nil"/>
                    <w:left w:val="nil"/>
                    <w:bottom w:val="single" w:color="000000" w:sz="8" w:space="0"/>
                    <w:right w:val="single" w:color="000000" w:sz="8" w:space="0"/>
                  </w:tcBorders>
                  <w:shd w:val="clear" w:color="auto" w:fill="auto"/>
                  <w:vAlign w:val="center"/>
                </w:tcPr>
                <w:p w14:paraId="0394465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w:t>
                  </w:r>
                </w:p>
              </w:tc>
              <w:tc>
                <w:tcPr>
                  <w:tcW w:w="813" w:type="dxa"/>
                  <w:tcBorders>
                    <w:top w:val="nil"/>
                    <w:left w:val="nil"/>
                    <w:bottom w:val="single" w:color="000000" w:sz="8" w:space="0"/>
                    <w:right w:val="single" w:color="000000" w:sz="8" w:space="0"/>
                  </w:tcBorders>
                  <w:shd w:val="clear" w:color="auto" w:fill="auto"/>
                  <w:vAlign w:val="center"/>
                </w:tcPr>
                <w:p w14:paraId="5015F1C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0.52</w:t>
                  </w:r>
                </w:p>
              </w:tc>
              <w:tc>
                <w:tcPr>
                  <w:tcW w:w="2442" w:type="dxa"/>
                  <w:tcBorders>
                    <w:top w:val="nil"/>
                    <w:left w:val="nil"/>
                    <w:bottom w:val="single" w:color="000000" w:sz="8" w:space="0"/>
                    <w:right w:val="single" w:color="000000" w:sz="8" w:space="0"/>
                  </w:tcBorders>
                  <w:shd w:val="clear" w:color="auto" w:fill="auto"/>
                  <w:vAlign w:val="center"/>
                </w:tcPr>
                <w:p w14:paraId="35472DE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经隔油池处理后进入化粪池</w:t>
                  </w:r>
                </w:p>
              </w:tc>
            </w:tr>
            <w:tr w14:paraId="57AABB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3475" w:type="dxa"/>
                  <w:gridSpan w:val="4"/>
                  <w:tcBorders>
                    <w:top w:val="nil"/>
                    <w:left w:val="single" w:color="000000" w:sz="8" w:space="0"/>
                    <w:bottom w:val="single" w:color="000000" w:sz="8" w:space="0"/>
                    <w:right w:val="single" w:color="000000" w:sz="8" w:space="0"/>
                  </w:tcBorders>
                  <w:shd w:val="clear" w:color="auto" w:fill="auto"/>
                  <w:vAlign w:val="center"/>
                </w:tcPr>
                <w:p w14:paraId="61E23D6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合计</w:t>
                  </w:r>
                </w:p>
              </w:tc>
              <w:tc>
                <w:tcPr>
                  <w:tcW w:w="675" w:type="dxa"/>
                  <w:tcBorders>
                    <w:top w:val="nil"/>
                    <w:left w:val="nil"/>
                    <w:bottom w:val="single" w:color="000000" w:sz="8" w:space="0"/>
                    <w:right w:val="single" w:color="000000" w:sz="8" w:space="0"/>
                  </w:tcBorders>
                  <w:shd w:val="clear" w:color="auto" w:fill="auto"/>
                  <w:vAlign w:val="center"/>
                </w:tcPr>
                <w:p w14:paraId="2E3C421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54.</w:t>
                  </w:r>
                  <w:r>
                    <w:rPr>
                      <w:rFonts w:hint="eastAsia" w:ascii="Times New Roman" w:hAnsi="Times New Roman" w:eastAsia="宋体" w:cs="Times New Roman"/>
                      <w:i w:val="0"/>
                      <w:iCs w:val="0"/>
                      <w:color w:val="auto"/>
                      <w:kern w:val="0"/>
                      <w:sz w:val="21"/>
                      <w:szCs w:val="21"/>
                      <w:u w:val="none"/>
                      <w:lang w:val="en-US" w:eastAsia="zh-CN" w:bidi="ar"/>
                    </w:rPr>
                    <w:t>3</w:t>
                  </w:r>
                </w:p>
              </w:tc>
              <w:tc>
                <w:tcPr>
                  <w:tcW w:w="679" w:type="dxa"/>
                  <w:tcBorders>
                    <w:top w:val="nil"/>
                    <w:left w:val="nil"/>
                    <w:bottom w:val="single" w:color="000000" w:sz="8" w:space="0"/>
                    <w:right w:val="single" w:color="000000" w:sz="8" w:space="0"/>
                  </w:tcBorders>
                  <w:shd w:val="clear" w:color="auto" w:fill="auto"/>
                  <w:vAlign w:val="center"/>
                </w:tcPr>
                <w:p w14:paraId="02D5BC9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3" w:type="dxa"/>
                  <w:tcBorders>
                    <w:top w:val="nil"/>
                    <w:left w:val="nil"/>
                    <w:bottom w:val="single" w:color="000000" w:sz="8" w:space="0"/>
                    <w:right w:val="single" w:color="000000" w:sz="8" w:space="0"/>
                  </w:tcBorders>
                  <w:shd w:val="clear" w:color="auto" w:fill="auto"/>
                  <w:vAlign w:val="center"/>
                </w:tcPr>
                <w:p w14:paraId="388D36A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43</w:t>
                  </w:r>
                  <w:r>
                    <w:rPr>
                      <w:rFonts w:hint="eastAsia" w:ascii="Times New Roman" w:hAnsi="Times New Roman" w:eastAsia="宋体" w:cs="Times New Roman"/>
                      <w:i w:val="0"/>
                      <w:iCs w:val="0"/>
                      <w:color w:val="auto"/>
                      <w:kern w:val="0"/>
                      <w:sz w:val="21"/>
                      <w:szCs w:val="21"/>
                      <w:u w:val="none"/>
                      <w:lang w:val="en-US" w:eastAsia="zh-CN" w:bidi="ar"/>
                    </w:rPr>
                    <w:t>.445</w:t>
                  </w:r>
                </w:p>
              </w:tc>
              <w:tc>
                <w:tcPr>
                  <w:tcW w:w="2442" w:type="dxa"/>
                  <w:tcBorders>
                    <w:top w:val="nil"/>
                    <w:left w:val="nil"/>
                    <w:bottom w:val="single" w:color="000000" w:sz="8" w:space="0"/>
                    <w:right w:val="single" w:color="000000" w:sz="8" w:space="0"/>
                  </w:tcBorders>
                  <w:shd w:val="clear" w:color="auto" w:fill="auto"/>
                  <w:vAlign w:val="center"/>
                </w:tcPr>
                <w:p w14:paraId="4CA47C3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r>
          </w:tbl>
          <w:p w14:paraId="3B192318">
            <w:pPr>
              <w:pStyle w:val="40"/>
              <w:tabs>
                <w:tab w:val="left" w:pos="2040"/>
              </w:tabs>
              <w:spacing w:line="360" w:lineRule="auto"/>
              <w:ind w:left="0" w:leftChars="0" w:firstLine="480" w:firstLineChars="200"/>
              <w:jc w:val="left"/>
              <w:rPr>
                <w:rFonts w:hint="eastAsia"/>
                <w:color w:val="auto"/>
                <w:kern w:val="0"/>
                <w:szCs w:val="24"/>
                <w:lang w:eastAsia="zh-CN"/>
              </w:rPr>
            </w:pPr>
            <w:r>
              <w:rPr>
                <w:color w:val="auto"/>
                <w:kern w:val="0"/>
                <w:szCs w:val="24"/>
              </w:rPr>
              <w:t>综上所述项目</w:t>
            </w:r>
            <w:r>
              <w:rPr>
                <w:rFonts w:hint="eastAsia"/>
                <w:color w:val="auto"/>
                <w:kern w:val="0"/>
                <w:szCs w:val="24"/>
                <w:lang w:val="en-US" w:eastAsia="zh-CN"/>
              </w:rPr>
              <w:t>扩建后总</w:t>
            </w:r>
            <w:r>
              <w:rPr>
                <w:color w:val="auto"/>
                <w:kern w:val="0"/>
                <w:szCs w:val="24"/>
              </w:rPr>
              <w:t>用水量为</w:t>
            </w:r>
            <w:r>
              <w:rPr>
                <w:rFonts w:hint="default"/>
                <w:color w:val="auto"/>
                <w:kern w:val="0"/>
                <w:szCs w:val="24"/>
                <w:lang w:val="en-US" w:eastAsia="zh-CN"/>
              </w:rPr>
              <w:t>54.</w:t>
            </w:r>
            <w:r>
              <w:rPr>
                <w:rFonts w:hint="eastAsia"/>
                <w:color w:val="auto"/>
                <w:kern w:val="0"/>
                <w:szCs w:val="24"/>
                <w:lang w:val="en-US" w:eastAsia="zh-CN"/>
              </w:rPr>
              <w:t>3</w:t>
            </w:r>
            <w:r>
              <w:rPr>
                <w:color w:val="auto"/>
                <w:kern w:val="0"/>
                <w:szCs w:val="24"/>
              </w:rPr>
              <w:t>m³/d，</w:t>
            </w:r>
            <w:r>
              <w:rPr>
                <w:rFonts w:hint="eastAsia"/>
                <w:color w:val="auto"/>
                <w:kern w:val="0"/>
                <w:szCs w:val="24"/>
                <w:lang w:val="en-US" w:eastAsia="zh-CN"/>
              </w:rPr>
              <w:t>总</w:t>
            </w:r>
            <w:r>
              <w:rPr>
                <w:color w:val="auto"/>
                <w:kern w:val="0"/>
                <w:szCs w:val="24"/>
              </w:rPr>
              <w:t>废水</w:t>
            </w:r>
            <w:r>
              <w:rPr>
                <w:rFonts w:hint="eastAsia"/>
                <w:color w:val="auto"/>
                <w:kern w:val="0"/>
                <w:szCs w:val="24"/>
                <w:lang w:val="en-US" w:eastAsia="zh-CN"/>
              </w:rPr>
              <w:t>排放43.445</w:t>
            </w:r>
            <w:r>
              <w:rPr>
                <w:color w:val="auto"/>
                <w:kern w:val="0"/>
                <w:szCs w:val="24"/>
              </w:rPr>
              <w:t>m³/d</w:t>
            </w:r>
            <w:r>
              <w:rPr>
                <w:rFonts w:hint="eastAsia"/>
                <w:color w:val="auto"/>
                <w:kern w:val="0"/>
                <w:szCs w:val="24"/>
                <w:lang w:eastAsia="zh-CN"/>
              </w:rPr>
              <w:t>。</w:t>
            </w:r>
          </w:p>
          <w:p w14:paraId="62559F3A">
            <w:pPr>
              <w:pStyle w:val="40"/>
              <w:tabs>
                <w:tab w:val="left" w:pos="2040"/>
              </w:tabs>
              <w:spacing w:line="360" w:lineRule="auto"/>
              <w:ind w:left="0" w:leftChars="0" w:firstLine="480"/>
              <w:jc w:val="left"/>
              <w:rPr>
                <w:color w:val="auto"/>
              </w:rPr>
            </w:pPr>
          </w:p>
          <w:p w14:paraId="0227B1B5">
            <w:pPr>
              <w:pStyle w:val="40"/>
              <w:tabs>
                <w:tab w:val="left" w:pos="2040"/>
              </w:tabs>
              <w:spacing w:line="360" w:lineRule="auto"/>
              <w:ind w:left="0" w:leftChars="0" w:firstLine="0" w:firstLineChars="0"/>
              <w:jc w:val="left"/>
              <w:rPr>
                <w:color w:val="auto"/>
              </w:rPr>
            </w:pPr>
          </w:p>
          <w:p w14:paraId="75F30E6E">
            <w:pPr>
              <w:pStyle w:val="40"/>
              <w:tabs>
                <w:tab w:val="left" w:pos="2040"/>
              </w:tabs>
              <w:spacing w:line="360" w:lineRule="auto"/>
              <w:ind w:left="0" w:leftChars="0" w:firstLine="480"/>
              <w:jc w:val="left"/>
              <w:rPr>
                <w:color w:val="auto"/>
              </w:rPr>
            </w:pPr>
          </w:p>
          <w:p w14:paraId="3A83AA3F">
            <w:pPr>
              <w:pStyle w:val="40"/>
              <w:tabs>
                <w:tab w:val="left" w:pos="2040"/>
              </w:tabs>
              <w:spacing w:line="360" w:lineRule="auto"/>
              <w:ind w:left="0" w:leftChars="0" w:firstLine="480"/>
              <w:jc w:val="left"/>
              <w:rPr>
                <w:color w:val="auto"/>
              </w:rPr>
            </w:pPr>
            <w:r>
              <w:rPr>
                <w:color w:val="auto"/>
              </w:rPr>
              <w:drawing>
                <wp:inline distT="0" distB="0" distL="114300" distR="114300">
                  <wp:extent cx="4972050" cy="3581400"/>
                  <wp:effectExtent l="0" t="0" r="0" b="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24"/>
                          <a:stretch>
                            <a:fillRect/>
                          </a:stretch>
                        </pic:blipFill>
                        <pic:spPr>
                          <a:xfrm>
                            <a:off x="0" y="0"/>
                            <a:ext cx="4972050" cy="3581400"/>
                          </a:xfrm>
                          <a:prstGeom prst="rect">
                            <a:avLst/>
                          </a:prstGeom>
                          <a:noFill/>
                          <a:ln>
                            <a:noFill/>
                          </a:ln>
                        </pic:spPr>
                      </pic:pic>
                    </a:graphicData>
                  </a:graphic>
                </wp:inline>
              </w:drawing>
            </w:r>
          </w:p>
          <w:p w14:paraId="3F0857D4">
            <w:pPr>
              <w:widowControl/>
              <w:ind w:firstLine="422"/>
              <w:jc w:val="center"/>
              <w:rPr>
                <w:color w:val="auto"/>
              </w:rPr>
            </w:pPr>
            <w:r>
              <w:rPr>
                <w:b/>
                <w:bCs/>
                <w:color w:val="auto"/>
                <w:sz w:val="21"/>
                <w:highlight w:val="none"/>
              </w:rPr>
              <w:t>图4-</w:t>
            </w:r>
            <w:r>
              <w:rPr>
                <w:rFonts w:hint="eastAsia"/>
                <w:b/>
                <w:bCs/>
                <w:color w:val="auto"/>
                <w:sz w:val="21"/>
                <w:highlight w:val="none"/>
                <w:lang w:val="en-US" w:eastAsia="zh-CN"/>
              </w:rPr>
              <w:t>5本</w:t>
            </w:r>
            <w:r>
              <w:rPr>
                <w:b/>
                <w:bCs/>
                <w:color w:val="auto"/>
                <w:sz w:val="21"/>
                <w:highlight w:val="none"/>
              </w:rPr>
              <w:t>项目水平衡图单位m</w:t>
            </w:r>
            <w:r>
              <w:rPr>
                <w:b/>
                <w:bCs/>
                <w:color w:val="auto"/>
                <w:sz w:val="21"/>
                <w:highlight w:val="none"/>
                <w:vertAlign w:val="superscript"/>
              </w:rPr>
              <w:t>3</w:t>
            </w:r>
            <w:r>
              <w:rPr>
                <w:b/>
                <w:bCs/>
                <w:color w:val="auto"/>
                <w:sz w:val="21"/>
                <w:highlight w:val="none"/>
              </w:rPr>
              <w:t>/d</w:t>
            </w:r>
          </w:p>
          <w:p w14:paraId="7DB1A5AF">
            <w:pPr>
              <w:pStyle w:val="40"/>
              <w:tabs>
                <w:tab w:val="left" w:pos="2040"/>
              </w:tabs>
              <w:spacing w:line="360" w:lineRule="auto"/>
              <w:jc w:val="left"/>
              <w:rPr>
                <w:color w:val="auto"/>
              </w:rPr>
            </w:pPr>
          </w:p>
          <w:p w14:paraId="0B71BA89">
            <w:pPr>
              <w:pStyle w:val="40"/>
              <w:tabs>
                <w:tab w:val="left" w:pos="2040"/>
              </w:tabs>
              <w:spacing w:line="360" w:lineRule="auto"/>
              <w:jc w:val="left"/>
              <w:rPr>
                <w:color w:val="auto"/>
              </w:rPr>
            </w:pPr>
          </w:p>
          <w:p w14:paraId="5A0223A4">
            <w:pPr>
              <w:pStyle w:val="40"/>
              <w:tabs>
                <w:tab w:val="left" w:pos="2040"/>
              </w:tabs>
              <w:spacing w:line="360" w:lineRule="auto"/>
              <w:jc w:val="left"/>
              <w:rPr>
                <w:color w:val="auto"/>
              </w:rPr>
            </w:pPr>
          </w:p>
          <w:p w14:paraId="63791EFF">
            <w:pPr>
              <w:pStyle w:val="40"/>
              <w:tabs>
                <w:tab w:val="left" w:pos="2040"/>
              </w:tabs>
              <w:spacing w:line="360" w:lineRule="auto"/>
              <w:jc w:val="left"/>
              <w:rPr>
                <w:color w:val="auto"/>
              </w:rPr>
            </w:pPr>
          </w:p>
          <w:p w14:paraId="1E47E92B">
            <w:pPr>
              <w:pStyle w:val="40"/>
              <w:tabs>
                <w:tab w:val="left" w:pos="2040"/>
              </w:tabs>
              <w:spacing w:line="360" w:lineRule="auto"/>
              <w:jc w:val="left"/>
              <w:rPr>
                <w:color w:val="auto"/>
              </w:rPr>
            </w:pPr>
          </w:p>
          <w:p w14:paraId="6E25563C">
            <w:pPr>
              <w:pStyle w:val="2"/>
              <w:rPr>
                <w:color w:val="auto"/>
              </w:rPr>
            </w:pPr>
          </w:p>
          <w:p w14:paraId="5F28BBE2">
            <w:pPr>
              <w:pStyle w:val="2"/>
              <w:rPr>
                <w:color w:val="auto"/>
              </w:rPr>
            </w:pPr>
          </w:p>
          <w:p w14:paraId="1576002A">
            <w:pPr>
              <w:pStyle w:val="2"/>
              <w:rPr>
                <w:color w:val="auto"/>
              </w:rPr>
            </w:pPr>
            <w:r>
              <w:rPr>
                <w:color w:val="auto"/>
              </w:rPr>
              <w:drawing>
                <wp:inline distT="0" distB="0" distL="114300" distR="114300">
                  <wp:extent cx="4995545" cy="3491865"/>
                  <wp:effectExtent l="0" t="0" r="14605" b="1333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25"/>
                          <a:stretch>
                            <a:fillRect/>
                          </a:stretch>
                        </pic:blipFill>
                        <pic:spPr>
                          <a:xfrm>
                            <a:off x="0" y="0"/>
                            <a:ext cx="4995545" cy="3491865"/>
                          </a:xfrm>
                          <a:prstGeom prst="rect">
                            <a:avLst/>
                          </a:prstGeom>
                          <a:noFill/>
                          <a:ln>
                            <a:noFill/>
                          </a:ln>
                        </pic:spPr>
                      </pic:pic>
                    </a:graphicData>
                  </a:graphic>
                </wp:inline>
              </w:drawing>
            </w:r>
          </w:p>
          <w:p w14:paraId="50D8C891">
            <w:pPr>
              <w:pStyle w:val="2"/>
              <w:rPr>
                <w:color w:val="auto"/>
              </w:rPr>
            </w:pPr>
          </w:p>
          <w:p w14:paraId="1254D1DC">
            <w:pPr>
              <w:widowControl/>
              <w:ind w:firstLine="422"/>
              <w:jc w:val="center"/>
              <w:rPr>
                <w:b/>
                <w:bCs/>
                <w:color w:val="auto"/>
                <w:sz w:val="21"/>
                <w:highlight w:val="none"/>
              </w:rPr>
            </w:pPr>
            <w:r>
              <w:rPr>
                <w:b/>
                <w:bCs/>
                <w:color w:val="auto"/>
                <w:sz w:val="21"/>
                <w:highlight w:val="none"/>
              </w:rPr>
              <w:t>图4-</w:t>
            </w:r>
            <w:r>
              <w:rPr>
                <w:rFonts w:hint="eastAsia"/>
                <w:b/>
                <w:bCs/>
                <w:color w:val="auto"/>
                <w:sz w:val="21"/>
                <w:highlight w:val="none"/>
                <w:lang w:val="en-US" w:eastAsia="zh-CN"/>
              </w:rPr>
              <w:t>6</w:t>
            </w:r>
            <w:r>
              <w:rPr>
                <w:b/>
                <w:bCs/>
                <w:color w:val="auto"/>
                <w:sz w:val="21"/>
                <w:highlight w:val="none"/>
              </w:rPr>
              <w:t>项目</w:t>
            </w:r>
            <w:r>
              <w:rPr>
                <w:rFonts w:hint="eastAsia"/>
                <w:b/>
                <w:bCs/>
                <w:color w:val="auto"/>
                <w:sz w:val="21"/>
                <w:highlight w:val="none"/>
                <w:lang w:eastAsia="zh-CN"/>
              </w:rPr>
              <w:t>扩建后</w:t>
            </w:r>
            <w:r>
              <w:rPr>
                <w:b/>
                <w:bCs/>
                <w:color w:val="auto"/>
                <w:sz w:val="21"/>
                <w:highlight w:val="none"/>
              </w:rPr>
              <w:t>水平衡图单位m</w:t>
            </w:r>
            <w:r>
              <w:rPr>
                <w:b/>
                <w:bCs/>
                <w:color w:val="auto"/>
                <w:sz w:val="21"/>
                <w:highlight w:val="none"/>
                <w:vertAlign w:val="superscript"/>
              </w:rPr>
              <w:t>3</w:t>
            </w:r>
            <w:r>
              <w:rPr>
                <w:b/>
                <w:bCs/>
                <w:color w:val="auto"/>
                <w:sz w:val="21"/>
                <w:highlight w:val="none"/>
              </w:rPr>
              <w:t>/d</w:t>
            </w:r>
          </w:p>
          <w:p w14:paraId="688E5FA5">
            <w:pPr>
              <w:pStyle w:val="2"/>
              <w:rPr>
                <w:color w:val="auto"/>
              </w:rPr>
            </w:pPr>
          </w:p>
          <w:p w14:paraId="5BA496E4">
            <w:pPr>
              <w:keepNext w:val="0"/>
              <w:keepLines w:val="0"/>
              <w:pageBreakBefore w:val="0"/>
              <w:widowControl/>
              <w:numPr>
                <w:ilvl w:val="0"/>
                <w:numId w:val="9"/>
              </w:numPr>
              <w:kinsoku/>
              <w:wordWrap/>
              <w:overflowPunct/>
              <w:topLinePunct w:val="0"/>
              <w:autoSpaceDE/>
              <w:autoSpaceDN/>
              <w:bidi w:val="0"/>
              <w:adjustRightInd/>
              <w:snapToGrid w:val="0"/>
              <w:spacing w:line="360" w:lineRule="auto"/>
              <w:ind w:left="0" w:leftChars="0" w:firstLine="472" w:firstLineChars="196"/>
              <w:jc w:val="both"/>
              <w:textAlignment w:val="auto"/>
              <w:outlineLvl w:val="1"/>
              <w:rPr>
                <w:rFonts w:hint="eastAsia" w:ascii="Times New Roman" w:hAnsi="Times New Roman" w:cs="Times New Roman"/>
                <w:b/>
                <w:bCs/>
                <w:color w:val="auto"/>
                <w:kern w:val="2"/>
                <w:sz w:val="24"/>
                <w:szCs w:val="24"/>
                <w:lang w:val="en-US" w:eastAsia="zh-CN" w:bidi="ar-SA"/>
              </w:rPr>
            </w:pPr>
            <w:r>
              <w:rPr>
                <w:rFonts w:hint="eastAsia" w:ascii="Times New Roman" w:hAnsi="Times New Roman" w:cs="Times New Roman"/>
                <w:b/>
                <w:bCs/>
                <w:color w:val="auto"/>
                <w:kern w:val="2"/>
                <w:sz w:val="24"/>
                <w:szCs w:val="24"/>
                <w:lang w:val="en-US" w:eastAsia="zh-CN" w:bidi="ar-SA"/>
              </w:rPr>
              <w:t>废水污染防治措施可行性技术分析</w:t>
            </w:r>
          </w:p>
          <w:p w14:paraId="43751F55">
            <w:pPr>
              <w:pStyle w:val="2"/>
              <w:rPr>
                <w:color w:val="auto"/>
                <w:sz w:val="24"/>
                <w:szCs w:val="24"/>
              </w:rPr>
            </w:pPr>
            <w:r>
              <w:rPr>
                <w:rFonts w:hint="eastAsia"/>
                <w:b/>
                <w:bCs/>
                <w:color w:val="auto"/>
                <w:sz w:val="24"/>
                <w:szCs w:val="24"/>
                <w:lang w:val="en-US" w:eastAsia="zh-CN"/>
              </w:rPr>
              <w:t>江川区医共体总院：</w:t>
            </w:r>
          </w:p>
          <w:p w14:paraId="0DA29A01">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cs="Times New Roman"/>
                <w:b w:val="0"/>
                <w:bCs w:val="0"/>
                <w:color w:val="auto"/>
                <w:kern w:val="2"/>
                <w:sz w:val="24"/>
                <w:szCs w:val="24"/>
                <w:vertAlign w:val="baseline"/>
                <w:lang w:val="en-US" w:eastAsia="zh-CN" w:bidi="ar-SA"/>
              </w:rPr>
            </w:pPr>
            <w:r>
              <w:rPr>
                <w:rFonts w:hint="eastAsia" w:cs="Times New Roman"/>
                <w:b w:val="0"/>
                <w:bCs w:val="0"/>
                <w:color w:val="auto"/>
                <w:kern w:val="2"/>
                <w:sz w:val="24"/>
                <w:szCs w:val="24"/>
                <w:vertAlign w:val="baseline"/>
                <w:lang w:val="en-US" w:eastAsia="zh-CN" w:bidi="ar-SA"/>
              </w:rPr>
              <w:t>（1）运营期废水依托处理可行性分析</w:t>
            </w:r>
          </w:p>
          <w:p w14:paraId="414707A0">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1）稳定达标运行情况</w:t>
            </w:r>
          </w:p>
          <w:p w14:paraId="34382EF5">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根据项目自行监测报告，项目废水能稳定达标排放。</w:t>
            </w:r>
          </w:p>
          <w:p w14:paraId="46EFEF43">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2）处理能力</w:t>
            </w:r>
          </w:p>
          <w:p w14:paraId="3CCF97F5">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目前检验科及牙科每天就诊人次约350人次/d，检验科及牙科废水产生总量约为0.32m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/d，目前项目一体化废水处理规模为5m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/d，满足本次扩建废水的要求。</w:t>
            </w:r>
          </w:p>
          <w:p w14:paraId="0A6F4B65">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根据建设单位提供资料，原有项目病人及职工生活污水产生量约为46.4m³/d，项目原有化粪池规模设置为75m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，满足《医疗机构废水污染物排放标准》（GB18466-2005）中“化粪池应按最高日排水量设计，停留时间为 24~36 小时”的要求。</w:t>
            </w:r>
          </w:p>
          <w:p w14:paraId="5FC46A49">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ascii="Times New Roman" w:hAnsi="Times New Roman" w:eastAsia="宋体" w:cs="Times New Roman"/>
                <w:b w:val="0"/>
                <w:bCs w:val="0"/>
                <w:color w:val="auto"/>
                <w:kern w:val="2"/>
                <w:sz w:val="24"/>
                <w:szCs w:val="24"/>
                <w:vertAlign w:val="baseline"/>
                <w:lang w:val="en-US" w:eastAsia="zh-CN" w:bidi="ar-SA"/>
              </w:rPr>
            </w:pPr>
            <w:r>
              <w:rPr>
                <w:rFonts w:hint="eastAsia" w:ascii="Times New Roman" w:hAnsi="Times New Roman" w:eastAsia="宋体" w:cs="Times New Roman"/>
                <w:b w:val="0"/>
                <w:bCs w:val="0"/>
                <w:color w:val="auto"/>
                <w:kern w:val="2"/>
                <w:sz w:val="24"/>
                <w:szCs w:val="24"/>
                <w:vertAlign w:val="baseline"/>
                <w:lang w:val="en-US" w:eastAsia="zh-CN" w:bidi="ar-SA"/>
              </w:rPr>
              <w:t>本项目已有一座规模为250m3/d污水处理站，处理工艺为“一级强化处理+消毒”（格栅→调节池→斜管沉淀→消毒→排放），扩建后废水总排放量为167.954m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/d（现项目排水为155.9m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/d），根据《医院污水处理工程技术规范》（HJ2029-2013）“医院污水处理工程设计水量应在实测或测算的基础上留有设计裕量，设计裕量宜取实测值或测算值的10%~20%。”即本项目废水处理规模至少为201.5m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/d，本项目原有废水处理规模为250m</w:t>
            </w:r>
            <w:r>
              <w:rPr>
                <w:rFonts w:hint="eastAsia"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vertAlign w:val="baseline"/>
                <w:lang w:val="en-US" w:eastAsia="zh-CN" w:bidi="ar-SA"/>
              </w:rPr>
              <w:t>/d，满足本次扩建新增废水的要求。</w:t>
            </w:r>
          </w:p>
          <w:p w14:paraId="4C4B285C">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3）处理工艺</w:t>
            </w:r>
          </w:p>
          <w:p w14:paraId="7C0C6DC4">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现江川区人民医院检验科废水与牙科废水经5m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一体化废水设施预处理后排入污水处理站处理；感染科废水经消毒后排入污水处理站处理；食堂废水经隔油池处理后，与门诊废水、住院部废水及生活污水等排入污水处理站处理。污水处理站出水水质达到《医疗机构水污染物排放标准》（GB18466-2005）表2预处理标准限值要求后，排入的污水管网，最终排入星云湖南片区污水处理厂处理。</w:t>
            </w:r>
          </w:p>
          <w:p w14:paraId="2C971113">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本项目检验科废水与污水处理站处理工艺流程图如下：</w:t>
            </w:r>
          </w:p>
          <w:p w14:paraId="4F2BB03D">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drawing>
                <wp:inline distT="0" distB="0" distL="0" distR="0">
                  <wp:extent cx="4540250" cy="967740"/>
                  <wp:effectExtent l="0" t="0" r="1270" b="7620"/>
                  <wp:docPr id="592034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34903" name="图片 1"/>
                          <pic:cNvPicPr>
                            <a:picLocks noChangeAspect="1"/>
                          </pic:cNvPicPr>
                        </pic:nvPicPr>
                        <pic:blipFill>
                          <a:blip r:embed="rId26"/>
                          <a:stretch>
                            <a:fillRect/>
                          </a:stretch>
                        </pic:blipFill>
                        <pic:spPr>
                          <a:xfrm>
                            <a:off x="0" y="0"/>
                            <a:ext cx="4540250" cy="967740"/>
                          </a:xfrm>
                          <a:prstGeom prst="rect">
                            <a:avLst/>
                          </a:prstGeom>
                        </pic:spPr>
                      </pic:pic>
                    </a:graphicData>
                  </a:graphic>
                </wp:inline>
              </w:drawing>
            </w:r>
          </w:p>
          <w:p w14:paraId="081EC6D6">
            <w:pPr>
              <w:pStyle w:val="73"/>
              <w:spacing w:before="0" w:beforeLines="0" w:beforeAutospacing="0" w:after="0" w:afterLines="0" w:afterAutospacing="0"/>
              <w:outlineLvl w:val="9"/>
              <w:rPr>
                <w:rFonts w:hint="default" w:ascii="Times New Roman" w:hAnsi="Times New Roman" w:eastAsia="宋体" w:cs="Times New Roman"/>
                <w:b/>
                <w:color w:val="auto"/>
                <w:spacing w:val="4"/>
                <w:sz w:val="21"/>
                <w:szCs w:val="21"/>
                <w:lang w:val="en-US" w:eastAsia="zh-CN"/>
              </w:rPr>
            </w:pPr>
            <w:r>
              <w:rPr>
                <w:b/>
                <w:bCs/>
                <w:color w:val="auto"/>
                <w:sz w:val="21"/>
                <w:highlight w:val="none"/>
              </w:rPr>
              <w:t>图4-</w:t>
            </w:r>
            <w:r>
              <w:rPr>
                <w:rFonts w:hint="eastAsia"/>
                <w:b/>
                <w:bCs/>
                <w:color w:val="auto"/>
                <w:sz w:val="21"/>
                <w:highlight w:val="none"/>
                <w:lang w:val="en-US" w:eastAsia="zh-CN"/>
              </w:rPr>
              <w:t>7</w:t>
            </w:r>
            <w:r>
              <w:rPr>
                <w:rFonts w:hint="default" w:ascii="Times New Roman" w:hAnsi="Times New Roman" w:eastAsia="宋体" w:cs="Times New Roman"/>
                <w:b/>
                <w:color w:val="auto"/>
                <w:spacing w:val="4"/>
                <w:sz w:val="21"/>
                <w:szCs w:val="21"/>
                <w:lang w:val="en-US" w:eastAsia="zh-CN"/>
              </w:rPr>
              <w:t xml:space="preserve"> 现有检验科废水处理工艺流程图</w:t>
            </w:r>
          </w:p>
          <w:p w14:paraId="4700D7DD">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drawing>
                <wp:inline distT="0" distB="0" distL="0" distR="0">
                  <wp:extent cx="4397375" cy="1175385"/>
                  <wp:effectExtent l="0" t="0" r="6985" b="1333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27"/>
                          <a:stretch>
                            <a:fillRect/>
                          </a:stretch>
                        </pic:blipFill>
                        <pic:spPr>
                          <a:xfrm>
                            <a:off x="0" y="0"/>
                            <a:ext cx="4399764" cy="1175937"/>
                          </a:xfrm>
                          <a:prstGeom prst="rect">
                            <a:avLst/>
                          </a:prstGeom>
                        </pic:spPr>
                      </pic:pic>
                    </a:graphicData>
                  </a:graphic>
                </wp:inline>
              </w:drawing>
            </w:r>
          </w:p>
          <w:p w14:paraId="1B94D8D6">
            <w:pPr>
              <w:pStyle w:val="73"/>
              <w:spacing w:before="0" w:beforeLines="0" w:beforeAutospacing="0" w:after="0" w:afterLines="0" w:afterAutospacing="0"/>
              <w:outlineLvl w:val="9"/>
              <w:rPr>
                <w:rFonts w:hint="default" w:ascii="Times New Roman" w:hAnsi="Times New Roman" w:eastAsia="宋体" w:cs="Times New Roman"/>
                <w:b/>
                <w:color w:val="auto"/>
                <w:spacing w:val="4"/>
                <w:sz w:val="21"/>
                <w:szCs w:val="21"/>
                <w:lang w:val="en-US" w:eastAsia="zh-CN"/>
              </w:rPr>
            </w:pPr>
            <w:r>
              <w:rPr>
                <w:b/>
                <w:bCs/>
                <w:color w:val="auto"/>
                <w:sz w:val="21"/>
                <w:highlight w:val="none"/>
              </w:rPr>
              <w:t>图4-</w:t>
            </w:r>
            <w:r>
              <w:rPr>
                <w:rFonts w:hint="eastAsia"/>
                <w:b/>
                <w:bCs/>
                <w:color w:val="auto"/>
                <w:sz w:val="21"/>
                <w:highlight w:val="none"/>
                <w:lang w:val="en-US" w:eastAsia="zh-CN"/>
              </w:rPr>
              <w:t>8</w:t>
            </w:r>
            <w:r>
              <w:rPr>
                <w:rFonts w:hint="default" w:ascii="Times New Roman" w:hAnsi="Times New Roman" w:eastAsia="宋体" w:cs="Times New Roman"/>
                <w:b/>
                <w:color w:val="auto"/>
                <w:spacing w:val="4"/>
                <w:sz w:val="21"/>
                <w:szCs w:val="21"/>
                <w:lang w:val="en-US" w:eastAsia="zh-CN"/>
              </w:rPr>
              <w:t xml:space="preserve"> 现有污水处理站处理工艺流程图</w:t>
            </w:r>
          </w:p>
          <w:p w14:paraId="516A0ED3">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（2）防治措施可行性分析</w:t>
            </w:r>
          </w:p>
          <w:p w14:paraId="53F7A6FF">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eastAsia" w:cs="Times New Roman"/>
                <w:b w:val="0"/>
                <w:bCs w:val="0"/>
                <w:color w:val="auto"/>
                <w:sz w:val="24"/>
                <w:szCs w:val="24"/>
                <w:lang w:val="en-US" w:eastAsia="zh-CN"/>
              </w:rPr>
            </w:pPr>
            <w:r>
              <w:rPr>
                <w:rFonts w:hint="eastAsia" w:cs="Times New Roman"/>
                <w:b w:val="0"/>
                <w:bCs w:val="0"/>
                <w:color w:val="auto"/>
                <w:sz w:val="24"/>
                <w:szCs w:val="24"/>
                <w:lang w:val="en-US" w:eastAsia="zh-CN"/>
              </w:rPr>
              <w:t>本项目污水处理站采用《医院污水处理工程技术规范》（HJ2029-2013）中推荐的一级处理+消毒工艺，具体的工艺流程为：污水→格栅→调节池→沉淀→消毒→排放。根据《江川区人民医院2022年自行监测（四季度）》检测结果，本项目产生的废水经院区污水处理站处理后，满足《医疗机构水污染物排放标准》（GB18466-2005）预处理标准要求后，排入市政污水管网，进入星云湖南片区污水处理厂。根据《排污许可申请与核发技术规范 医疗机构》（HJ1105-2020）表A.2医疗机构排污单位污水治理可行技术参照表，医疗废水排入城镇污水处理厂的处理工艺，一级处理+消毒工艺为可行技术。因此，本项目采取的污水治理措施是可行的。</w:t>
            </w:r>
          </w:p>
          <w:p w14:paraId="74741F7D">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废水排污污水处理厂可行性分析：</w:t>
            </w:r>
          </w:p>
          <w:p w14:paraId="4A7FB38A">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1）处理能力</w:t>
            </w:r>
          </w:p>
          <w:p w14:paraId="0902BB5A">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项目所在地污水管网已铺设到位，废水纳入当地污水管网后进入星云湖南片区污水处理厂处理。因此，本项目污水不直接对外排放，不会对当地地表水环境产生不利影响。目前，星云湖南片区污水处理厂污水处理能力1万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/d，本次扩建项目污水排放总量为166.554m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/d，仅占其处理规模的0.16%。项目外排的污水量较少，本次扩建项目产生的污废水不会对星云湖南片区污水处理厂造成较大影响。</w:t>
            </w:r>
          </w:p>
          <w:p w14:paraId="72F9DA69">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2）设计进出水水质</w:t>
            </w:r>
          </w:p>
          <w:p w14:paraId="3254B0AD">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星云湖南片区污水处理厂污水处理采用CASS活性污泥法工艺。出水水质执行《城镇污水处理厂污染物排放标准》（GB18918-2002）一级A标准，即pH6~9、COD≤50mg/L、BOD10mg/L、SS≤10mg/L、总氮≤15mg/L、总磷≤0.5mg/L、氨氮≤5mg/L。</w:t>
            </w:r>
          </w:p>
          <w:p w14:paraId="0EA63548">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综上，从处理能力、处理工艺和进出水水质分析，本项目综合污水依托星云湖南片区污水处理厂处理是可行的。</w:t>
            </w:r>
          </w:p>
          <w:p w14:paraId="51F33500">
            <w:pPr>
              <w:pStyle w:val="2"/>
              <w:rPr>
                <w:rFonts w:hint="default"/>
                <w:b/>
                <w:bCs/>
                <w:color w:val="auto"/>
                <w:sz w:val="24"/>
                <w:szCs w:val="24"/>
                <w:lang w:val="en-US" w:eastAsia="zh-CN"/>
              </w:rPr>
            </w:pPr>
            <w:r>
              <w:rPr>
                <w:rFonts w:hint="eastAsia"/>
                <w:b/>
                <w:bCs/>
                <w:color w:val="auto"/>
                <w:sz w:val="24"/>
                <w:szCs w:val="24"/>
                <w:lang w:val="en-US" w:eastAsia="zh-CN"/>
              </w:rPr>
              <w:t>江城卫生院：</w:t>
            </w:r>
          </w:p>
          <w:p w14:paraId="70C67879">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val="en-US" w:eastAsia="zh-CN"/>
              </w:rPr>
              <w:t>过渡期废水依托处理可行性分析：</w:t>
            </w:r>
          </w:p>
          <w:p w14:paraId="56C53F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kern w:val="2"/>
                <w:sz w:val="24"/>
                <w:szCs w:val="24"/>
                <w:lang w:val="en-US" w:eastAsia="zh-CN" w:bidi="ar-SA"/>
              </w:rPr>
              <w:t>过渡期水处理应急方案及建议</w:t>
            </w:r>
          </w:p>
          <w:p w14:paraId="5C8300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江城卫生院在建设过程中需拆除污水处理设施，在拆除后需过渡期建议如下：</w:t>
            </w:r>
          </w:p>
          <w:p w14:paraId="2235F0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1设置临时收集池收集医院废水；2拆除期间禁止检验科化验废水排放；3在建设期间做好排放口监测，保证污水达标排放。</w:t>
            </w:r>
          </w:p>
          <w:p w14:paraId="5D143BAB">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kern w:val="2"/>
                <w:sz w:val="24"/>
                <w:szCs w:val="24"/>
                <w:lang w:val="en-US" w:eastAsia="zh-CN" w:bidi="ar-SA"/>
              </w:rPr>
              <w:t>2</w:t>
            </w:r>
            <w:r>
              <w:rPr>
                <w:rFonts w:hint="default" w:ascii="Times New Roman" w:hAnsi="Times New Roman" w:eastAsia="宋体" w:cs="Times New Roman"/>
                <w:b w:val="0"/>
                <w:bCs w:val="0"/>
                <w:color w:val="auto"/>
                <w:kern w:val="2"/>
                <w:sz w:val="24"/>
                <w:szCs w:val="24"/>
                <w:lang w:val="en-US" w:eastAsia="zh-CN" w:bidi="ar-SA"/>
              </w:rPr>
              <w:t>）</w:t>
            </w:r>
            <w:r>
              <w:rPr>
                <w:rFonts w:hint="default" w:ascii="Times New Roman" w:hAnsi="Times New Roman" w:eastAsia="宋体" w:cs="Times New Roman"/>
                <w:b w:val="0"/>
                <w:bCs w:val="0"/>
                <w:color w:val="auto"/>
                <w:sz w:val="24"/>
                <w:szCs w:val="24"/>
                <w:lang w:val="en-US" w:eastAsia="zh-CN"/>
              </w:rPr>
              <w:t>过渡期废水处置运行情况</w:t>
            </w:r>
          </w:p>
          <w:p w14:paraId="4A7F45BB">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项目污水处理站将在施工期最后拆除，施工期间依托原有污水处理站（50m³/d），污水经污水处理站处理后接入市政管网达标排放，不再回用绿化。拆除污水处理站后需建设临时污水收集池（不小于60m³），拆除和新建同时进行</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新建污水处理站在1天内建好，污水处理站施工期间污水全部进入临时污水收集池，污水未经处理不得排入市政污水管网。</w:t>
            </w:r>
          </w:p>
          <w:p w14:paraId="32DB4544">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（2）</w:t>
            </w:r>
            <w:r>
              <w:rPr>
                <w:rFonts w:hint="eastAsia" w:cs="Times New Roman"/>
                <w:b w:val="0"/>
                <w:bCs w:val="0"/>
                <w:color w:val="auto"/>
                <w:sz w:val="24"/>
                <w:szCs w:val="24"/>
                <w:lang w:val="en-US" w:eastAsia="zh-CN"/>
              </w:rPr>
              <w:t>防治措施依托及设置可行性分析</w:t>
            </w:r>
          </w:p>
          <w:p w14:paraId="4D9B52BE">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val="en-US" w:eastAsia="zh-CN"/>
              </w:rPr>
              <w:t>）处理能力</w:t>
            </w:r>
          </w:p>
          <w:p w14:paraId="669CAFC8">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目前检验科每天就诊人次约100人次/d，扩建后新增50人次，则检验科废水产生总量约为0.15m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/d，目前项目预处理设施处理规模为</w:t>
            </w:r>
            <w:r>
              <w:rPr>
                <w:rFonts w:hint="default" w:ascii="Times New Roman" w:hAnsi="Times New Roman" w:eastAsia="宋体" w:cs="Times New Roman"/>
                <w:b w:val="0"/>
                <w:bCs w:val="0"/>
                <w:color w:val="auto"/>
                <w:sz w:val="24"/>
                <w:szCs w:val="24"/>
                <w:lang w:val="en-US" w:eastAsia="zh-CN"/>
              </w:rPr>
              <w:t>0.2m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/d(收集桶+次氯酸钠消毒）</w:t>
            </w:r>
            <w:r>
              <w:rPr>
                <w:rFonts w:hint="default" w:ascii="Times New Roman" w:hAnsi="Times New Roman" w:eastAsia="宋体" w:cs="Times New Roman"/>
                <w:b w:val="0"/>
                <w:bCs w:val="0"/>
                <w:color w:val="auto"/>
                <w:sz w:val="24"/>
                <w:szCs w:val="24"/>
                <w:lang w:val="en-US" w:eastAsia="zh-CN"/>
              </w:rPr>
              <w:t>，满足本次扩建废水的要求。</w:t>
            </w:r>
          </w:p>
          <w:p w14:paraId="232D32AB">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项目原有化粪池规模设置为50m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，满足《医疗机构废水污染物排放标准》（GB18466-2005）中“化粪池应按最高日排水量设计，停留时间为 24~36 小时”的要求。</w:t>
            </w:r>
          </w:p>
          <w:p w14:paraId="707A15E6">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本项目已有一座规模为50m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/d污水处理站，处理工艺为“一级强化处理+消毒”（格栅→调节池→斜管沉淀→消毒→排放），扩建后废水总排放量为43.445m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/d（现项目排水为32.495m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/d），根据《医院污水处理工程技术规范》（HJ2029-2013）“医院污水处理工程设计水量应在实测或测算的基础上留有设计裕量，设计裕量宜取实测值或测算值的10%。”即本项目废水处理规模至少为47.8m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/d，本项目原有废水处理规模为50m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w:t>
            </w:r>
            <w:r>
              <w:rPr>
                <w:rFonts w:hint="eastAsia" w:cs="Times New Roman"/>
                <w:b w:val="0"/>
                <w:bCs w:val="0"/>
                <w:color w:val="auto"/>
                <w:sz w:val="24"/>
                <w:szCs w:val="24"/>
                <w:lang w:val="en-US" w:eastAsia="zh-CN"/>
              </w:rPr>
              <w:t>新建的废水处理站规模不小于</w:t>
            </w:r>
            <w:r>
              <w:rPr>
                <w:rFonts w:hint="default" w:ascii="Times New Roman" w:hAnsi="Times New Roman" w:eastAsia="宋体" w:cs="Times New Roman"/>
                <w:b w:val="0"/>
                <w:bCs w:val="0"/>
                <w:color w:val="auto"/>
                <w:sz w:val="24"/>
                <w:szCs w:val="24"/>
                <w:lang w:val="en-US" w:eastAsia="zh-CN"/>
              </w:rPr>
              <w:t>50m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满足本次扩建新增废水的要求。</w:t>
            </w:r>
          </w:p>
          <w:p w14:paraId="20837032">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3）处理工艺</w:t>
            </w:r>
          </w:p>
          <w:p w14:paraId="76C9EF37">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现江城镇卫生院检验科废水依托原有0.2m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预处理设施预处理后排入污水处理站处理；食堂废水经隔油池处理后，与门诊废水、住院部废水及生活污水等排入污水处理站处理。污水处理站出水水质达到《医疗机构水污染物排放标准》（GB18466-2005）表2预处理标准限值要求后，排入</w:t>
            </w:r>
            <w:r>
              <w:rPr>
                <w:rFonts w:hint="eastAsia" w:cs="Times New Roman"/>
                <w:b w:val="0"/>
                <w:bCs w:val="0"/>
                <w:color w:val="auto"/>
                <w:sz w:val="24"/>
                <w:szCs w:val="24"/>
                <w:lang w:val="en-US" w:eastAsia="zh-CN"/>
              </w:rPr>
              <w:t>市政</w:t>
            </w:r>
            <w:r>
              <w:rPr>
                <w:rFonts w:hint="default" w:ascii="Times New Roman" w:hAnsi="Times New Roman" w:eastAsia="宋体" w:cs="Times New Roman"/>
                <w:b w:val="0"/>
                <w:bCs w:val="0"/>
                <w:color w:val="auto"/>
                <w:sz w:val="24"/>
                <w:szCs w:val="24"/>
                <w:lang w:val="en-US" w:eastAsia="zh-CN"/>
              </w:rPr>
              <w:t>污水管网，最终排入星云湖北片区污水处理厂处理。</w:t>
            </w:r>
          </w:p>
          <w:p w14:paraId="6C087CC1">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本项目检验科废水与污水处理站处理工艺流程图如下：</w:t>
            </w:r>
          </w:p>
          <w:p w14:paraId="63F2362E">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mc:AlternateContent>
                <mc:Choice Requires="wps">
                  <w:drawing>
                    <wp:anchor distT="0" distB="0" distL="114300" distR="114300" simplePos="0" relativeHeight="251712512" behindDoc="0" locked="0" layoutInCell="1" allowOverlap="1">
                      <wp:simplePos x="0" y="0"/>
                      <wp:positionH relativeFrom="column">
                        <wp:posOffset>4013835</wp:posOffset>
                      </wp:positionH>
                      <wp:positionV relativeFrom="paragraph">
                        <wp:posOffset>52705</wp:posOffset>
                      </wp:positionV>
                      <wp:extent cx="494030" cy="944880"/>
                      <wp:effectExtent l="4445" t="4445" r="15875" b="22225"/>
                      <wp:wrapNone/>
                      <wp:docPr id="102" name="文本框 102"/>
                      <wp:cNvGraphicFramePr/>
                      <a:graphic xmlns:a="http://schemas.openxmlformats.org/drawingml/2006/main">
                        <a:graphicData uri="http://schemas.microsoft.com/office/word/2010/wordprocessingShape">
                          <wps:wsp>
                            <wps:cNvSpPr txBox="1"/>
                            <wps:spPr>
                              <a:xfrm>
                                <a:off x="5907405" y="1663700"/>
                                <a:ext cx="494030" cy="9448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0DA9F53">
                                  <w:pPr>
                                    <w:ind w:left="0" w:leftChars="0" w:firstLine="0" w:firstLineChars="0"/>
                                    <w:rPr>
                                      <w:rFonts w:hint="default" w:eastAsia="宋体"/>
                                      <w:lang w:val="en-US" w:eastAsia="zh-CN"/>
                                    </w:rPr>
                                  </w:pPr>
                                  <w:r>
                                    <w:rPr>
                                      <w:rFonts w:hint="eastAsia"/>
                                      <w:lang w:val="en-US"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05pt;margin-top:4.15pt;height:74.4pt;width:38.9pt;z-index:251712512;mso-width-relative:page;mso-height-relative:page;" fillcolor="#FFFFFF [3201]" filled="t" stroked="t" coordsize="21600,21600" o:gfxdata="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ZPhOtYAAAAJAQAADwAAAAAAAAABACAAAAAiAAAAZHJzL2Rvd25yZXYueG1sUEsBAhQA&#10;FAAAAAgAh07iQFAGfOlmAgAAxgQAAA4AAAAAAAAAAQAgAAAAJQEAAGRycy9lMm9Eb2MueG1sUEsF&#10;BgAAAAAGAAYAWQEAAP0FAAAAAA==&#10;">
                      <v:fill on="t" focussize="0,0"/>
                      <v:stroke weight="0.5pt" color="#000000 [3204]" joinstyle="round"/>
                      <v:imagedata o:title=""/>
                      <o:lock v:ext="edit" aspectratio="f"/>
                      <v:textbox>
                        <w:txbxContent>
                          <w:p w14:paraId="70DA9F53">
                            <w:pPr>
                              <w:ind w:left="0" w:leftChars="0" w:firstLine="0" w:firstLineChars="0"/>
                              <w:rPr>
                                <w:rFonts w:hint="default" w:eastAsia="宋体"/>
                                <w:lang w:val="en-US" w:eastAsia="zh-CN"/>
                              </w:rPr>
                            </w:pPr>
                            <w:r>
                              <w:rPr>
                                <w:rFonts w:hint="eastAsia"/>
                                <w:lang w:val="en-US" w:eastAsia="zh-CN"/>
                              </w:rPr>
                              <w:t>污水处理站</w:t>
                            </w:r>
                          </w:p>
                        </w:txbxContent>
                      </v:textbox>
                    </v:shape>
                  </w:pict>
                </mc:Fallback>
              </mc:AlternateContent>
            </w:r>
            <w:r>
              <w:rPr>
                <w:rFonts w:hint="default" w:ascii="Times New Roman" w:hAnsi="Times New Roman" w:eastAsia="宋体" w:cs="Times New Roman"/>
                <w:b w:val="0"/>
                <w:bCs w:val="0"/>
                <w:color w:val="auto"/>
                <w:sz w:val="24"/>
                <w:szCs w:val="24"/>
                <w:lang w:val="en-US" w:eastAsia="zh-CN"/>
              </w:rPr>
              <mc:AlternateContent>
                <mc:Choice Requires="wps">
                  <w:drawing>
                    <wp:anchor distT="0" distB="0" distL="114300" distR="114300" simplePos="0" relativeHeight="251710464" behindDoc="0" locked="0" layoutInCell="1" allowOverlap="1">
                      <wp:simplePos x="0" y="0"/>
                      <wp:positionH relativeFrom="column">
                        <wp:posOffset>1678940</wp:posOffset>
                      </wp:positionH>
                      <wp:positionV relativeFrom="paragraph">
                        <wp:posOffset>12700</wp:posOffset>
                      </wp:positionV>
                      <wp:extent cx="1734820" cy="619760"/>
                      <wp:effectExtent l="4445" t="4445" r="13335" b="23495"/>
                      <wp:wrapNone/>
                      <wp:docPr id="100" name="文本框 100"/>
                      <wp:cNvGraphicFramePr/>
                      <a:graphic xmlns:a="http://schemas.openxmlformats.org/drawingml/2006/main">
                        <a:graphicData uri="http://schemas.microsoft.com/office/word/2010/wordprocessingShape">
                          <wps:wsp>
                            <wps:cNvSpPr txBox="1"/>
                            <wps:spPr>
                              <a:xfrm>
                                <a:off x="0" y="0"/>
                                <a:ext cx="1734820" cy="6197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F552F4">
                                  <w:pPr>
                                    <w:ind w:left="0" w:leftChars="0" w:firstLine="0" w:firstLineChars="0"/>
                                    <w:rPr>
                                      <w:rFonts w:hint="default" w:eastAsia="宋体"/>
                                      <w:lang w:val="en-US" w:eastAsia="zh-CN"/>
                                    </w:rPr>
                                  </w:pPr>
                                  <w:r>
                                    <w:rPr>
                                      <w:rFonts w:hint="eastAsia"/>
                                      <w:lang w:val="en-US" w:eastAsia="zh-CN"/>
                                    </w:rPr>
                                    <w:t>投药（次氯酸钠泡腾片）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2pt;margin-top:1pt;height:48.8pt;width:136.6pt;z-index:251710464;mso-width-relative:page;mso-height-relative:page;" fillcolor="#FFFFFF [3201]" filled="t" stroked="t" coordsize="21600,21600" o:gfxdata="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TgI7N1gAA&#10;AAgBAAAPAAAAAAAAAAEAIAAAACIAAABkcnMvZG93bnJldi54bWxQSwECFAAUAAAACACHTuJA9+0g&#10;F1kCAAC7BAAADgAAAAAAAAABACAAAAAlAQAAZHJzL2Uyb0RvYy54bWxQSwUGAAAAAAYABgBZAQAA&#10;8AUAAAAA&#10;">
                      <v:fill on="t" focussize="0,0"/>
                      <v:stroke weight="0.5pt" color="#000000 [3204]" joinstyle="round"/>
                      <v:imagedata o:title=""/>
                      <o:lock v:ext="edit" aspectratio="f"/>
                      <v:textbox>
                        <w:txbxContent>
                          <w:p w14:paraId="5AF552F4">
                            <w:pPr>
                              <w:ind w:left="0" w:leftChars="0" w:firstLine="0" w:firstLineChars="0"/>
                              <w:rPr>
                                <w:rFonts w:hint="default" w:eastAsia="宋体"/>
                                <w:lang w:val="en-US" w:eastAsia="zh-CN"/>
                              </w:rPr>
                            </w:pPr>
                            <w:r>
                              <w:rPr>
                                <w:rFonts w:hint="eastAsia"/>
                                <w:lang w:val="en-US" w:eastAsia="zh-CN"/>
                              </w:rPr>
                              <w:t>投药（次氯酸钠泡腾片）</w:t>
                            </w:r>
                          </w:p>
                        </w:txbxContent>
                      </v:textbox>
                    </v:shape>
                  </w:pict>
                </mc:Fallback>
              </mc:AlternateContent>
            </w:r>
            <w:r>
              <w:rPr>
                <w:rFonts w:hint="default" w:ascii="Times New Roman" w:hAnsi="Times New Roman" w:eastAsia="宋体" w:cs="Times New Roman"/>
                <w:b w:val="0"/>
                <w:bCs w:val="0"/>
                <w:color w:val="auto"/>
                <w:sz w:val="24"/>
                <w:szCs w:val="24"/>
                <w:lang w:val="en-US" w:eastAsia="zh-CN"/>
              </w:rPr>
              <mc:AlternateContent>
                <mc:Choice Requires="wps">
                  <w:drawing>
                    <wp:anchor distT="0" distB="0" distL="114300" distR="114300" simplePos="0" relativeHeight="251711488" behindDoc="0" locked="0" layoutInCell="1" allowOverlap="1">
                      <wp:simplePos x="0" y="0"/>
                      <wp:positionH relativeFrom="column">
                        <wp:posOffset>3442335</wp:posOffset>
                      </wp:positionH>
                      <wp:positionV relativeFrom="paragraph">
                        <wp:posOffset>261620</wp:posOffset>
                      </wp:positionV>
                      <wp:extent cx="572135" cy="0"/>
                      <wp:effectExtent l="0" t="50800" r="18415" b="63500"/>
                      <wp:wrapNone/>
                      <wp:docPr id="101" name="直接箭头连接符 101"/>
                      <wp:cNvGraphicFramePr/>
                      <a:graphic xmlns:a="http://schemas.openxmlformats.org/drawingml/2006/main">
                        <a:graphicData uri="http://schemas.microsoft.com/office/word/2010/wordprocessingShape">
                          <wps:wsp>
                            <wps:cNvCnPr/>
                            <wps:spPr>
                              <a:xfrm>
                                <a:off x="0" y="0"/>
                                <a:ext cx="572135"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1.05pt;margin-top:20.6pt;height:0pt;width:45.05pt;z-index:251711488;mso-width-relative:page;mso-height-relative:page;" filled="f" stroked="t" coordsize="21600,21600" o:gfxdata="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qJpr2AAAAAkBAAAPAAAAAAAAAAEAIAAAACIA&#10;AABkcnMvZG93bnJldi54bWxQSwECFAAUAAAACACHTuJAb53agwkCAADiAwAADgAAAAAAAAABACAA&#10;AAAnAQAAZHJzL2Uyb0RvYy54bWxQSwUGAAAAAAYABgBZAQAAogUAAAAA&#10;">
                      <v:fill on="f" focussize="0,0"/>
                      <v:stroke weight="1pt" color="#5B9BD5 [3204]" miterlimit="8" joinstyle="miter" endarrow="open"/>
                      <v:imagedata o:title=""/>
                      <o:lock v:ext="edit" aspectratio="f"/>
                    </v:shape>
                  </w:pict>
                </mc:Fallback>
              </mc:AlternateContent>
            </w:r>
            <w:r>
              <w:rPr>
                <w:rFonts w:hint="default" w:ascii="Times New Roman" w:hAnsi="Times New Roman" w:eastAsia="宋体" w:cs="Times New Roman"/>
                <w:b w:val="0"/>
                <w:bCs w:val="0"/>
                <w:color w:val="auto"/>
                <w:sz w:val="24"/>
                <w:szCs w:val="24"/>
                <w:lang w:val="en-US" w:eastAsia="zh-CN"/>
              </w:rPr>
              <mc:AlternateContent>
                <mc:Choice Requires="wps">
                  <w:drawing>
                    <wp:anchor distT="0" distB="0" distL="114300" distR="114300" simplePos="0" relativeHeight="251708416" behindDoc="0" locked="0" layoutInCell="1" allowOverlap="1">
                      <wp:simplePos x="0" y="0"/>
                      <wp:positionH relativeFrom="column">
                        <wp:posOffset>-32385</wp:posOffset>
                      </wp:positionH>
                      <wp:positionV relativeFrom="paragraph">
                        <wp:posOffset>87630</wp:posOffset>
                      </wp:positionV>
                      <wp:extent cx="1163320" cy="310515"/>
                      <wp:effectExtent l="4445" t="4445" r="13335" b="8890"/>
                      <wp:wrapNone/>
                      <wp:docPr id="98" name="文本框 98"/>
                      <wp:cNvGraphicFramePr/>
                      <a:graphic xmlns:a="http://schemas.openxmlformats.org/drawingml/2006/main">
                        <a:graphicData uri="http://schemas.microsoft.com/office/word/2010/wordprocessingShape">
                          <wps:wsp>
                            <wps:cNvSpPr txBox="1"/>
                            <wps:spPr>
                              <a:xfrm>
                                <a:off x="2040890" y="1903095"/>
                                <a:ext cx="1163320" cy="3105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E96DC1">
                                  <w:pPr>
                                    <w:ind w:left="0" w:leftChars="0" w:firstLine="0" w:firstLineChars="0"/>
                                    <w:rPr>
                                      <w:rFonts w:hint="default" w:eastAsia="宋体"/>
                                      <w:lang w:val="en-US" w:eastAsia="zh-CN"/>
                                    </w:rPr>
                                  </w:pPr>
                                  <w:r>
                                    <w:rPr>
                                      <w:rFonts w:hint="eastAsia"/>
                                      <w:lang w:val="en-US" w:eastAsia="zh-CN"/>
                                    </w:rPr>
                                    <w:t>检验废水收集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6.9pt;height:24.45pt;width:91.6pt;z-index:251708416;mso-width-relative:page;mso-height-relative:page;" fillcolor="#FFFFFF [3201]" filled="t" stroked="t" coordsize="21600,21600" o:gfxdata="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3oMv/UAAAACAEAAA8AAAAAAAAAAQAgAAAAIgAAAGRycy9kb3ducmV2LnhtbFBLAQIUABQA&#10;AAAIAIdO4kA83B9bZgIAAMUEAAAOAAAAAAAAAAEAIAAAACMBAABkcnMvZTJvRG9jLnhtbFBLBQYA&#10;AAAABgAGAFkBAAD7BQAAAAA=&#10;">
                      <v:fill on="t" focussize="0,0"/>
                      <v:stroke weight="0.5pt" color="#000000 [3204]" joinstyle="round"/>
                      <v:imagedata o:title=""/>
                      <o:lock v:ext="edit" aspectratio="f"/>
                      <v:textbox>
                        <w:txbxContent>
                          <w:p w14:paraId="28E96DC1">
                            <w:pPr>
                              <w:ind w:left="0" w:leftChars="0" w:firstLine="0" w:firstLineChars="0"/>
                              <w:rPr>
                                <w:rFonts w:hint="default" w:eastAsia="宋体"/>
                                <w:lang w:val="en-US" w:eastAsia="zh-CN"/>
                              </w:rPr>
                            </w:pPr>
                            <w:r>
                              <w:rPr>
                                <w:rFonts w:hint="eastAsia"/>
                                <w:lang w:val="en-US" w:eastAsia="zh-CN"/>
                              </w:rPr>
                              <w:t>检验废水收集</w:t>
                            </w:r>
                          </w:p>
                        </w:txbxContent>
                      </v:textbox>
                    </v:shape>
                  </w:pict>
                </mc:Fallback>
              </mc:AlternateContent>
            </w:r>
            <w:r>
              <w:rPr>
                <w:rFonts w:hint="default" w:ascii="Times New Roman" w:hAnsi="Times New Roman" w:eastAsia="宋体" w:cs="Times New Roman"/>
                <w:b w:val="0"/>
                <w:bCs w:val="0"/>
                <w:color w:val="auto"/>
                <w:sz w:val="24"/>
                <w:szCs w:val="24"/>
                <w:lang w:val="en-US" w:eastAsia="zh-CN"/>
              </w:rPr>
              <mc:AlternateContent>
                <mc:Choice Requires="wps">
                  <w:drawing>
                    <wp:anchor distT="0" distB="0" distL="114300" distR="114300" simplePos="0" relativeHeight="251709440" behindDoc="0" locked="0" layoutInCell="1" allowOverlap="1">
                      <wp:simplePos x="0" y="0"/>
                      <wp:positionH relativeFrom="column">
                        <wp:posOffset>1130935</wp:posOffset>
                      </wp:positionH>
                      <wp:positionV relativeFrom="paragraph">
                        <wp:posOffset>243205</wp:posOffset>
                      </wp:positionV>
                      <wp:extent cx="572135" cy="0"/>
                      <wp:effectExtent l="0" t="50800" r="18415" b="63500"/>
                      <wp:wrapNone/>
                      <wp:docPr id="99" name="直接箭头连接符 99"/>
                      <wp:cNvGraphicFramePr/>
                      <a:graphic xmlns:a="http://schemas.openxmlformats.org/drawingml/2006/main">
                        <a:graphicData uri="http://schemas.microsoft.com/office/word/2010/wordprocessingShape">
                          <wps:wsp>
                            <wps:cNvCnPr>
                              <a:stCxn id="98" idx="3"/>
                            </wps:cNvCnPr>
                            <wps:spPr>
                              <a:xfrm>
                                <a:off x="3204210" y="2058670"/>
                                <a:ext cx="572135"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9.05pt;margin-top:19.15pt;height:0pt;width:45.05pt;z-index:251709440;mso-width-relative:page;mso-height-relative:page;" filled="f" stroked="t" coordsize="21600,21600" o:gfxdata="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p1B0fYAAAACQEAAA8AAAAAAAAAAQAgAAAAIgAAAGRycy9kb3ducmV2LnhtbFBLAQIUABQA&#10;AAAIAIdO4kA940CaKQIAABMEAAAOAAAAAAAAAAEAIAAAACcBAABkcnMvZTJvRG9jLnhtbFBLBQYA&#10;AAAABgAGAFkBAADCBQAAAAA=&#10;">
                      <v:fill on="f" focussize="0,0"/>
                      <v:stroke weight="1pt" color="#5B9BD5 [3204]" miterlimit="8" joinstyle="miter" endarrow="open"/>
                      <v:imagedata o:title=""/>
                      <o:lock v:ext="edit" aspectratio="f"/>
                    </v:shape>
                  </w:pict>
                </mc:Fallback>
              </mc:AlternateContent>
            </w:r>
          </w:p>
          <w:p w14:paraId="46E077CF">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p>
          <w:p w14:paraId="4F84A647">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p>
          <w:p w14:paraId="13C149AC">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p>
          <w:p w14:paraId="0E0CB498">
            <w:pPr>
              <w:pStyle w:val="73"/>
              <w:spacing w:before="0" w:beforeLines="0" w:beforeAutospacing="0" w:after="0" w:afterLines="0" w:afterAutospacing="0"/>
              <w:outlineLvl w:val="9"/>
              <w:rPr>
                <w:rFonts w:hint="default" w:ascii="Times New Roman" w:hAnsi="Times New Roman" w:eastAsia="宋体" w:cs="Times New Roman"/>
                <w:b/>
                <w:color w:val="auto"/>
                <w:spacing w:val="4"/>
                <w:sz w:val="21"/>
                <w:szCs w:val="21"/>
                <w:lang w:val="en-US" w:eastAsia="zh-CN"/>
              </w:rPr>
            </w:pPr>
            <w:r>
              <w:rPr>
                <w:b/>
                <w:bCs/>
                <w:color w:val="auto"/>
                <w:sz w:val="21"/>
                <w:highlight w:val="none"/>
              </w:rPr>
              <w:t>图4-</w:t>
            </w:r>
            <w:r>
              <w:rPr>
                <w:rFonts w:hint="eastAsia"/>
                <w:b/>
                <w:bCs/>
                <w:color w:val="auto"/>
                <w:sz w:val="21"/>
                <w:highlight w:val="none"/>
                <w:lang w:val="en-US" w:eastAsia="zh-CN"/>
              </w:rPr>
              <w:t>9</w:t>
            </w:r>
            <w:r>
              <w:rPr>
                <w:rFonts w:hint="default" w:ascii="Times New Roman" w:hAnsi="Times New Roman" w:eastAsia="宋体" w:cs="Times New Roman"/>
                <w:b/>
                <w:color w:val="auto"/>
                <w:spacing w:val="4"/>
                <w:sz w:val="21"/>
                <w:szCs w:val="21"/>
                <w:lang w:val="en-US" w:eastAsia="zh-CN"/>
              </w:rPr>
              <w:t xml:space="preserve">  检验科废水处理工艺流程图</w:t>
            </w:r>
          </w:p>
          <w:p w14:paraId="70DF232F">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drawing>
                <wp:inline distT="0" distB="0" distL="0" distR="0">
                  <wp:extent cx="4397375" cy="1175385"/>
                  <wp:effectExtent l="0" t="0" r="3175" b="5715"/>
                  <wp:docPr id="848305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05030" name="图片 1"/>
                          <pic:cNvPicPr>
                            <a:picLocks noChangeAspect="1"/>
                          </pic:cNvPicPr>
                        </pic:nvPicPr>
                        <pic:blipFill>
                          <a:blip r:embed="rId27"/>
                          <a:stretch>
                            <a:fillRect/>
                          </a:stretch>
                        </pic:blipFill>
                        <pic:spPr>
                          <a:xfrm>
                            <a:off x="0" y="0"/>
                            <a:ext cx="4399764" cy="1175937"/>
                          </a:xfrm>
                          <a:prstGeom prst="rect">
                            <a:avLst/>
                          </a:prstGeom>
                        </pic:spPr>
                      </pic:pic>
                    </a:graphicData>
                  </a:graphic>
                </wp:inline>
              </w:drawing>
            </w:r>
          </w:p>
          <w:p w14:paraId="45607C7B">
            <w:pPr>
              <w:pStyle w:val="73"/>
              <w:spacing w:before="0" w:beforeLines="0" w:beforeAutospacing="0" w:after="0" w:afterLines="0" w:afterAutospacing="0"/>
              <w:outlineLvl w:val="9"/>
              <w:rPr>
                <w:rFonts w:hint="default" w:ascii="Times New Roman" w:hAnsi="Times New Roman" w:eastAsia="宋体" w:cs="Times New Roman"/>
                <w:b/>
                <w:color w:val="auto"/>
                <w:spacing w:val="4"/>
                <w:sz w:val="21"/>
                <w:szCs w:val="21"/>
                <w:lang w:val="en-US" w:eastAsia="zh-CN"/>
              </w:rPr>
            </w:pPr>
            <w:r>
              <w:rPr>
                <w:b/>
                <w:bCs/>
                <w:color w:val="auto"/>
                <w:sz w:val="21"/>
                <w:highlight w:val="none"/>
              </w:rPr>
              <w:t>图4-</w:t>
            </w:r>
            <w:r>
              <w:rPr>
                <w:rFonts w:hint="eastAsia"/>
                <w:b/>
                <w:bCs/>
                <w:color w:val="auto"/>
                <w:sz w:val="21"/>
                <w:highlight w:val="none"/>
                <w:lang w:val="en-US" w:eastAsia="zh-CN"/>
              </w:rPr>
              <w:t>10</w:t>
            </w:r>
            <w:r>
              <w:rPr>
                <w:rFonts w:hint="default" w:ascii="Times New Roman" w:hAnsi="Times New Roman" w:eastAsia="宋体" w:cs="Times New Roman"/>
                <w:b/>
                <w:color w:val="auto"/>
                <w:spacing w:val="4"/>
                <w:sz w:val="21"/>
                <w:szCs w:val="21"/>
                <w:lang w:val="en-US" w:eastAsia="zh-CN"/>
              </w:rPr>
              <w:t>污水处理站处理工艺流程图</w:t>
            </w:r>
          </w:p>
          <w:p w14:paraId="092BDACA">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废水排污水处理厂可行性分析：</w:t>
            </w:r>
          </w:p>
          <w:p w14:paraId="0F34148B">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星云湖北片区污水处理厂：</w:t>
            </w:r>
          </w:p>
          <w:p w14:paraId="2544D7CE">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1）处理能力</w:t>
            </w:r>
          </w:p>
          <w:p w14:paraId="500563F4">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项目所在地污水管网已铺设到位，废水纳入当地污水管网后进入星云湖北片区污水处理厂处理。因此，本项目污水不直接对外排放，不会对当地地表水环境产生不利影响。目前，星云湖北片区污水处理厂污水处理能力1万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/d，本次扩建项目污水排放总量为43.445m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/d，仅占其处理规模的0.043%。项目外排的污水量较少，本次扩建项目产生的污废水不会对星云湖北片区污水处理厂造成较大影响。</w:t>
            </w:r>
          </w:p>
          <w:p w14:paraId="4FF50D5F">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2）设计进出水水质</w:t>
            </w:r>
          </w:p>
          <w:p w14:paraId="23BE35A9">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星云湖北片区污水处理厂污水处理采用CASS活性污泥法工艺。出水水质执行《城镇污水处理厂污染物排放标准》（GB18918-2002）一级A标准，即pH6~9、COD≤50mg/L、BOD10mg/L、SS≤10mg/L、总氮≤15mg/L、总磷≤0.5mg/L、氨氮≤5mg/L。</w:t>
            </w:r>
          </w:p>
          <w:p w14:paraId="7FD23B79">
            <w:pPr>
              <w:pStyle w:val="64"/>
              <w:keepNext w:val="0"/>
              <w:keepLines w:val="0"/>
              <w:pageBreakBefore w:val="0"/>
              <w:widowControl w:val="0"/>
              <w:kinsoku/>
              <w:wordWrap/>
              <w:overflowPunct/>
              <w:topLinePunct w:val="0"/>
              <w:autoSpaceDE/>
              <w:autoSpaceDN/>
              <w:bidi w:val="0"/>
              <w:snapToGrid w:val="0"/>
              <w:spacing w:line="360" w:lineRule="auto"/>
              <w:ind w:firstLine="42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综上，从处理能力、处理工艺和进出水水质分析，本项目综合污水依托星云湖北片区污水处理厂处理是可行的。</w:t>
            </w:r>
          </w:p>
          <w:p w14:paraId="1B3E8C9B">
            <w:pPr>
              <w:pStyle w:val="2"/>
              <w:rPr>
                <w:color w:val="auto"/>
              </w:rPr>
            </w:pPr>
          </w:p>
        </w:tc>
      </w:tr>
    </w:tbl>
    <w:p w14:paraId="5EFDFA35">
      <w:pPr>
        <w:ind w:firstLine="0" w:firstLineChars="0"/>
        <w:jc w:val="center"/>
        <w:rPr>
          <w:color w:val="auto"/>
        </w:rPr>
        <w:sectPr>
          <w:pgSz w:w="11906" w:h="16838"/>
          <w:pgMar w:top="1440" w:right="1800" w:bottom="1440" w:left="1800" w:header="851" w:footer="992" w:gutter="0"/>
          <w:pgNumType w:fmt="decimal"/>
          <w:cols w:space="720" w:num="1"/>
          <w:docGrid w:type="lines" w:linePitch="312" w:charSpace="0"/>
        </w:sectPr>
      </w:pPr>
    </w:p>
    <w:tbl>
      <w:tblPr>
        <w:tblStyle w:val="19"/>
        <w:tblW w:w="1424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2"/>
        <w:gridCol w:w="14256"/>
      </w:tblGrid>
      <w:tr w14:paraId="71B8E0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17" w:hRule="atLeast"/>
        </w:trPr>
        <w:tc>
          <w:tcPr>
            <w:tcW w:w="392" w:type="dxa"/>
            <w:vAlign w:val="center"/>
          </w:tcPr>
          <w:p w14:paraId="61FEA80B">
            <w:pPr>
              <w:ind w:firstLine="0" w:firstLineChars="0"/>
              <w:jc w:val="center"/>
              <w:rPr>
                <w:color w:val="auto"/>
              </w:rPr>
            </w:pPr>
          </w:p>
        </w:tc>
        <w:tc>
          <w:tcPr>
            <w:tcW w:w="13856" w:type="dxa"/>
            <w:vAlign w:val="center"/>
          </w:tcPr>
          <w:p w14:paraId="6403490F">
            <w:pPr>
              <w:pStyle w:val="2"/>
              <w:jc w:val="left"/>
              <w:rPr>
                <w:ins w:id="52" w:author="王可以" w:date="2026-04-11T15:26:15Z"/>
                <w:rFonts w:hint="eastAsia"/>
                <w:b/>
                <w:bCs/>
                <w:color w:val="auto"/>
                <w:kern w:val="0"/>
                <w:sz w:val="28"/>
                <w:szCs w:val="28"/>
                <w:lang w:val="en-US" w:eastAsia="zh-CN"/>
              </w:rPr>
            </w:pPr>
            <w:r>
              <w:rPr>
                <w:rFonts w:hint="eastAsia"/>
                <w:b/>
                <w:bCs/>
                <w:color w:val="auto"/>
                <w:kern w:val="0"/>
                <w:sz w:val="28"/>
                <w:szCs w:val="28"/>
                <w:lang w:val="en-US" w:eastAsia="zh-CN"/>
              </w:rPr>
              <w:t>3、废水污染源源强核算结果汇总：</w:t>
            </w:r>
          </w:p>
          <w:p w14:paraId="403D58C6">
            <w:pPr>
              <w:pStyle w:val="40"/>
              <w:tabs>
                <w:tab w:val="left" w:pos="2040"/>
              </w:tabs>
              <w:spacing w:line="360" w:lineRule="auto"/>
              <w:ind w:firstLine="480"/>
              <w:jc w:val="left"/>
              <w:rPr>
                <w:rFonts w:hint="eastAsia"/>
                <w:b/>
                <w:bCs/>
                <w:color w:val="auto"/>
                <w:kern w:val="0"/>
                <w:szCs w:val="24"/>
                <w:lang w:val="en-US" w:eastAsia="zh-CN"/>
              </w:rPr>
            </w:pPr>
            <w:r>
              <w:rPr>
                <w:rFonts w:hint="eastAsia"/>
                <w:b/>
                <w:bCs/>
                <w:color w:val="auto"/>
                <w:kern w:val="0"/>
                <w:szCs w:val="24"/>
                <w:lang w:val="en-US" w:eastAsia="zh-CN"/>
              </w:rPr>
              <w:t>江川区医共体总院：</w:t>
            </w:r>
          </w:p>
          <w:p w14:paraId="3319C3ED">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7江川区医共体总院</w:t>
            </w:r>
            <w:r>
              <w:rPr>
                <w:rFonts w:ascii="Times New Roman" w:hAnsi="Times New Roman" w:eastAsia="宋体"/>
                <w:b/>
                <w:bCs/>
                <w:color w:val="auto"/>
              </w:rPr>
              <w:t>污水处理站废水污染源源强核算结果及相关参数一览表</w:t>
            </w:r>
          </w:p>
          <w:tbl>
            <w:tblPr>
              <w:tblStyle w:val="19"/>
              <w:tblW w:w="0" w:type="auto"/>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17"/>
              <w:gridCol w:w="884"/>
              <w:gridCol w:w="1056"/>
              <w:gridCol w:w="821"/>
              <w:gridCol w:w="849"/>
              <w:gridCol w:w="1228"/>
              <w:gridCol w:w="1156"/>
              <w:gridCol w:w="1689"/>
              <w:gridCol w:w="900"/>
              <w:gridCol w:w="857"/>
              <w:gridCol w:w="692"/>
              <w:gridCol w:w="1128"/>
              <w:gridCol w:w="1056"/>
              <w:gridCol w:w="897"/>
            </w:tblGrid>
            <w:tr w14:paraId="2AB0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0" w:type="auto"/>
                  <w:vMerge w:val="restart"/>
                  <w:shd w:val="clear" w:color="auto" w:fill="auto"/>
                  <w:vAlign w:val="center"/>
                </w:tcPr>
                <w:p w14:paraId="33CF36A6">
                  <w:pPr>
                    <w:pStyle w:val="2"/>
                    <w:jc w:val="center"/>
                    <w:rPr>
                      <w:rFonts w:hint="eastAsia"/>
                      <w:color w:val="auto"/>
                    </w:rPr>
                  </w:pPr>
                  <w:r>
                    <w:rPr>
                      <w:rFonts w:hint="eastAsia"/>
                      <w:color w:val="auto"/>
                      <w:lang w:val="en-US" w:eastAsia="zh-CN"/>
                    </w:rPr>
                    <w:t>工序</w:t>
                  </w:r>
                  <w:r>
                    <w:rPr>
                      <w:color w:val="auto"/>
                      <w:lang w:val="en-US" w:eastAsia="zh-CN"/>
                    </w:rPr>
                    <w:t>/生产线</w:t>
                  </w:r>
                </w:p>
              </w:tc>
              <w:tc>
                <w:tcPr>
                  <w:tcW w:w="0" w:type="auto"/>
                  <w:vMerge w:val="restart"/>
                  <w:shd w:val="clear" w:color="auto" w:fill="auto"/>
                  <w:vAlign w:val="center"/>
                </w:tcPr>
                <w:p w14:paraId="792A7E7D">
                  <w:pPr>
                    <w:pStyle w:val="2"/>
                    <w:jc w:val="center"/>
                    <w:rPr>
                      <w:rFonts w:hint="eastAsia"/>
                      <w:color w:val="auto"/>
                    </w:rPr>
                  </w:pPr>
                  <w:r>
                    <w:rPr>
                      <w:rFonts w:hint="eastAsia"/>
                      <w:color w:val="auto"/>
                      <w:lang w:val="en-US" w:eastAsia="zh-CN"/>
                    </w:rPr>
                    <w:t>装置及污染源</w:t>
                  </w:r>
                </w:p>
              </w:tc>
              <w:tc>
                <w:tcPr>
                  <w:tcW w:w="0" w:type="auto"/>
                  <w:vMerge w:val="restart"/>
                  <w:shd w:val="clear" w:color="auto" w:fill="auto"/>
                  <w:vAlign w:val="center"/>
                </w:tcPr>
                <w:p w14:paraId="1966CA80">
                  <w:pPr>
                    <w:pStyle w:val="2"/>
                    <w:jc w:val="center"/>
                    <w:rPr>
                      <w:rFonts w:hint="eastAsia"/>
                      <w:color w:val="auto"/>
                    </w:rPr>
                  </w:pPr>
                  <w:r>
                    <w:rPr>
                      <w:rFonts w:hint="eastAsia"/>
                      <w:color w:val="auto"/>
                      <w:lang w:val="en-US" w:eastAsia="zh-CN"/>
                    </w:rPr>
                    <w:t>污染</w:t>
                  </w:r>
                  <w:r>
                    <w:rPr>
                      <w:color w:val="auto"/>
                      <w:lang w:val="en-US" w:eastAsia="zh-CN"/>
                    </w:rPr>
                    <w:t>物</w:t>
                  </w:r>
                </w:p>
              </w:tc>
              <w:tc>
                <w:tcPr>
                  <w:tcW w:w="0" w:type="auto"/>
                  <w:gridSpan w:val="4"/>
                  <w:shd w:val="clear" w:color="auto" w:fill="auto"/>
                  <w:vAlign w:val="center"/>
                </w:tcPr>
                <w:p w14:paraId="7F211373">
                  <w:pPr>
                    <w:pStyle w:val="2"/>
                    <w:jc w:val="center"/>
                    <w:rPr>
                      <w:rFonts w:hint="eastAsia"/>
                      <w:color w:val="auto"/>
                    </w:rPr>
                  </w:pPr>
                  <w:r>
                    <w:rPr>
                      <w:rFonts w:hint="eastAsia"/>
                      <w:color w:val="auto"/>
                      <w:lang w:val="en-US" w:eastAsia="zh-CN"/>
                    </w:rPr>
                    <w:t>污染物产生</w:t>
                  </w:r>
                </w:p>
              </w:tc>
              <w:tc>
                <w:tcPr>
                  <w:tcW w:w="2589" w:type="dxa"/>
                  <w:gridSpan w:val="2"/>
                  <w:shd w:val="clear" w:color="auto" w:fill="auto"/>
                  <w:vAlign w:val="center"/>
                </w:tcPr>
                <w:p w14:paraId="74D6F672">
                  <w:pPr>
                    <w:pStyle w:val="2"/>
                    <w:jc w:val="center"/>
                    <w:rPr>
                      <w:rFonts w:hint="eastAsia"/>
                      <w:color w:val="auto"/>
                    </w:rPr>
                  </w:pPr>
                  <w:r>
                    <w:rPr>
                      <w:rFonts w:hint="eastAsia"/>
                      <w:color w:val="auto"/>
                      <w:lang w:val="en-US" w:eastAsia="zh-CN"/>
                    </w:rPr>
                    <w:t>治理措施</w:t>
                  </w:r>
                </w:p>
              </w:tc>
              <w:tc>
                <w:tcPr>
                  <w:tcW w:w="3733" w:type="dxa"/>
                  <w:gridSpan w:val="4"/>
                  <w:shd w:val="clear" w:color="auto" w:fill="auto"/>
                  <w:vAlign w:val="center"/>
                </w:tcPr>
                <w:p w14:paraId="33F38324">
                  <w:pPr>
                    <w:pStyle w:val="2"/>
                    <w:jc w:val="center"/>
                    <w:rPr>
                      <w:rFonts w:hint="eastAsia"/>
                      <w:color w:val="auto"/>
                    </w:rPr>
                  </w:pPr>
                  <w:r>
                    <w:rPr>
                      <w:rFonts w:hint="eastAsia"/>
                      <w:color w:val="auto"/>
                      <w:lang w:val="en-US" w:eastAsia="zh-CN"/>
                    </w:rPr>
                    <w:t>污染物排放</w:t>
                  </w:r>
                </w:p>
              </w:tc>
              <w:tc>
                <w:tcPr>
                  <w:tcW w:w="0" w:type="auto"/>
                  <w:shd w:val="clear" w:color="auto" w:fill="auto"/>
                  <w:vAlign w:val="center"/>
                </w:tcPr>
                <w:p w14:paraId="23C75139">
                  <w:pPr>
                    <w:pStyle w:val="2"/>
                    <w:jc w:val="center"/>
                    <w:rPr>
                      <w:rFonts w:hint="eastAsia" w:ascii="宋体" w:hAnsi="宋体" w:eastAsia="宋体" w:cs="宋体"/>
                      <w:b/>
                      <w:bCs/>
                      <w:i w:val="0"/>
                      <w:iCs w:val="0"/>
                      <w:color w:val="auto"/>
                      <w:sz w:val="18"/>
                      <w:szCs w:val="18"/>
                      <w:u w:val="none"/>
                    </w:rPr>
                  </w:pPr>
                  <w:r>
                    <w:rPr>
                      <w:rFonts w:hint="eastAsia"/>
                      <w:color w:val="auto"/>
                      <w:lang w:val="en-US" w:eastAsia="zh-CN"/>
                    </w:rPr>
                    <w:t>年排放时间</w:t>
                  </w:r>
                </w:p>
              </w:tc>
            </w:tr>
            <w:tr w14:paraId="0789D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75" w:hRule="atLeast"/>
              </w:trPr>
              <w:tc>
                <w:tcPr>
                  <w:tcW w:w="0" w:type="auto"/>
                  <w:vMerge w:val="continue"/>
                  <w:shd w:val="clear" w:color="auto" w:fill="auto"/>
                  <w:vAlign w:val="center"/>
                </w:tcPr>
                <w:p w14:paraId="7BFFC064">
                  <w:pPr>
                    <w:pStyle w:val="2"/>
                    <w:jc w:val="center"/>
                    <w:rPr>
                      <w:rFonts w:hint="default"/>
                      <w:color w:val="auto"/>
                    </w:rPr>
                  </w:pPr>
                </w:p>
              </w:tc>
              <w:tc>
                <w:tcPr>
                  <w:tcW w:w="0" w:type="auto"/>
                  <w:vMerge w:val="continue"/>
                  <w:shd w:val="clear" w:color="auto" w:fill="auto"/>
                  <w:vAlign w:val="center"/>
                </w:tcPr>
                <w:p w14:paraId="61C69451">
                  <w:pPr>
                    <w:pStyle w:val="2"/>
                    <w:jc w:val="center"/>
                    <w:rPr>
                      <w:rFonts w:hint="default"/>
                      <w:color w:val="auto"/>
                    </w:rPr>
                  </w:pPr>
                </w:p>
              </w:tc>
              <w:tc>
                <w:tcPr>
                  <w:tcW w:w="0" w:type="auto"/>
                  <w:vMerge w:val="continue"/>
                  <w:shd w:val="clear" w:color="auto" w:fill="auto"/>
                  <w:vAlign w:val="center"/>
                </w:tcPr>
                <w:p w14:paraId="14D68300">
                  <w:pPr>
                    <w:pStyle w:val="2"/>
                    <w:jc w:val="center"/>
                    <w:rPr>
                      <w:rFonts w:hint="default"/>
                      <w:color w:val="auto"/>
                    </w:rPr>
                  </w:pPr>
                </w:p>
              </w:tc>
              <w:tc>
                <w:tcPr>
                  <w:tcW w:w="821" w:type="dxa"/>
                  <w:shd w:val="clear" w:color="auto" w:fill="auto"/>
                  <w:vAlign w:val="center"/>
                </w:tcPr>
                <w:p w14:paraId="01BCC8D6">
                  <w:pPr>
                    <w:pStyle w:val="2"/>
                    <w:jc w:val="center"/>
                    <w:rPr>
                      <w:rFonts w:hint="eastAsia"/>
                      <w:color w:val="auto"/>
                    </w:rPr>
                  </w:pPr>
                  <w:r>
                    <w:rPr>
                      <w:rFonts w:hint="eastAsia"/>
                      <w:color w:val="auto"/>
                      <w:lang w:val="en-US" w:eastAsia="zh-CN"/>
                    </w:rPr>
                    <w:t>核算方法</w:t>
                  </w:r>
                </w:p>
              </w:tc>
              <w:tc>
                <w:tcPr>
                  <w:tcW w:w="849" w:type="dxa"/>
                  <w:shd w:val="clear" w:color="auto" w:fill="auto"/>
                  <w:vAlign w:val="center"/>
                </w:tcPr>
                <w:p w14:paraId="6128155A">
                  <w:pPr>
                    <w:pStyle w:val="2"/>
                    <w:jc w:val="center"/>
                    <w:rPr>
                      <w:rFonts w:hint="eastAsia"/>
                      <w:color w:val="auto"/>
                      <w:lang w:val="en-US" w:eastAsia="zh-CN"/>
                    </w:rPr>
                  </w:pPr>
                  <w:r>
                    <w:rPr>
                      <w:rFonts w:hint="eastAsia"/>
                      <w:color w:val="auto"/>
                      <w:lang w:val="en-US" w:eastAsia="zh-CN"/>
                    </w:rPr>
                    <w:t>产生</w:t>
                  </w:r>
                </w:p>
                <w:p w14:paraId="0A8C1E70">
                  <w:pPr>
                    <w:pStyle w:val="2"/>
                    <w:jc w:val="center"/>
                    <w:rPr>
                      <w:rFonts w:hint="eastAsia"/>
                      <w:color w:val="auto"/>
                    </w:rPr>
                  </w:pPr>
                  <w:r>
                    <w:rPr>
                      <w:rFonts w:hint="eastAsia"/>
                      <w:color w:val="auto"/>
                      <w:lang w:val="en-US" w:eastAsia="zh-CN"/>
                    </w:rPr>
                    <w:t>废水</w:t>
                  </w:r>
                  <w:r>
                    <w:rPr>
                      <w:color w:val="auto"/>
                      <w:lang w:val="en-US" w:eastAsia="zh-CN"/>
                    </w:rPr>
                    <w:t>量（m</w:t>
                  </w:r>
                  <w:r>
                    <w:rPr>
                      <w:color w:val="auto"/>
                      <w:vertAlign w:val="superscript"/>
                      <w:lang w:val="en-US" w:eastAsia="zh-CN"/>
                    </w:rPr>
                    <w:t>3</w:t>
                  </w:r>
                  <w:r>
                    <w:rPr>
                      <w:color w:val="auto"/>
                      <w:lang w:val="en-US" w:eastAsia="zh-CN"/>
                    </w:rPr>
                    <w:t>/</w:t>
                  </w:r>
                </w:p>
                <w:p w14:paraId="1599A181">
                  <w:pPr>
                    <w:pStyle w:val="2"/>
                    <w:jc w:val="center"/>
                    <w:rPr>
                      <w:rFonts w:hint="default"/>
                      <w:color w:val="auto"/>
                    </w:rPr>
                  </w:pPr>
                  <w:r>
                    <w:rPr>
                      <w:rFonts w:hint="default"/>
                      <w:color w:val="auto"/>
                      <w:lang w:val="en-US" w:eastAsia="zh-CN"/>
                    </w:rPr>
                    <w:t>d</w:t>
                  </w:r>
                  <w:r>
                    <w:rPr>
                      <w:color w:val="auto"/>
                      <w:lang w:val="en-US" w:eastAsia="zh-CN"/>
                    </w:rPr>
                    <w:t>）</w:t>
                  </w:r>
                </w:p>
              </w:tc>
              <w:tc>
                <w:tcPr>
                  <w:tcW w:w="0" w:type="auto"/>
                  <w:shd w:val="clear" w:color="auto" w:fill="auto"/>
                  <w:vAlign w:val="center"/>
                </w:tcPr>
                <w:p w14:paraId="1F12B9D0">
                  <w:pPr>
                    <w:pStyle w:val="2"/>
                    <w:jc w:val="center"/>
                    <w:rPr>
                      <w:rFonts w:hint="eastAsia"/>
                      <w:color w:val="auto"/>
                      <w:lang w:val="en-US" w:eastAsia="zh-CN"/>
                    </w:rPr>
                  </w:pPr>
                  <w:r>
                    <w:rPr>
                      <w:rFonts w:hint="eastAsia"/>
                      <w:color w:val="auto"/>
                      <w:lang w:val="en-US" w:eastAsia="zh-CN"/>
                    </w:rPr>
                    <w:t>产生</w:t>
                  </w:r>
                </w:p>
                <w:p w14:paraId="6DE0465B">
                  <w:pPr>
                    <w:pStyle w:val="2"/>
                    <w:jc w:val="center"/>
                    <w:rPr>
                      <w:rFonts w:hint="eastAsia"/>
                      <w:color w:val="auto"/>
                    </w:rPr>
                  </w:pPr>
                  <w:r>
                    <w:rPr>
                      <w:rFonts w:hint="eastAsia"/>
                      <w:color w:val="auto"/>
                      <w:lang w:val="en-US" w:eastAsia="zh-CN"/>
                    </w:rPr>
                    <w:t>浓度</w:t>
                  </w:r>
                </w:p>
                <w:p w14:paraId="04545C5E">
                  <w:pPr>
                    <w:pStyle w:val="2"/>
                    <w:jc w:val="center"/>
                    <w:rPr>
                      <w:rFonts w:hint="eastAsia"/>
                      <w:color w:val="auto"/>
                    </w:rPr>
                  </w:pPr>
                  <w:r>
                    <w:rPr>
                      <w:rFonts w:hint="eastAsia"/>
                      <w:color w:val="auto"/>
                      <w:lang w:val="en-US" w:eastAsia="zh-CN"/>
                    </w:rPr>
                    <w:t>（</w:t>
                  </w:r>
                  <w:r>
                    <w:rPr>
                      <w:color w:val="auto"/>
                      <w:lang w:val="en-US" w:eastAsia="zh-CN"/>
                    </w:rPr>
                    <w:t>m</w:t>
                  </w:r>
                </w:p>
                <w:p w14:paraId="760992DB">
                  <w:pPr>
                    <w:pStyle w:val="2"/>
                    <w:jc w:val="center"/>
                    <w:rPr>
                      <w:rFonts w:hint="default"/>
                      <w:color w:val="auto"/>
                    </w:rPr>
                  </w:pPr>
                  <w:r>
                    <w:rPr>
                      <w:rFonts w:hint="default"/>
                      <w:color w:val="auto"/>
                      <w:lang w:val="en-US" w:eastAsia="zh-CN"/>
                    </w:rPr>
                    <w:t>g/L</w:t>
                  </w:r>
                  <w:r>
                    <w:rPr>
                      <w:color w:val="auto"/>
                      <w:lang w:val="en-US" w:eastAsia="zh-CN"/>
                    </w:rPr>
                    <w:t>）</w:t>
                  </w:r>
                </w:p>
              </w:tc>
              <w:tc>
                <w:tcPr>
                  <w:tcW w:w="0" w:type="auto"/>
                  <w:shd w:val="clear" w:color="auto" w:fill="auto"/>
                  <w:vAlign w:val="center"/>
                </w:tcPr>
                <w:p w14:paraId="0991DA08">
                  <w:pPr>
                    <w:pStyle w:val="2"/>
                    <w:jc w:val="center"/>
                    <w:rPr>
                      <w:rFonts w:hint="eastAsia"/>
                      <w:color w:val="auto"/>
                      <w:lang w:val="en-US" w:eastAsia="zh-CN"/>
                    </w:rPr>
                  </w:pPr>
                  <w:r>
                    <w:rPr>
                      <w:rFonts w:hint="eastAsia"/>
                      <w:color w:val="auto"/>
                      <w:lang w:val="en-US" w:eastAsia="zh-CN"/>
                    </w:rPr>
                    <w:t>产生量（</w:t>
                  </w:r>
                  <w:r>
                    <w:rPr>
                      <w:color w:val="auto"/>
                      <w:lang w:val="en-US" w:eastAsia="zh-CN"/>
                    </w:rPr>
                    <w:t>kg/d</w:t>
                  </w:r>
                </w:p>
                <w:p w14:paraId="4610980F">
                  <w:pPr>
                    <w:pStyle w:val="2"/>
                    <w:jc w:val="center"/>
                    <w:rPr>
                      <w:rFonts w:hint="eastAsia"/>
                      <w:color w:val="auto"/>
                    </w:rPr>
                  </w:pPr>
                  <w:r>
                    <w:rPr>
                      <w:rFonts w:hint="eastAsia"/>
                      <w:color w:val="auto"/>
                      <w:lang w:val="en-US" w:eastAsia="zh-CN"/>
                    </w:rPr>
                    <w:t>)</w:t>
                  </w:r>
                </w:p>
              </w:tc>
              <w:tc>
                <w:tcPr>
                  <w:tcW w:w="1689" w:type="dxa"/>
                  <w:shd w:val="clear" w:color="auto" w:fill="auto"/>
                  <w:vAlign w:val="center"/>
                </w:tcPr>
                <w:p w14:paraId="07A5D4D0">
                  <w:pPr>
                    <w:pStyle w:val="2"/>
                    <w:jc w:val="center"/>
                    <w:rPr>
                      <w:rFonts w:hint="eastAsia"/>
                      <w:color w:val="auto"/>
                    </w:rPr>
                  </w:pPr>
                  <w:r>
                    <w:rPr>
                      <w:rFonts w:hint="eastAsia"/>
                      <w:color w:val="auto"/>
                      <w:lang w:val="en-US" w:eastAsia="zh-CN"/>
                    </w:rPr>
                    <w:t>工艺</w:t>
                  </w:r>
                </w:p>
              </w:tc>
              <w:tc>
                <w:tcPr>
                  <w:tcW w:w="900" w:type="dxa"/>
                  <w:shd w:val="clear" w:color="auto" w:fill="auto"/>
                  <w:vAlign w:val="center"/>
                </w:tcPr>
                <w:p w14:paraId="030007F0">
                  <w:pPr>
                    <w:pStyle w:val="2"/>
                    <w:jc w:val="center"/>
                    <w:rPr>
                      <w:rFonts w:hint="eastAsia"/>
                      <w:color w:val="auto"/>
                      <w:lang w:val="en-US" w:eastAsia="zh-CN"/>
                    </w:rPr>
                  </w:pPr>
                  <w:r>
                    <w:rPr>
                      <w:rFonts w:hint="eastAsia"/>
                      <w:color w:val="auto"/>
                      <w:lang w:val="en-US" w:eastAsia="zh-CN"/>
                    </w:rPr>
                    <w:t>效</w:t>
                  </w:r>
                </w:p>
                <w:p w14:paraId="39A380E1">
                  <w:pPr>
                    <w:pStyle w:val="2"/>
                    <w:jc w:val="center"/>
                    <w:rPr>
                      <w:rFonts w:hint="eastAsia"/>
                      <w:color w:val="auto"/>
                    </w:rPr>
                  </w:pPr>
                  <w:r>
                    <w:rPr>
                      <w:rFonts w:hint="eastAsia"/>
                      <w:color w:val="auto"/>
                      <w:lang w:val="en-US" w:eastAsia="zh-CN"/>
                    </w:rPr>
                    <w:t>率</w:t>
                  </w:r>
                  <w:r>
                    <w:rPr>
                      <w:color w:val="auto"/>
                      <w:lang w:val="en-US" w:eastAsia="zh-CN"/>
                    </w:rPr>
                    <w:t>(%）</w:t>
                  </w:r>
                </w:p>
              </w:tc>
              <w:tc>
                <w:tcPr>
                  <w:tcW w:w="857" w:type="dxa"/>
                  <w:shd w:val="clear" w:color="auto" w:fill="auto"/>
                  <w:vAlign w:val="center"/>
                </w:tcPr>
                <w:p w14:paraId="2F6C8EA4">
                  <w:pPr>
                    <w:pStyle w:val="2"/>
                    <w:jc w:val="center"/>
                    <w:rPr>
                      <w:rFonts w:hint="eastAsia"/>
                      <w:color w:val="auto"/>
                    </w:rPr>
                  </w:pPr>
                  <w:r>
                    <w:rPr>
                      <w:rFonts w:hint="eastAsia"/>
                      <w:color w:val="auto"/>
                      <w:lang w:val="en-US" w:eastAsia="zh-CN"/>
                    </w:rPr>
                    <w:t>核算方法</w:t>
                  </w:r>
                </w:p>
              </w:tc>
              <w:tc>
                <w:tcPr>
                  <w:tcW w:w="0" w:type="auto"/>
                  <w:shd w:val="clear" w:color="auto" w:fill="auto"/>
                  <w:vAlign w:val="center"/>
                </w:tcPr>
                <w:p w14:paraId="07EC3273">
                  <w:pPr>
                    <w:pStyle w:val="2"/>
                    <w:jc w:val="center"/>
                    <w:rPr>
                      <w:rFonts w:hint="eastAsia"/>
                      <w:color w:val="auto"/>
                      <w:lang w:val="en-US" w:eastAsia="zh-CN"/>
                    </w:rPr>
                  </w:pPr>
                  <w:r>
                    <w:rPr>
                      <w:rFonts w:hint="eastAsia"/>
                      <w:color w:val="auto"/>
                      <w:lang w:val="en-US" w:eastAsia="zh-CN"/>
                    </w:rPr>
                    <w:t>接管</w:t>
                  </w:r>
                </w:p>
                <w:p w14:paraId="2249DF55">
                  <w:pPr>
                    <w:pStyle w:val="2"/>
                    <w:jc w:val="center"/>
                    <w:rPr>
                      <w:rFonts w:hint="eastAsia"/>
                      <w:color w:val="auto"/>
                    </w:rPr>
                  </w:pPr>
                  <w:r>
                    <w:rPr>
                      <w:rFonts w:hint="eastAsia"/>
                      <w:color w:val="auto"/>
                      <w:lang w:val="en-US" w:eastAsia="zh-CN"/>
                    </w:rPr>
                    <w:t>废水</w:t>
                  </w:r>
                </w:p>
                <w:p w14:paraId="7844EF13">
                  <w:pPr>
                    <w:pStyle w:val="2"/>
                    <w:jc w:val="center"/>
                    <w:rPr>
                      <w:rFonts w:hint="eastAsia"/>
                      <w:color w:val="auto"/>
                    </w:rPr>
                  </w:pPr>
                  <w:r>
                    <w:rPr>
                      <w:rFonts w:hint="eastAsia"/>
                      <w:color w:val="auto"/>
                      <w:lang w:val="en-US" w:eastAsia="zh-CN"/>
                    </w:rPr>
                    <w:t>量</w:t>
                  </w:r>
                </w:p>
                <w:p w14:paraId="18F0EA06">
                  <w:pPr>
                    <w:pStyle w:val="2"/>
                    <w:jc w:val="center"/>
                    <w:rPr>
                      <w:rFonts w:hint="eastAsia"/>
                      <w:color w:val="auto"/>
                    </w:rPr>
                  </w:pPr>
                  <w:r>
                    <w:rPr>
                      <w:rFonts w:hint="eastAsia"/>
                      <w:color w:val="auto"/>
                      <w:lang w:val="en-US" w:eastAsia="zh-CN"/>
                    </w:rPr>
                    <w:t>（</w:t>
                  </w:r>
                  <w:r>
                    <w:rPr>
                      <w:color w:val="auto"/>
                      <w:lang w:val="en-US" w:eastAsia="zh-CN"/>
                    </w:rPr>
                    <w:t>m</w:t>
                  </w:r>
                  <w:r>
                    <w:rPr>
                      <w:color w:val="auto"/>
                      <w:vertAlign w:val="superscript"/>
                      <w:lang w:val="en-US" w:eastAsia="zh-CN"/>
                    </w:rPr>
                    <w:t>3</w:t>
                  </w:r>
                  <w:r>
                    <w:rPr>
                      <w:color w:val="auto"/>
                      <w:lang w:val="en-US" w:eastAsia="zh-CN"/>
                    </w:rPr>
                    <w:t>/</w:t>
                  </w:r>
                </w:p>
                <w:p w14:paraId="0CBA3BEF">
                  <w:pPr>
                    <w:pStyle w:val="2"/>
                    <w:jc w:val="center"/>
                    <w:rPr>
                      <w:rFonts w:hint="default"/>
                      <w:color w:val="auto"/>
                    </w:rPr>
                  </w:pPr>
                  <w:r>
                    <w:rPr>
                      <w:rFonts w:hint="default"/>
                      <w:color w:val="auto"/>
                      <w:lang w:val="en-US" w:eastAsia="zh-CN"/>
                    </w:rPr>
                    <w:t>d</w:t>
                  </w:r>
                  <w:r>
                    <w:rPr>
                      <w:color w:val="auto"/>
                      <w:lang w:val="en-US" w:eastAsia="zh-CN"/>
                    </w:rPr>
                    <w:t>）</w:t>
                  </w:r>
                </w:p>
              </w:tc>
              <w:tc>
                <w:tcPr>
                  <w:tcW w:w="0" w:type="auto"/>
                  <w:shd w:val="clear" w:color="auto" w:fill="auto"/>
                  <w:vAlign w:val="center"/>
                </w:tcPr>
                <w:p w14:paraId="1610AD49">
                  <w:pPr>
                    <w:pStyle w:val="2"/>
                    <w:jc w:val="center"/>
                    <w:rPr>
                      <w:rFonts w:hint="eastAsia"/>
                      <w:color w:val="auto"/>
                      <w:lang w:val="en-US" w:eastAsia="zh-CN"/>
                    </w:rPr>
                  </w:pPr>
                  <w:r>
                    <w:rPr>
                      <w:rFonts w:hint="eastAsia"/>
                      <w:color w:val="auto"/>
                      <w:lang w:val="en-US" w:eastAsia="zh-CN"/>
                    </w:rPr>
                    <w:t>接管</w:t>
                  </w:r>
                </w:p>
                <w:p w14:paraId="07CFF68E">
                  <w:pPr>
                    <w:pStyle w:val="2"/>
                    <w:jc w:val="center"/>
                    <w:rPr>
                      <w:rFonts w:hint="eastAsia"/>
                      <w:color w:val="auto"/>
                    </w:rPr>
                  </w:pPr>
                  <w:r>
                    <w:rPr>
                      <w:rFonts w:hint="eastAsia"/>
                      <w:color w:val="auto"/>
                      <w:lang w:val="en-US" w:eastAsia="zh-CN"/>
                    </w:rPr>
                    <w:t>浓度</w:t>
                  </w:r>
                </w:p>
                <w:p w14:paraId="645092EA">
                  <w:pPr>
                    <w:pStyle w:val="2"/>
                    <w:jc w:val="center"/>
                    <w:rPr>
                      <w:rFonts w:hint="eastAsia"/>
                      <w:color w:val="auto"/>
                    </w:rPr>
                  </w:pPr>
                  <w:r>
                    <w:rPr>
                      <w:rFonts w:hint="eastAsia"/>
                      <w:color w:val="auto"/>
                      <w:lang w:val="en-US" w:eastAsia="zh-CN"/>
                    </w:rPr>
                    <w:t>（</w:t>
                  </w:r>
                  <w:r>
                    <w:rPr>
                      <w:color w:val="auto"/>
                      <w:lang w:val="en-US" w:eastAsia="zh-CN"/>
                    </w:rPr>
                    <w:t>m</w:t>
                  </w:r>
                </w:p>
                <w:p w14:paraId="478AA04A">
                  <w:pPr>
                    <w:pStyle w:val="2"/>
                    <w:jc w:val="center"/>
                    <w:rPr>
                      <w:rFonts w:hint="default"/>
                      <w:color w:val="auto"/>
                    </w:rPr>
                  </w:pPr>
                  <w:r>
                    <w:rPr>
                      <w:rFonts w:hint="default"/>
                      <w:color w:val="auto"/>
                      <w:lang w:val="en-US" w:eastAsia="zh-CN"/>
                    </w:rPr>
                    <w:t>g/L</w:t>
                  </w:r>
                  <w:r>
                    <w:rPr>
                      <w:color w:val="auto"/>
                      <w:lang w:val="en-US" w:eastAsia="zh-CN"/>
                    </w:rPr>
                    <w:t>）</w:t>
                  </w:r>
                </w:p>
              </w:tc>
              <w:tc>
                <w:tcPr>
                  <w:tcW w:w="0" w:type="auto"/>
                  <w:shd w:val="clear" w:color="auto" w:fill="auto"/>
                  <w:vAlign w:val="center"/>
                </w:tcPr>
                <w:p w14:paraId="2AEDFAE6">
                  <w:pPr>
                    <w:pStyle w:val="2"/>
                    <w:jc w:val="center"/>
                    <w:rPr>
                      <w:rFonts w:hint="eastAsia"/>
                      <w:color w:val="auto"/>
                      <w:lang w:val="en-US" w:eastAsia="zh-CN"/>
                    </w:rPr>
                  </w:pPr>
                  <w:r>
                    <w:rPr>
                      <w:rFonts w:hint="eastAsia"/>
                      <w:color w:val="auto"/>
                      <w:lang w:val="en-US" w:eastAsia="zh-CN"/>
                    </w:rPr>
                    <w:t>接管</w:t>
                  </w:r>
                  <w:r>
                    <w:rPr>
                      <w:color w:val="auto"/>
                      <w:lang w:val="en-US" w:eastAsia="zh-CN"/>
                    </w:rPr>
                    <w:t>量（kg/</w:t>
                  </w:r>
                </w:p>
                <w:p w14:paraId="3F7CC118">
                  <w:pPr>
                    <w:pStyle w:val="2"/>
                    <w:jc w:val="center"/>
                    <w:rPr>
                      <w:rFonts w:hint="default"/>
                      <w:color w:val="auto"/>
                    </w:rPr>
                  </w:pPr>
                  <w:r>
                    <w:rPr>
                      <w:rFonts w:hint="default"/>
                      <w:color w:val="auto"/>
                      <w:lang w:val="en-US" w:eastAsia="zh-CN"/>
                    </w:rPr>
                    <w:t>d</w:t>
                  </w:r>
                  <w:r>
                    <w:rPr>
                      <w:color w:val="auto"/>
                      <w:lang w:val="en-US" w:eastAsia="zh-CN"/>
                    </w:rPr>
                    <w:t>）</w:t>
                  </w:r>
                </w:p>
              </w:tc>
              <w:tc>
                <w:tcPr>
                  <w:tcW w:w="0" w:type="auto"/>
                  <w:vMerge w:val="restart"/>
                  <w:shd w:val="clear" w:color="auto" w:fill="auto"/>
                  <w:vAlign w:val="center"/>
                </w:tcPr>
                <w:p w14:paraId="1F6CF9D0">
                  <w:pPr>
                    <w:pStyle w:val="2"/>
                    <w:jc w:val="center"/>
                    <w:rPr>
                      <w:rFonts w:hint="default"/>
                      <w:color w:val="auto"/>
                    </w:rPr>
                  </w:pPr>
                  <w:r>
                    <w:rPr>
                      <w:rFonts w:hint="default"/>
                      <w:color w:val="auto"/>
                      <w:lang w:val="en-US" w:eastAsia="zh-CN"/>
                    </w:rPr>
                    <w:t>8760</w:t>
                  </w:r>
                </w:p>
              </w:tc>
            </w:tr>
            <w:tr w14:paraId="3739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shd w:val="clear" w:color="auto" w:fill="auto"/>
                  <w:vAlign w:val="center"/>
                </w:tcPr>
                <w:p w14:paraId="6AD7433B">
                  <w:pPr>
                    <w:pStyle w:val="2"/>
                    <w:jc w:val="center"/>
                    <w:rPr>
                      <w:rFonts w:hint="eastAsia"/>
                      <w:color w:val="auto"/>
                    </w:rPr>
                  </w:pPr>
                  <w:r>
                    <w:rPr>
                      <w:rFonts w:hint="eastAsia"/>
                      <w:color w:val="auto"/>
                      <w:lang w:val="en-US" w:eastAsia="zh-CN"/>
                    </w:rPr>
                    <w:t>洗涤废水</w:t>
                  </w:r>
                </w:p>
              </w:tc>
              <w:tc>
                <w:tcPr>
                  <w:tcW w:w="0" w:type="auto"/>
                  <w:vMerge w:val="restart"/>
                  <w:shd w:val="clear" w:color="auto" w:fill="auto"/>
                  <w:vAlign w:val="center"/>
                </w:tcPr>
                <w:p w14:paraId="78084961">
                  <w:pPr>
                    <w:pStyle w:val="2"/>
                    <w:jc w:val="center"/>
                    <w:rPr>
                      <w:rFonts w:hint="eastAsia"/>
                      <w:color w:val="auto"/>
                    </w:rPr>
                  </w:pPr>
                  <w:r>
                    <w:rPr>
                      <w:rFonts w:hint="eastAsia"/>
                      <w:color w:val="auto"/>
                      <w:lang w:val="en-US" w:eastAsia="zh-CN"/>
                    </w:rPr>
                    <w:t>污水处理站</w:t>
                  </w:r>
                </w:p>
              </w:tc>
              <w:tc>
                <w:tcPr>
                  <w:tcW w:w="0" w:type="auto"/>
                  <w:shd w:val="clear" w:color="auto" w:fill="auto"/>
                  <w:vAlign w:val="center"/>
                </w:tcPr>
                <w:p w14:paraId="73CA17AE">
                  <w:pPr>
                    <w:pStyle w:val="2"/>
                    <w:jc w:val="center"/>
                    <w:rPr>
                      <w:rFonts w:hint="default"/>
                      <w:color w:val="auto"/>
                    </w:rPr>
                  </w:pPr>
                  <w:r>
                    <w:rPr>
                      <w:rFonts w:hint="default"/>
                      <w:color w:val="auto"/>
                      <w:lang w:val="en-US" w:eastAsia="zh-CN"/>
                    </w:rPr>
                    <w:t>pH</w:t>
                  </w:r>
                </w:p>
              </w:tc>
              <w:tc>
                <w:tcPr>
                  <w:tcW w:w="821" w:type="dxa"/>
                  <w:vMerge w:val="restart"/>
                  <w:shd w:val="clear" w:color="auto" w:fill="auto"/>
                  <w:vAlign w:val="center"/>
                </w:tcPr>
                <w:p w14:paraId="51CB59E0">
                  <w:pPr>
                    <w:pStyle w:val="2"/>
                    <w:jc w:val="center"/>
                    <w:rPr>
                      <w:rFonts w:hint="eastAsia"/>
                      <w:color w:val="auto"/>
                    </w:rPr>
                  </w:pPr>
                  <w:r>
                    <w:rPr>
                      <w:rFonts w:hint="eastAsia"/>
                      <w:color w:val="auto"/>
                      <w:lang w:val="en-US" w:eastAsia="zh-CN"/>
                    </w:rPr>
                    <w:t>类比法</w:t>
                  </w:r>
                </w:p>
              </w:tc>
              <w:tc>
                <w:tcPr>
                  <w:tcW w:w="849" w:type="dxa"/>
                  <w:vMerge w:val="restart"/>
                  <w:shd w:val="clear" w:color="auto" w:fill="auto"/>
                  <w:vAlign w:val="center"/>
                </w:tcPr>
                <w:p w14:paraId="434616E1">
                  <w:pPr>
                    <w:pStyle w:val="2"/>
                    <w:jc w:val="center"/>
                    <w:rPr>
                      <w:rFonts w:hint="default"/>
                      <w:color w:val="auto"/>
                    </w:rPr>
                  </w:pPr>
                  <w:r>
                    <w:rPr>
                      <w:rFonts w:hint="eastAsia"/>
                      <w:color w:val="auto"/>
                      <w:spacing w:val="9"/>
                      <w:lang w:val="en-US" w:eastAsia="zh-CN"/>
                    </w:rPr>
                    <w:t>9.35</w:t>
                  </w:r>
                </w:p>
              </w:tc>
              <w:tc>
                <w:tcPr>
                  <w:tcW w:w="0" w:type="auto"/>
                  <w:gridSpan w:val="2"/>
                  <w:shd w:val="clear" w:color="auto" w:fill="auto"/>
                  <w:vAlign w:val="center"/>
                </w:tcPr>
                <w:p w14:paraId="6292FABB">
                  <w:pPr>
                    <w:pStyle w:val="2"/>
                    <w:jc w:val="center"/>
                    <w:rPr>
                      <w:rFonts w:hint="default"/>
                      <w:color w:val="auto"/>
                    </w:rPr>
                  </w:pPr>
                  <w:r>
                    <w:rPr>
                      <w:rFonts w:hint="default"/>
                      <w:color w:val="auto"/>
                      <w:lang w:val="en-US" w:eastAsia="zh-CN"/>
                    </w:rPr>
                    <w:t>6-9</w:t>
                  </w:r>
                  <w:r>
                    <w:rPr>
                      <w:color w:val="auto"/>
                      <w:lang w:val="en-US" w:eastAsia="zh-CN"/>
                    </w:rPr>
                    <w:t>（无量纲）</w:t>
                  </w:r>
                </w:p>
              </w:tc>
              <w:tc>
                <w:tcPr>
                  <w:tcW w:w="1689" w:type="dxa"/>
                  <w:vMerge w:val="restart"/>
                  <w:shd w:val="clear" w:color="auto" w:fill="auto"/>
                  <w:vAlign w:val="center"/>
                </w:tcPr>
                <w:p w14:paraId="33018D2E">
                  <w:pPr>
                    <w:pStyle w:val="2"/>
                    <w:jc w:val="center"/>
                    <w:rPr>
                      <w:rFonts w:hint="eastAsia"/>
                      <w:color w:val="auto"/>
                    </w:rPr>
                  </w:pPr>
                  <w:r>
                    <w:rPr>
                      <w:rFonts w:hint="eastAsia" w:ascii="宋体" w:hAnsi="宋体" w:eastAsia="宋体" w:cs="宋体"/>
                      <w:i w:val="0"/>
                      <w:iCs w:val="0"/>
                      <w:color w:val="auto"/>
                      <w:sz w:val="20"/>
                      <w:szCs w:val="20"/>
                      <w:u w:val="none"/>
                      <w:lang w:val="en-US" w:eastAsia="zh-CN"/>
                    </w:rPr>
                    <w:t>污水→格栅→调节池→沉淀→消毒→排放</w:t>
                  </w:r>
                </w:p>
              </w:tc>
              <w:tc>
                <w:tcPr>
                  <w:tcW w:w="900" w:type="dxa"/>
                  <w:shd w:val="clear" w:color="auto" w:fill="auto"/>
                  <w:vAlign w:val="center"/>
                </w:tcPr>
                <w:p w14:paraId="67B63A70">
                  <w:pPr>
                    <w:pStyle w:val="2"/>
                    <w:jc w:val="center"/>
                    <w:rPr>
                      <w:rFonts w:hint="default"/>
                      <w:color w:val="auto"/>
                    </w:rPr>
                  </w:pPr>
                  <w:r>
                    <w:rPr>
                      <w:rFonts w:hint="default"/>
                      <w:color w:val="auto"/>
                      <w:lang w:val="en-US" w:eastAsia="zh-CN"/>
                    </w:rPr>
                    <w:t>/</w:t>
                  </w:r>
                </w:p>
              </w:tc>
              <w:tc>
                <w:tcPr>
                  <w:tcW w:w="857" w:type="dxa"/>
                  <w:vMerge w:val="restart"/>
                  <w:shd w:val="clear" w:color="auto" w:fill="auto"/>
                  <w:vAlign w:val="center"/>
                </w:tcPr>
                <w:p w14:paraId="4C90DB46">
                  <w:pPr>
                    <w:pStyle w:val="2"/>
                    <w:jc w:val="center"/>
                    <w:rPr>
                      <w:rFonts w:hint="eastAsia"/>
                      <w:color w:val="auto"/>
                    </w:rPr>
                  </w:pPr>
                  <w:r>
                    <w:rPr>
                      <w:rFonts w:hint="eastAsia"/>
                      <w:color w:val="auto"/>
                      <w:lang w:val="en-US" w:eastAsia="zh-CN"/>
                    </w:rPr>
                    <w:t>类比法</w:t>
                  </w:r>
                </w:p>
              </w:tc>
              <w:tc>
                <w:tcPr>
                  <w:tcW w:w="0" w:type="auto"/>
                  <w:vMerge w:val="restart"/>
                  <w:shd w:val="clear" w:color="auto" w:fill="auto"/>
                  <w:vAlign w:val="center"/>
                </w:tcPr>
                <w:p w14:paraId="77A233DB">
                  <w:pPr>
                    <w:pStyle w:val="2"/>
                    <w:jc w:val="center"/>
                    <w:rPr>
                      <w:rFonts w:hint="default"/>
                      <w:color w:val="auto"/>
                    </w:rPr>
                  </w:pPr>
                  <w:r>
                    <w:rPr>
                      <w:rFonts w:hint="eastAsia"/>
                      <w:color w:val="auto"/>
                      <w:spacing w:val="9"/>
                      <w:lang w:val="en-US" w:eastAsia="zh-CN"/>
                    </w:rPr>
                    <w:t>9.35</w:t>
                  </w:r>
                </w:p>
              </w:tc>
              <w:tc>
                <w:tcPr>
                  <w:tcW w:w="0" w:type="auto"/>
                  <w:gridSpan w:val="2"/>
                  <w:shd w:val="clear" w:color="auto" w:fill="auto"/>
                  <w:vAlign w:val="center"/>
                </w:tcPr>
                <w:p w14:paraId="51D3EA22">
                  <w:pPr>
                    <w:pStyle w:val="2"/>
                    <w:jc w:val="center"/>
                    <w:rPr>
                      <w:rFonts w:hint="default"/>
                      <w:color w:val="auto"/>
                    </w:rPr>
                  </w:pPr>
                  <w:r>
                    <w:rPr>
                      <w:rFonts w:hint="default"/>
                      <w:color w:val="auto"/>
                      <w:lang w:val="en-US" w:eastAsia="zh-CN"/>
                    </w:rPr>
                    <w:t>6-9</w:t>
                  </w:r>
                  <w:r>
                    <w:rPr>
                      <w:color w:val="auto"/>
                      <w:lang w:val="en-US" w:eastAsia="zh-CN"/>
                    </w:rPr>
                    <w:t>（无量纲）</w:t>
                  </w:r>
                </w:p>
              </w:tc>
              <w:tc>
                <w:tcPr>
                  <w:tcW w:w="0" w:type="auto"/>
                  <w:vMerge w:val="continue"/>
                  <w:shd w:val="clear" w:color="auto" w:fill="auto"/>
                  <w:vAlign w:val="center"/>
                </w:tcPr>
                <w:p w14:paraId="10A9ECDF">
                  <w:pPr>
                    <w:pStyle w:val="2"/>
                    <w:jc w:val="center"/>
                    <w:rPr>
                      <w:rFonts w:hint="default"/>
                      <w:color w:val="auto"/>
                    </w:rPr>
                  </w:pPr>
                </w:p>
              </w:tc>
            </w:tr>
            <w:tr w14:paraId="3119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5BDEAF2E">
                  <w:pPr>
                    <w:pStyle w:val="2"/>
                    <w:jc w:val="center"/>
                    <w:rPr>
                      <w:rFonts w:hint="default"/>
                      <w:color w:val="auto"/>
                    </w:rPr>
                  </w:pPr>
                </w:p>
              </w:tc>
              <w:tc>
                <w:tcPr>
                  <w:tcW w:w="0" w:type="auto"/>
                  <w:vMerge w:val="continue"/>
                  <w:shd w:val="clear" w:color="auto" w:fill="auto"/>
                  <w:vAlign w:val="center"/>
                </w:tcPr>
                <w:p w14:paraId="0BC274E6">
                  <w:pPr>
                    <w:pStyle w:val="2"/>
                    <w:jc w:val="center"/>
                    <w:rPr>
                      <w:rFonts w:hint="default"/>
                      <w:color w:val="auto"/>
                    </w:rPr>
                  </w:pPr>
                </w:p>
              </w:tc>
              <w:tc>
                <w:tcPr>
                  <w:tcW w:w="0" w:type="auto"/>
                  <w:shd w:val="clear" w:color="auto" w:fill="auto"/>
                  <w:vAlign w:val="center"/>
                </w:tcPr>
                <w:p w14:paraId="05D5AE6D">
                  <w:pPr>
                    <w:pStyle w:val="2"/>
                    <w:jc w:val="center"/>
                    <w:rPr>
                      <w:rFonts w:hint="default"/>
                      <w:color w:val="auto"/>
                    </w:rPr>
                  </w:pPr>
                  <w:r>
                    <w:rPr>
                      <w:rFonts w:hint="default"/>
                      <w:color w:val="auto"/>
                      <w:lang w:val="en-US" w:eastAsia="zh-CN"/>
                    </w:rPr>
                    <w:t>COD</w:t>
                  </w:r>
                </w:p>
              </w:tc>
              <w:tc>
                <w:tcPr>
                  <w:tcW w:w="821" w:type="dxa"/>
                  <w:vMerge w:val="continue"/>
                  <w:shd w:val="clear" w:color="auto" w:fill="auto"/>
                  <w:vAlign w:val="center"/>
                </w:tcPr>
                <w:p w14:paraId="38FA9831">
                  <w:pPr>
                    <w:pStyle w:val="2"/>
                    <w:jc w:val="center"/>
                    <w:rPr>
                      <w:rFonts w:hint="default"/>
                      <w:color w:val="auto"/>
                    </w:rPr>
                  </w:pPr>
                </w:p>
              </w:tc>
              <w:tc>
                <w:tcPr>
                  <w:tcW w:w="849" w:type="dxa"/>
                  <w:vMerge w:val="continue"/>
                  <w:shd w:val="clear" w:color="auto" w:fill="auto"/>
                  <w:vAlign w:val="center"/>
                </w:tcPr>
                <w:p w14:paraId="6C9B6F4C">
                  <w:pPr>
                    <w:pStyle w:val="2"/>
                    <w:jc w:val="center"/>
                    <w:rPr>
                      <w:rFonts w:hint="default"/>
                      <w:color w:val="auto"/>
                    </w:rPr>
                  </w:pPr>
                </w:p>
              </w:tc>
              <w:tc>
                <w:tcPr>
                  <w:tcW w:w="0" w:type="auto"/>
                  <w:shd w:val="clear" w:color="auto" w:fill="auto"/>
                  <w:vAlign w:val="center"/>
                </w:tcPr>
                <w:p w14:paraId="39EBDF14">
                  <w:pPr>
                    <w:pStyle w:val="2"/>
                    <w:jc w:val="center"/>
                    <w:rPr>
                      <w:rFonts w:hint="default"/>
                      <w:color w:val="auto"/>
                    </w:rPr>
                  </w:pPr>
                  <w:r>
                    <w:rPr>
                      <w:rFonts w:hint="default"/>
                      <w:color w:val="auto"/>
                      <w:lang w:val="en-US" w:eastAsia="zh-CN"/>
                    </w:rPr>
                    <w:t>151</w:t>
                  </w:r>
                </w:p>
              </w:tc>
              <w:tc>
                <w:tcPr>
                  <w:tcW w:w="0" w:type="auto"/>
                  <w:shd w:val="clear" w:color="auto" w:fill="auto"/>
                  <w:vAlign w:val="center"/>
                </w:tcPr>
                <w:p w14:paraId="5212FB9B">
                  <w:pPr>
                    <w:pStyle w:val="2"/>
                    <w:jc w:val="center"/>
                    <w:rPr>
                      <w:rFonts w:hint="default"/>
                      <w:color w:val="auto"/>
                      <w:lang w:val="en-US"/>
                    </w:rPr>
                  </w:pPr>
                  <w:r>
                    <w:rPr>
                      <w:rFonts w:hint="eastAsia"/>
                      <w:color w:val="auto"/>
                      <w:lang w:val="en-US" w:eastAsia="zh-CN"/>
                    </w:rPr>
                    <w:t>1.412</w:t>
                  </w:r>
                </w:p>
              </w:tc>
              <w:tc>
                <w:tcPr>
                  <w:tcW w:w="1689" w:type="dxa"/>
                  <w:vMerge w:val="continue"/>
                  <w:shd w:val="clear" w:color="auto" w:fill="auto"/>
                  <w:vAlign w:val="center"/>
                </w:tcPr>
                <w:p w14:paraId="43C2BBCF">
                  <w:pPr>
                    <w:pStyle w:val="2"/>
                    <w:jc w:val="center"/>
                    <w:rPr>
                      <w:rFonts w:hint="default"/>
                      <w:color w:val="auto"/>
                    </w:rPr>
                  </w:pPr>
                </w:p>
              </w:tc>
              <w:tc>
                <w:tcPr>
                  <w:tcW w:w="900" w:type="dxa"/>
                  <w:shd w:val="clear" w:color="auto" w:fill="auto"/>
                  <w:vAlign w:val="center"/>
                </w:tcPr>
                <w:p w14:paraId="2912380D">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07857B7D">
                  <w:pPr>
                    <w:pStyle w:val="2"/>
                    <w:jc w:val="center"/>
                    <w:rPr>
                      <w:rFonts w:hint="default"/>
                      <w:color w:val="auto"/>
                    </w:rPr>
                  </w:pPr>
                </w:p>
              </w:tc>
              <w:tc>
                <w:tcPr>
                  <w:tcW w:w="0" w:type="auto"/>
                  <w:vMerge w:val="continue"/>
                  <w:shd w:val="clear" w:color="auto" w:fill="auto"/>
                  <w:vAlign w:val="center"/>
                </w:tcPr>
                <w:p w14:paraId="66F0A3C3">
                  <w:pPr>
                    <w:pStyle w:val="2"/>
                    <w:jc w:val="center"/>
                    <w:rPr>
                      <w:rFonts w:hint="default"/>
                      <w:color w:val="auto"/>
                    </w:rPr>
                  </w:pPr>
                </w:p>
              </w:tc>
              <w:tc>
                <w:tcPr>
                  <w:tcW w:w="0" w:type="auto"/>
                  <w:shd w:val="clear" w:color="auto" w:fill="auto"/>
                  <w:vAlign w:val="center"/>
                </w:tcPr>
                <w:p w14:paraId="1B6446A5">
                  <w:pPr>
                    <w:pStyle w:val="2"/>
                    <w:jc w:val="center"/>
                    <w:rPr>
                      <w:rFonts w:hint="default"/>
                      <w:color w:val="auto"/>
                    </w:rPr>
                  </w:pPr>
                  <w:r>
                    <w:rPr>
                      <w:rFonts w:hint="default"/>
                      <w:color w:val="auto"/>
                      <w:lang w:val="en-US" w:eastAsia="zh-CN"/>
                    </w:rPr>
                    <w:t>48.32</w:t>
                  </w:r>
                </w:p>
              </w:tc>
              <w:tc>
                <w:tcPr>
                  <w:tcW w:w="0" w:type="auto"/>
                  <w:shd w:val="clear" w:color="auto" w:fill="auto"/>
                  <w:vAlign w:val="center"/>
                </w:tcPr>
                <w:p w14:paraId="4BFB6346">
                  <w:pPr>
                    <w:pStyle w:val="2"/>
                    <w:jc w:val="center"/>
                    <w:rPr>
                      <w:rFonts w:hint="default"/>
                      <w:color w:val="auto"/>
                      <w:lang w:val="en-US"/>
                    </w:rPr>
                  </w:pPr>
                  <w:r>
                    <w:rPr>
                      <w:rFonts w:hint="eastAsia"/>
                      <w:color w:val="auto"/>
                      <w:lang w:val="en-US" w:eastAsia="zh-CN"/>
                    </w:rPr>
                    <w:t>0.45</w:t>
                  </w:r>
                </w:p>
              </w:tc>
              <w:tc>
                <w:tcPr>
                  <w:tcW w:w="0" w:type="auto"/>
                  <w:vMerge w:val="continue"/>
                  <w:shd w:val="clear" w:color="auto" w:fill="auto"/>
                  <w:vAlign w:val="center"/>
                </w:tcPr>
                <w:p w14:paraId="795794F6">
                  <w:pPr>
                    <w:pStyle w:val="2"/>
                    <w:jc w:val="center"/>
                    <w:rPr>
                      <w:rFonts w:hint="default"/>
                      <w:color w:val="auto"/>
                    </w:rPr>
                  </w:pPr>
                </w:p>
              </w:tc>
            </w:tr>
            <w:tr w14:paraId="3D957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2" w:hRule="atLeast"/>
              </w:trPr>
              <w:tc>
                <w:tcPr>
                  <w:tcW w:w="0" w:type="auto"/>
                  <w:vMerge w:val="continue"/>
                  <w:shd w:val="clear" w:color="auto" w:fill="auto"/>
                  <w:vAlign w:val="center"/>
                </w:tcPr>
                <w:p w14:paraId="202C8A87">
                  <w:pPr>
                    <w:pStyle w:val="2"/>
                    <w:jc w:val="center"/>
                    <w:rPr>
                      <w:rFonts w:hint="default"/>
                      <w:color w:val="auto"/>
                    </w:rPr>
                  </w:pPr>
                </w:p>
              </w:tc>
              <w:tc>
                <w:tcPr>
                  <w:tcW w:w="0" w:type="auto"/>
                  <w:vMerge w:val="continue"/>
                  <w:shd w:val="clear" w:color="auto" w:fill="auto"/>
                  <w:vAlign w:val="center"/>
                </w:tcPr>
                <w:p w14:paraId="54121AB0">
                  <w:pPr>
                    <w:pStyle w:val="2"/>
                    <w:jc w:val="center"/>
                    <w:rPr>
                      <w:rFonts w:hint="default"/>
                      <w:color w:val="auto"/>
                    </w:rPr>
                  </w:pPr>
                </w:p>
              </w:tc>
              <w:tc>
                <w:tcPr>
                  <w:tcW w:w="0" w:type="auto"/>
                  <w:shd w:val="clear" w:color="auto" w:fill="auto"/>
                  <w:vAlign w:val="center"/>
                </w:tcPr>
                <w:p w14:paraId="13B9C228">
                  <w:pPr>
                    <w:pStyle w:val="2"/>
                    <w:jc w:val="center"/>
                    <w:rPr>
                      <w:rFonts w:hint="default"/>
                      <w:color w:val="auto"/>
                    </w:rPr>
                  </w:pPr>
                  <w:r>
                    <w:rPr>
                      <w:rFonts w:hint="default"/>
                      <w:color w:val="auto"/>
                      <w:lang w:val="en-US" w:eastAsia="zh-CN"/>
                    </w:rPr>
                    <w:t>BOD</w:t>
                  </w:r>
                  <w:r>
                    <w:rPr>
                      <w:color w:val="auto"/>
                      <w:lang w:val="en-US" w:eastAsia="zh-CN"/>
                    </w:rPr>
                    <w:t>5</w:t>
                  </w:r>
                </w:p>
              </w:tc>
              <w:tc>
                <w:tcPr>
                  <w:tcW w:w="821" w:type="dxa"/>
                  <w:vMerge w:val="continue"/>
                  <w:shd w:val="clear" w:color="auto" w:fill="auto"/>
                  <w:vAlign w:val="center"/>
                </w:tcPr>
                <w:p w14:paraId="211BD88A">
                  <w:pPr>
                    <w:pStyle w:val="2"/>
                    <w:jc w:val="center"/>
                    <w:rPr>
                      <w:rFonts w:hint="default"/>
                      <w:color w:val="auto"/>
                    </w:rPr>
                  </w:pPr>
                </w:p>
              </w:tc>
              <w:tc>
                <w:tcPr>
                  <w:tcW w:w="849" w:type="dxa"/>
                  <w:vMerge w:val="continue"/>
                  <w:shd w:val="clear" w:color="auto" w:fill="auto"/>
                  <w:vAlign w:val="center"/>
                </w:tcPr>
                <w:p w14:paraId="5C0CCDF7">
                  <w:pPr>
                    <w:pStyle w:val="2"/>
                    <w:jc w:val="center"/>
                    <w:rPr>
                      <w:rFonts w:hint="default"/>
                      <w:color w:val="auto"/>
                    </w:rPr>
                  </w:pPr>
                </w:p>
              </w:tc>
              <w:tc>
                <w:tcPr>
                  <w:tcW w:w="0" w:type="auto"/>
                  <w:shd w:val="clear" w:color="auto" w:fill="auto"/>
                  <w:vAlign w:val="center"/>
                </w:tcPr>
                <w:p w14:paraId="232DE39C">
                  <w:pPr>
                    <w:pStyle w:val="2"/>
                    <w:jc w:val="center"/>
                    <w:rPr>
                      <w:rFonts w:hint="default"/>
                      <w:color w:val="auto"/>
                    </w:rPr>
                  </w:pPr>
                  <w:r>
                    <w:rPr>
                      <w:rFonts w:hint="default"/>
                      <w:color w:val="auto"/>
                      <w:lang w:val="en-US" w:eastAsia="zh-CN"/>
                    </w:rPr>
                    <w:t>41.9</w:t>
                  </w:r>
                </w:p>
              </w:tc>
              <w:tc>
                <w:tcPr>
                  <w:tcW w:w="0" w:type="auto"/>
                  <w:shd w:val="clear" w:color="auto" w:fill="auto"/>
                  <w:vAlign w:val="center"/>
                </w:tcPr>
                <w:p w14:paraId="739A2D0A">
                  <w:pPr>
                    <w:pStyle w:val="2"/>
                    <w:jc w:val="center"/>
                    <w:rPr>
                      <w:rFonts w:hint="default"/>
                      <w:color w:val="auto"/>
                      <w:lang w:val="en-US"/>
                    </w:rPr>
                  </w:pPr>
                  <w:r>
                    <w:rPr>
                      <w:rFonts w:hint="eastAsia"/>
                      <w:color w:val="auto"/>
                      <w:lang w:val="en-US" w:eastAsia="zh-CN"/>
                    </w:rPr>
                    <w:t>0.392</w:t>
                  </w:r>
                </w:p>
              </w:tc>
              <w:tc>
                <w:tcPr>
                  <w:tcW w:w="1689" w:type="dxa"/>
                  <w:vMerge w:val="continue"/>
                  <w:shd w:val="clear" w:color="auto" w:fill="auto"/>
                  <w:vAlign w:val="center"/>
                </w:tcPr>
                <w:p w14:paraId="3DCA7F64">
                  <w:pPr>
                    <w:pStyle w:val="2"/>
                    <w:jc w:val="center"/>
                    <w:rPr>
                      <w:rFonts w:hint="default"/>
                      <w:color w:val="auto"/>
                    </w:rPr>
                  </w:pPr>
                </w:p>
              </w:tc>
              <w:tc>
                <w:tcPr>
                  <w:tcW w:w="900" w:type="dxa"/>
                  <w:shd w:val="clear" w:color="auto" w:fill="auto"/>
                  <w:vAlign w:val="center"/>
                </w:tcPr>
                <w:p w14:paraId="22DB1B78">
                  <w:pPr>
                    <w:pStyle w:val="2"/>
                    <w:jc w:val="center"/>
                    <w:rPr>
                      <w:rFonts w:hint="default"/>
                      <w:color w:val="auto"/>
                    </w:rPr>
                  </w:pPr>
                  <w:r>
                    <w:rPr>
                      <w:rFonts w:hint="default"/>
                      <w:color w:val="auto"/>
                      <w:lang w:val="en-US" w:eastAsia="zh-CN"/>
                    </w:rPr>
                    <w:t>74</w:t>
                  </w:r>
                </w:p>
              </w:tc>
              <w:tc>
                <w:tcPr>
                  <w:tcW w:w="857" w:type="dxa"/>
                  <w:vMerge w:val="continue"/>
                  <w:shd w:val="clear" w:color="auto" w:fill="auto"/>
                  <w:vAlign w:val="center"/>
                </w:tcPr>
                <w:p w14:paraId="6ED29517">
                  <w:pPr>
                    <w:pStyle w:val="2"/>
                    <w:jc w:val="center"/>
                    <w:rPr>
                      <w:rFonts w:hint="default"/>
                      <w:color w:val="auto"/>
                    </w:rPr>
                  </w:pPr>
                </w:p>
              </w:tc>
              <w:tc>
                <w:tcPr>
                  <w:tcW w:w="0" w:type="auto"/>
                  <w:vMerge w:val="continue"/>
                  <w:shd w:val="clear" w:color="auto" w:fill="auto"/>
                  <w:vAlign w:val="center"/>
                </w:tcPr>
                <w:p w14:paraId="1016D871">
                  <w:pPr>
                    <w:pStyle w:val="2"/>
                    <w:jc w:val="center"/>
                    <w:rPr>
                      <w:rFonts w:hint="default"/>
                      <w:color w:val="auto"/>
                    </w:rPr>
                  </w:pPr>
                </w:p>
              </w:tc>
              <w:tc>
                <w:tcPr>
                  <w:tcW w:w="0" w:type="auto"/>
                  <w:shd w:val="clear" w:color="auto" w:fill="auto"/>
                  <w:vAlign w:val="center"/>
                </w:tcPr>
                <w:p w14:paraId="00AA0793">
                  <w:pPr>
                    <w:pStyle w:val="2"/>
                    <w:jc w:val="center"/>
                    <w:rPr>
                      <w:rFonts w:hint="default"/>
                      <w:color w:val="auto"/>
                    </w:rPr>
                  </w:pPr>
                  <w:r>
                    <w:rPr>
                      <w:rFonts w:hint="default"/>
                      <w:color w:val="auto"/>
                      <w:lang w:val="en-US" w:eastAsia="zh-CN"/>
                    </w:rPr>
                    <w:t>10.894</w:t>
                  </w:r>
                </w:p>
              </w:tc>
              <w:tc>
                <w:tcPr>
                  <w:tcW w:w="0" w:type="auto"/>
                  <w:shd w:val="clear" w:color="auto" w:fill="auto"/>
                  <w:vAlign w:val="center"/>
                </w:tcPr>
                <w:p w14:paraId="7D1808D7">
                  <w:pPr>
                    <w:pStyle w:val="2"/>
                    <w:jc w:val="center"/>
                    <w:rPr>
                      <w:rFonts w:hint="default"/>
                      <w:color w:val="auto"/>
                      <w:lang w:val="en-US"/>
                    </w:rPr>
                  </w:pPr>
                  <w:r>
                    <w:rPr>
                      <w:rFonts w:hint="eastAsia"/>
                      <w:color w:val="auto"/>
                      <w:lang w:val="en-US" w:eastAsia="zh-CN"/>
                    </w:rPr>
                    <w:t>0.102</w:t>
                  </w:r>
                </w:p>
              </w:tc>
              <w:tc>
                <w:tcPr>
                  <w:tcW w:w="0" w:type="auto"/>
                  <w:vMerge w:val="continue"/>
                  <w:shd w:val="clear" w:color="auto" w:fill="auto"/>
                  <w:vAlign w:val="center"/>
                </w:tcPr>
                <w:p w14:paraId="16033F62">
                  <w:pPr>
                    <w:pStyle w:val="2"/>
                    <w:jc w:val="center"/>
                    <w:rPr>
                      <w:rFonts w:hint="default"/>
                      <w:color w:val="auto"/>
                    </w:rPr>
                  </w:pPr>
                </w:p>
              </w:tc>
            </w:tr>
            <w:tr w14:paraId="38F03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376D76A5">
                  <w:pPr>
                    <w:pStyle w:val="2"/>
                    <w:jc w:val="center"/>
                    <w:rPr>
                      <w:rFonts w:hint="default"/>
                      <w:color w:val="auto"/>
                    </w:rPr>
                  </w:pPr>
                </w:p>
              </w:tc>
              <w:tc>
                <w:tcPr>
                  <w:tcW w:w="0" w:type="auto"/>
                  <w:vMerge w:val="continue"/>
                  <w:shd w:val="clear" w:color="auto" w:fill="auto"/>
                  <w:vAlign w:val="center"/>
                </w:tcPr>
                <w:p w14:paraId="39EE2456">
                  <w:pPr>
                    <w:pStyle w:val="2"/>
                    <w:jc w:val="center"/>
                    <w:rPr>
                      <w:rFonts w:hint="default"/>
                      <w:color w:val="auto"/>
                    </w:rPr>
                  </w:pPr>
                </w:p>
              </w:tc>
              <w:tc>
                <w:tcPr>
                  <w:tcW w:w="0" w:type="auto"/>
                  <w:shd w:val="clear" w:color="auto" w:fill="auto"/>
                  <w:vAlign w:val="center"/>
                </w:tcPr>
                <w:p w14:paraId="44ABA44D">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2B8DEE10">
                  <w:pPr>
                    <w:pStyle w:val="2"/>
                    <w:jc w:val="center"/>
                    <w:rPr>
                      <w:rFonts w:hint="default"/>
                      <w:color w:val="auto"/>
                    </w:rPr>
                  </w:pPr>
                </w:p>
              </w:tc>
              <w:tc>
                <w:tcPr>
                  <w:tcW w:w="849" w:type="dxa"/>
                  <w:vMerge w:val="continue"/>
                  <w:shd w:val="clear" w:color="auto" w:fill="auto"/>
                  <w:vAlign w:val="center"/>
                </w:tcPr>
                <w:p w14:paraId="0DE26C0B">
                  <w:pPr>
                    <w:pStyle w:val="2"/>
                    <w:jc w:val="center"/>
                    <w:rPr>
                      <w:rFonts w:hint="default"/>
                      <w:color w:val="auto"/>
                    </w:rPr>
                  </w:pPr>
                </w:p>
              </w:tc>
              <w:tc>
                <w:tcPr>
                  <w:tcW w:w="0" w:type="auto"/>
                  <w:shd w:val="clear" w:color="auto" w:fill="auto"/>
                  <w:vAlign w:val="center"/>
                </w:tcPr>
                <w:p w14:paraId="1B184D4F">
                  <w:pPr>
                    <w:pStyle w:val="2"/>
                    <w:jc w:val="center"/>
                    <w:rPr>
                      <w:rFonts w:hint="default"/>
                      <w:color w:val="auto"/>
                    </w:rPr>
                  </w:pPr>
                  <w:r>
                    <w:rPr>
                      <w:rFonts w:hint="default"/>
                      <w:color w:val="auto"/>
                      <w:lang w:val="en-US" w:eastAsia="zh-CN"/>
                    </w:rPr>
                    <w:t>24</w:t>
                  </w:r>
                </w:p>
              </w:tc>
              <w:tc>
                <w:tcPr>
                  <w:tcW w:w="0" w:type="auto"/>
                  <w:shd w:val="clear" w:color="auto" w:fill="auto"/>
                  <w:vAlign w:val="center"/>
                </w:tcPr>
                <w:p w14:paraId="1237D234">
                  <w:pPr>
                    <w:pStyle w:val="2"/>
                    <w:jc w:val="center"/>
                    <w:rPr>
                      <w:rFonts w:hint="default"/>
                      <w:color w:val="auto"/>
                      <w:lang w:val="en-US"/>
                    </w:rPr>
                  </w:pPr>
                  <w:r>
                    <w:rPr>
                      <w:rFonts w:hint="eastAsia"/>
                      <w:color w:val="auto"/>
                      <w:lang w:val="en-US" w:eastAsia="zh-CN"/>
                    </w:rPr>
                    <w:t>0.2244</w:t>
                  </w:r>
                </w:p>
              </w:tc>
              <w:tc>
                <w:tcPr>
                  <w:tcW w:w="1689" w:type="dxa"/>
                  <w:vMerge w:val="continue"/>
                  <w:shd w:val="clear" w:color="auto" w:fill="auto"/>
                  <w:vAlign w:val="center"/>
                </w:tcPr>
                <w:p w14:paraId="0D826828">
                  <w:pPr>
                    <w:pStyle w:val="2"/>
                    <w:jc w:val="center"/>
                    <w:rPr>
                      <w:rFonts w:hint="default"/>
                      <w:color w:val="auto"/>
                    </w:rPr>
                  </w:pPr>
                </w:p>
              </w:tc>
              <w:tc>
                <w:tcPr>
                  <w:tcW w:w="900" w:type="dxa"/>
                  <w:shd w:val="clear" w:color="auto" w:fill="auto"/>
                  <w:vAlign w:val="center"/>
                </w:tcPr>
                <w:p w14:paraId="53959A32">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046EF011">
                  <w:pPr>
                    <w:pStyle w:val="2"/>
                    <w:jc w:val="center"/>
                    <w:rPr>
                      <w:rFonts w:hint="default"/>
                      <w:color w:val="auto"/>
                    </w:rPr>
                  </w:pPr>
                </w:p>
              </w:tc>
              <w:tc>
                <w:tcPr>
                  <w:tcW w:w="0" w:type="auto"/>
                  <w:vMerge w:val="continue"/>
                  <w:shd w:val="clear" w:color="auto" w:fill="auto"/>
                  <w:vAlign w:val="center"/>
                </w:tcPr>
                <w:p w14:paraId="2C742C8A">
                  <w:pPr>
                    <w:pStyle w:val="2"/>
                    <w:jc w:val="center"/>
                    <w:rPr>
                      <w:rFonts w:hint="default"/>
                      <w:color w:val="auto"/>
                    </w:rPr>
                  </w:pPr>
                </w:p>
              </w:tc>
              <w:tc>
                <w:tcPr>
                  <w:tcW w:w="0" w:type="auto"/>
                  <w:shd w:val="clear" w:color="auto" w:fill="auto"/>
                  <w:vAlign w:val="center"/>
                </w:tcPr>
                <w:p w14:paraId="0E3C250D">
                  <w:pPr>
                    <w:pStyle w:val="2"/>
                    <w:jc w:val="center"/>
                    <w:rPr>
                      <w:rFonts w:hint="default"/>
                      <w:color w:val="auto"/>
                    </w:rPr>
                  </w:pPr>
                  <w:r>
                    <w:rPr>
                      <w:rFonts w:hint="default"/>
                      <w:color w:val="auto"/>
                      <w:lang w:val="en-US" w:eastAsia="zh-CN"/>
                    </w:rPr>
                    <w:t>16.08</w:t>
                  </w:r>
                </w:p>
              </w:tc>
              <w:tc>
                <w:tcPr>
                  <w:tcW w:w="0" w:type="auto"/>
                  <w:shd w:val="clear" w:color="auto" w:fill="auto"/>
                  <w:vAlign w:val="center"/>
                </w:tcPr>
                <w:p w14:paraId="5BEBD822">
                  <w:pPr>
                    <w:pStyle w:val="2"/>
                    <w:jc w:val="center"/>
                    <w:rPr>
                      <w:rFonts w:hint="default"/>
                      <w:color w:val="auto"/>
                      <w:lang w:val="en-US"/>
                    </w:rPr>
                  </w:pPr>
                  <w:r>
                    <w:rPr>
                      <w:rFonts w:hint="eastAsia"/>
                      <w:color w:val="auto"/>
                      <w:lang w:val="en-US" w:eastAsia="zh-CN"/>
                    </w:rPr>
                    <w:t>0.15</w:t>
                  </w:r>
                </w:p>
              </w:tc>
              <w:tc>
                <w:tcPr>
                  <w:tcW w:w="0" w:type="auto"/>
                  <w:vMerge w:val="continue"/>
                  <w:shd w:val="clear" w:color="auto" w:fill="auto"/>
                  <w:vAlign w:val="center"/>
                </w:tcPr>
                <w:p w14:paraId="6E3253FE">
                  <w:pPr>
                    <w:pStyle w:val="2"/>
                    <w:jc w:val="center"/>
                    <w:rPr>
                      <w:rFonts w:hint="default"/>
                      <w:color w:val="auto"/>
                    </w:rPr>
                  </w:pPr>
                </w:p>
              </w:tc>
            </w:tr>
            <w:tr w14:paraId="4D0BF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2" w:hRule="atLeast"/>
              </w:trPr>
              <w:tc>
                <w:tcPr>
                  <w:tcW w:w="0" w:type="auto"/>
                  <w:vMerge w:val="continue"/>
                  <w:shd w:val="clear" w:color="auto" w:fill="auto"/>
                  <w:vAlign w:val="center"/>
                </w:tcPr>
                <w:p w14:paraId="5F881DEF">
                  <w:pPr>
                    <w:pStyle w:val="2"/>
                    <w:jc w:val="center"/>
                    <w:rPr>
                      <w:rFonts w:hint="default"/>
                      <w:color w:val="auto"/>
                    </w:rPr>
                  </w:pPr>
                </w:p>
              </w:tc>
              <w:tc>
                <w:tcPr>
                  <w:tcW w:w="0" w:type="auto"/>
                  <w:vMerge w:val="continue"/>
                  <w:shd w:val="clear" w:color="auto" w:fill="auto"/>
                  <w:vAlign w:val="center"/>
                </w:tcPr>
                <w:p w14:paraId="6971795E">
                  <w:pPr>
                    <w:pStyle w:val="2"/>
                    <w:jc w:val="center"/>
                    <w:rPr>
                      <w:rFonts w:hint="default"/>
                      <w:color w:val="auto"/>
                    </w:rPr>
                  </w:pPr>
                </w:p>
              </w:tc>
              <w:tc>
                <w:tcPr>
                  <w:tcW w:w="0" w:type="auto"/>
                  <w:shd w:val="clear" w:color="auto" w:fill="auto"/>
                  <w:vAlign w:val="center"/>
                </w:tcPr>
                <w:p w14:paraId="47BC32D8">
                  <w:pPr>
                    <w:pStyle w:val="2"/>
                    <w:jc w:val="center"/>
                    <w:rPr>
                      <w:rFonts w:hint="default"/>
                      <w:color w:val="auto"/>
                    </w:rPr>
                  </w:pPr>
                  <w:r>
                    <w:rPr>
                      <w:rFonts w:hint="default"/>
                      <w:color w:val="auto"/>
                      <w:lang w:val="en-US" w:eastAsia="zh-CN"/>
                    </w:rPr>
                    <w:t>NH</w:t>
                  </w:r>
                  <w:r>
                    <w:rPr>
                      <w:color w:val="auto"/>
                      <w:lang w:val="en-US" w:eastAsia="zh-CN"/>
                    </w:rPr>
                    <w:t>3-</w:t>
                  </w:r>
                  <w:r>
                    <w:rPr>
                      <w:rFonts w:hint="default"/>
                      <w:color w:val="auto"/>
                      <w:lang w:val="en-US" w:eastAsia="zh-CN"/>
                    </w:rPr>
                    <w:t>N</w:t>
                  </w:r>
                </w:p>
              </w:tc>
              <w:tc>
                <w:tcPr>
                  <w:tcW w:w="821" w:type="dxa"/>
                  <w:vMerge w:val="continue"/>
                  <w:shd w:val="clear" w:color="auto" w:fill="auto"/>
                  <w:vAlign w:val="center"/>
                </w:tcPr>
                <w:p w14:paraId="7427A9FE">
                  <w:pPr>
                    <w:pStyle w:val="2"/>
                    <w:jc w:val="center"/>
                    <w:rPr>
                      <w:rFonts w:hint="default"/>
                      <w:color w:val="auto"/>
                    </w:rPr>
                  </w:pPr>
                </w:p>
              </w:tc>
              <w:tc>
                <w:tcPr>
                  <w:tcW w:w="849" w:type="dxa"/>
                  <w:vMerge w:val="continue"/>
                  <w:shd w:val="clear" w:color="auto" w:fill="auto"/>
                  <w:vAlign w:val="center"/>
                </w:tcPr>
                <w:p w14:paraId="1107FFD2">
                  <w:pPr>
                    <w:pStyle w:val="2"/>
                    <w:jc w:val="center"/>
                    <w:rPr>
                      <w:rFonts w:hint="default"/>
                      <w:color w:val="auto"/>
                    </w:rPr>
                  </w:pPr>
                </w:p>
              </w:tc>
              <w:tc>
                <w:tcPr>
                  <w:tcW w:w="0" w:type="auto"/>
                  <w:shd w:val="clear" w:color="auto" w:fill="auto"/>
                  <w:vAlign w:val="center"/>
                </w:tcPr>
                <w:p w14:paraId="75D493E7">
                  <w:pPr>
                    <w:pStyle w:val="2"/>
                    <w:jc w:val="center"/>
                    <w:rPr>
                      <w:rFonts w:hint="default"/>
                      <w:color w:val="auto"/>
                    </w:rPr>
                  </w:pPr>
                  <w:r>
                    <w:rPr>
                      <w:rFonts w:hint="default"/>
                      <w:color w:val="auto"/>
                      <w:lang w:val="en-US" w:eastAsia="zh-CN"/>
                    </w:rPr>
                    <w:t>14.93</w:t>
                  </w:r>
                </w:p>
              </w:tc>
              <w:tc>
                <w:tcPr>
                  <w:tcW w:w="0" w:type="auto"/>
                  <w:shd w:val="clear" w:color="auto" w:fill="auto"/>
                  <w:vAlign w:val="center"/>
                </w:tcPr>
                <w:p w14:paraId="1B25019A">
                  <w:pPr>
                    <w:pStyle w:val="2"/>
                    <w:jc w:val="center"/>
                    <w:rPr>
                      <w:rFonts w:hint="default"/>
                      <w:color w:val="auto"/>
                      <w:lang w:val="en-US"/>
                    </w:rPr>
                  </w:pPr>
                  <w:r>
                    <w:rPr>
                      <w:rFonts w:hint="eastAsia"/>
                      <w:color w:val="auto"/>
                      <w:lang w:val="en-US" w:eastAsia="zh-CN"/>
                    </w:rPr>
                    <w:t>0.14</w:t>
                  </w:r>
                </w:p>
              </w:tc>
              <w:tc>
                <w:tcPr>
                  <w:tcW w:w="1689" w:type="dxa"/>
                  <w:vMerge w:val="continue"/>
                  <w:shd w:val="clear" w:color="auto" w:fill="auto"/>
                  <w:vAlign w:val="center"/>
                </w:tcPr>
                <w:p w14:paraId="3DA01B52">
                  <w:pPr>
                    <w:pStyle w:val="2"/>
                    <w:jc w:val="center"/>
                    <w:rPr>
                      <w:rFonts w:hint="default"/>
                      <w:color w:val="auto"/>
                    </w:rPr>
                  </w:pPr>
                </w:p>
              </w:tc>
              <w:tc>
                <w:tcPr>
                  <w:tcW w:w="900" w:type="dxa"/>
                  <w:shd w:val="clear" w:color="auto" w:fill="auto"/>
                  <w:vAlign w:val="center"/>
                </w:tcPr>
                <w:p w14:paraId="7E328937">
                  <w:pPr>
                    <w:pStyle w:val="2"/>
                    <w:jc w:val="center"/>
                    <w:rPr>
                      <w:rFonts w:hint="default"/>
                      <w:color w:val="auto"/>
                    </w:rPr>
                  </w:pPr>
                  <w:r>
                    <w:rPr>
                      <w:rFonts w:hint="default"/>
                      <w:color w:val="auto"/>
                      <w:lang w:val="en-US" w:eastAsia="zh-CN"/>
                    </w:rPr>
                    <w:t>90</w:t>
                  </w:r>
                </w:p>
              </w:tc>
              <w:tc>
                <w:tcPr>
                  <w:tcW w:w="857" w:type="dxa"/>
                  <w:vMerge w:val="continue"/>
                  <w:shd w:val="clear" w:color="auto" w:fill="auto"/>
                  <w:vAlign w:val="center"/>
                </w:tcPr>
                <w:p w14:paraId="2D5DBA7E">
                  <w:pPr>
                    <w:pStyle w:val="2"/>
                    <w:jc w:val="center"/>
                    <w:rPr>
                      <w:rFonts w:hint="default"/>
                      <w:color w:val="auto"/>
                    </w:rPr>
                  </w:pPr>
                </w:p>
              </w:tc>
              <w:tc>
                <w:tcPr>
                  <w:tcW w:w="0" w:type="auto"/>
                  <w:vMerge w:val="continue"/>
                  <w:shd w:val="clear" w:color="auto" w:fill="auto"/>
                  <w:vAlign w:val="center"/>
                </w:tcPr>
                <w:p w14:paraId="40B057F4">
                  <w:pPr>
                    <w:pStyle w:val="2"/>
                    <w:jc w:val="center"/>
                    <w:rPr>
                      <w:rFonts w:hint="default"/>
                      <w:color w:val="auto"/>
                    </w:rPr>
                  </w:pPr>
                </w:p>
              </w:tc>
              <w:tc>
                <w:tcPr>
                  <w:tcW w:w="0" w:type="auto"/>
                  <w:shd w:val="clear" w:color="auto" w:fill="auto"/>
                  <w:vAlign w:val="center"/>
                </w:tcPr>
                <w:p w14:paraId="04BD8381">
                  <w:pPr>
                    <w:pStyle w:val="2"/>
                    <w:jc w:val="center"/>
                    <w:rPr>
                      <w:rFonts w:hint="default"/>
                      <w:color w:val="auto"/>
                    </w:rPr>
                  </w:pPr>
                  <w:r>
                    <w:rPr>
                      <w:rFonts w:hint="default"/>
                      <w:color w:val="auto"/>
                      <w:lang w:val="en-US" w:eastAsia="zh-CN"/>
                    </w:rPr>
                    <w:t>1.493</w:t>
                  </w:r>
                </w:p>
              </w:tc>
              <w:tc>
                <w:tcPr>
                  <w:tcW w:w="0" w:type="auto"/>
                  <w:shd w:val="clear" w:color="auto" w:fill="auto"/>
                  <w:vAlign w:val="center"/>
                </w:tcPr>
                <w:p w14:paraId="33E36C23">
                  <w:pPr>
                    <w:pStyle w:val="2"/>
                    <w:jc w:val="center"/>
                    <w:rPr>
                      <w:rFonts w:hint="default"/>
                      <w:color w:val="auto"/>
                      <w:lang w:val="en-US"/>
                    </w:rPr>
                  </w:pPr>
                  <w:r>
                    <w:rPr>
                      <w:rFonts w:hint="eastAsia"/>
                      <w:color w:val="auto"/>
                      <w:lang w:val="en-US" w:eastAsia="zh-CN"/>
                    </w:rPr>
                    <w:t>0.014</w:t>
                  </w:r>
                </w:p>
              </w:tc>
              <w:tc>
                <w:tcPr>
                  <w:tcW w:w="0" w:type="auto"/>
                  <w:vMerge w:val="continue"/>
                  <w:shd w:val="clear" w:color="auto" w:fill="auto"/>
                  <w:vAlign w:val="center"/>
                </w:tcPr>
                <w:p w14:paraId="6DEA7913">
                  <w:pPr>
                    <w:pStyle w:val="2"/>
                    <w:jc w:val="center"/>
                    <w:rPr>
                      <w:rFonts w:hint="default"/>
                      <w:color w:val="auto"/>
                    </w:rPr>
                  </w:pPr>
                </w:p>
              </w:tc>
            </w:tr>
            <w:tr w14:paraId="63F30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44A71348">
                  <w:pPr>
                    <w:pStyle w:val="2"/>
                    <w:jc w:val="center"/>
                    <w:rPr>
                      <w:rFonts w:hint="default"/>
                      <w:color w:val="auto"/>
                    </w:rPr>
                  </w:pPr>
                </w:p>
              </w:tc>
              <w:tc>
                <w:tcPr>
                  <w:tcW w:w="0" w:type="auto"/>
                  <w:vMerge w:val="continue"/>
                  <w:shd w:val="clear" w:color="auto" w:fill="auto"/>
                  <w:vAlign w:val="center"/>
                </w:tcPr>
                <w:p w14:paraId="59F31904">
                  <w:pPr>
                    <w:pStyle w:val="2"/>
                    <w:jc w:val="center"/>
                    <w:rPr>
                      <w:rFonts w:hint="default"/>
                      <w:color w:val="auto"/>
                    </w:rPr>
                  </w:pPr>
                </w:p>
              </w:tc>
              <w:tc>
                <w:tcPr>
                  <w:tcW w:w="0" w:type="auto"/>
                  <w:shd w:val="clear" w:color="auto" w:fill="auto"/>
                  <w:vAlign w:val="center"/>
                </w:tcPr>
                <w:p w14:paraId="2720903D">
                  <w:pPr>
                    <w:pStyle w:val="2"/>
                    <w:jc w:val="center"/>
                    <w:rPr>
                      <w:rFonts w:hint="default"/>
                      <w:color w:val="auto"/>
                    </w:rPr>
                  </w:pPr>
                  <w:r>
                    <w:rPr>
                      <w:rFonts w:hint="default"/>
                      <w:color w:val="auto"/>
                      <w:lang w:val="en-US" w:eastAsia="zh-CN"/>
                    </w:rPr>
                    <w:t>TN</w:t>
                  </w:r>
                </w:p>
              </w:tc>
              <w:tc>
                <w:tcPr>
                  <w:tcW w:w="821" w:type="dxa"/>
                  <w:vMerge w:val="continue"/>
                  <w:shd w:val="clear" w:color="auto" w:fill="auto"/>
                  <w:vAlign w:val="center"/>
                </w:tcPr>
                <w:p w14:paraId="1DB5A846">
                  <w:pPr>
                    <w:pStyle w:val="2"/>
                    <w:jc w:val="center"/>
                    <w:rPr>
                      <w:rFonts w:hint="default"/>
                      <w:color w:val="auto"/>
                    </w:rPr>
                  </w:pPr>
                </w:p>
              </w:tc>
              <w:tc>
                <w:tcPr>
                  <w:tcW w:w="849" w:type="dxa"/>
                  <w:vMerge w:val="continue"/>
                  <w:shd w:val="clear" w:color="auto" w:fill="auto"/>
                  <w:vAlign w:val="center"/>
                </w:tcPr>
                <w:p w14:paraId="6C77BD93">
                  <w:pPr>
                    <w:pStyle w:val="2"/>
                    <w:jc w:val="center"/>
                    <w:rPr>
                      <w:rFonts w:hint="default"/>
                      <w:color w:val="auto"/>
                    </w:rPr>
                  </w:pPr>
                </w:p>
              </w:tc>
              <w:tc>
                <w:tcPr>
                  <w:tcW w:w="0" w:type="auto"/>
                  <w:shd w:val="clear" w:color="auto" w:fill="auto"/>
                  <w:vAlign w:val="center"/>
                </w:tcPr>
                <w:p w14:paraId="69A6DDDA">
                  <w:pPr>
                    <w:pStyle w:val="2"/>
                    <w:jc w:val="center"/>
                    <w:rPr>
                      <w:rFonts w:hint="default"/>
                      <w:color w:val="auto"/>
                    </w:rPr>
                  </w:pPr>
                  <w:r>
                    <w:rPr>
                      <w:rFonts w:hint="default"/>
                      <w:color w:val="auto"/>
                      <w:lang w:val="en-US" w:eastAsia="zh-CN"/>
                    </w:rPr>
                    <w:t>21.1</w:t>
                  </w:r>
                </w:p>
              </w:tc>
              <w:tc>
                <w:tcPr>
                  <w:tcW w:w="0" w:type="auto"/>
                  <w:shd w:val="clear" w:color="auto" w:fill="auto"/>
                  <w:vAlign w:val="center"/>
                </w:tcPr>
                <w:p w14:paraId="2B0EE204">
                  <w:pPr>
                    <w:pStyle w:val="2"/>
                    <w:jc w:val="center"/>
                    <w:rPr>
                      <w:rFonts w:hint="default"/>
                      <w:color w:val="auto"/>
                      <w:lang w:val="en-US"/>
                    </w:rPr>
                  </w:pPr>
                  <w:r>
                    <w:rPr>
                      <w:rFonts w:hint="eastAsia"/>
                      <w:color w:val="auto"/>
                      <w:lang w:val="en-US" w:eastAsia="zh-CN"/>
                    </w:rPr>
                    <w:t>0.197</w:t>
                  </w:r>
                </w:p>
              </w:tc>
              <w:tc>
                <w:tcPr>
                  <w:tcW w:w="1689" w:type="dxa"/>
                  <w:vMerge w:val="continue"/>
                  <w:shd w:val="clear" w:color="auto" w:fill="auto"/>
                  <w:vAlign w:val="center"/>
                </w:tcPr>
                <w:p w14:paraId="61C0EFEC">
                  <w:pPr>
                    <w:pStyle w:val="2"/>
                    <w:jc w:val="center"/>
                    <w:rPr>
                      <w:rFonts w:hint="default"/>
                      <w:color w:val="auto"/>
                    </w:rPr>
                  </w:pPr>
                </w:p>
              </w:tc>
              <w:tc>
                <w:tcPr>
                  <w:tcW w:w="900" w:type="dxa"/>
                  <w:shd w:val="clear" w:color="auto" w:fill="auto"/>
                  <w:vAlign w:val="center"/>
                </w:tcPr>
                <w:p w14:paraId="2777415B">
                  <w:pPr>
                    <w:pStyle w:val="2"/>
                    <w:jc w:val="center"/>
                    <w:rPr>
                      <w:rFonts w:hint="default"/>
                      <w:color w:val="auto"/>
                    </w:rPr>
                  </w:pPr>
                  <w:r>
                    <w:rPr>
                      <w:rFonts w:hint="default"/>
                      <w:color w:val="auto"/>
                      <w:lang w:val="en-US" w:eastAsia="zh-CN"/>
                    </w:rPr>
                    <w:t>56</w:t>
                  </w:r>
                </w:p>
              </w:tc>
              <w:tc>
                <w:tcPr>
                  <w:tcW w:w="857" w:type="dxa"/>
                  <w:vMerge w:val="continue"/>
                  <w:shd w:val="clear" w:color="auto" w:fill="auto"/>
                  <w:vAlign w:val="center"/>
                </w:tcPr>
                <w:p w14:paraId="084936A4">
                  <w:pPr>
                    <w:pStyle w:val="2"/>
                    <w:jc w:val="center"/>
                    <w:rPr>
                      <w:rFonts w:hint="default"/>
                      <w:color w:val="auto"/>
                    </w:rPr>
                  </w:pPr>
                </w:p>
              </w:tc>
              <w:tc>
                <w:tcPr>
                  <w:tcW w:w="0" w:type="auto"/>
                  <w:vMerge w:val="continue"/>
                  <w:shd w:val="clear" w:color="auto" w:fill="auto"/>
                  <w:vAlign w:val="center"/>
                </w:tcPr>
                <w:p w14:paraId="1C280443">
                  <w:pPr>
                    <w:pStyle w:val="2"/>
                    <w:jc w:val="center"/>
                    <w:rPr>
                      <w:rFonts w:hint="default"/>
                      <w:color w:val="auto"/>
                    </w:rPr>
                  </w:pPr>
                </w:p>
              </w:tc>
              <w:tc>
                <w:tcPr>
                  <w:tcW w:w="0" w:type="auto"/>
                  <w:shd w:val="clear" w:color="auto" w:fill="auto"/>
                  <w:vAlign w:val="center"/>
                </w:tcPr>
                <w:p w14:paraId="6430FF3C">
                  <w:pPr>
                    <w:pStyle w:val="2"/>
                    <w:jc w:val="center"/>
                    <w:rPr>
                      <w:rFonts w:hint="default"/>
                      <w:color w:val="auto"/>
                    </w:rPr>
                  </w:pPr>
                  <w:r>
                    <w:rPr>
                      <w:rFonts w:hint="default"/>
                      <w:color w:val="auto"/>
                      <w:lang w:val="en-US" w:eastAsia="zh-CN"/>
                    </w:rPr>
                    <w:t>9.284</w:t>
                  </w:r>
                </w:p>
              </w:tc>
              <w:tc>
                <w:tcPr>
                  <w:tcW w:w="0" w:type="auto"/>
                  <w:shd w:val="clear" w:color="auto" w:fill="auto"/>
                  <w:vAlign w:val="center"/>
                </w:tcPr>
                <w:p w14:paraId="3B58D9B5">
                  <w:pPr>
                    <w:pStyle w:val="2"/>
                    <w:jc w:val="center"/>
                    <w:rPr>
                      <w:rFonts w:hint="default"/>
                      <w:color w:val="auto"/>
                      <w:lang w:val="en-US"/>
                    </w:rPr>
                  </w:pPr>
                  <w:r>
                    <w:rPr>
                      <w:rFonts w:hint="eastAsia"/>
                      <w:color w:val="auto"/>
                      <w:lang w:val="en-US" w:eastAsia="zh-CN"/>
                    </w:rPr>
                    <w:t>0.087</w:t>
                  </w:r>
                </w:p>
              </w:tc>
              <w:tc>
                <w:tcPr>
                  <w:tcW w:w="0" w:type="auto"/>
                  <w:vMerge w:val="continue"/>
                  <w:shd w:val="clear" w:color="auto" w:fill="auto"/>
                  <w:vAlign w:val="center"/>
                </w:tcPr>
                <w:p w14:paraId="3F882817">
                  <w:pPr>
                    <w:pStyle w:val="2"/>
                    <w:jc w:val="center"/>
                    <w:rPr>
                      <w:rFonts w:hint="default"/>
                      <w:color w:val="auto"/>
                    </w:rPr>
                  </w:pPr>
                </w:p>
              </w:tc>
            </w:tr>
            <w:tr w14:paraId="7B034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0" w:type="auto"/>
                  <w:vMerge w:val="continue"/>
                  <w:shd w:val="clear" w:color="auto" w:fill="auto"/>
                  <w:vAlign w:val="center"/>
                </w:tcPr>
                <w:p w14:paraId="61E83123">
                  <w:pPr>
                    <w:pStyle w:val="2"/>
                    <w:jc w:val="center"/>
                    <w:rPr>
                      <w:rFonts w:hint="default"/>
                      <w:color w:val="auto"/>
                    </w:rPr>
                  </w:pPr>
                </w:p>
              </w:tc>
              <w:tc>
                <w:tcPr>
                  <w:tcW w:w="0" w:type="auto"/>
                  <w:vMerge w:val="continue"/>
                  <w:shd w:val="clear" w:color="auto" w:fill="auto"/>
                  <w:vAlign w:val="center"/>
                </w:tcPr>
                <w:p w14:paraId="5D3BAF35">
                  <w:pPr>
                    <w:pStyle w:val="2"/>
                    <w:jc w:val="center"/>
                    <w:rPr>
                      <w:rFonts w:hint="default"/>
                      <w:color w:val="auto"/>
                    </w:rPr>
                  </w:pPr>
                </w:p>
              </w:tc>
              <w:tc>
                <w:tcPr>
                  <w:tcW w:w="0" w:type="auto"/>
                  <w:shd w:val="clear" w:color="auto" w:fill="auto"/>
                  <w:vAlign w:val="center"/>
                </w:tcPr>
                <w:p w14:paraId="45C42216">
                  <w:pPr>
                    <w:pStyle w:val="2"/>
                    <w:jc w:val="center"/>
                    <w:rPr>
                      <w:rFonts w:hint="default"/>
                      <w:color w:val="auto"/>
                    </w:rPr>
                  </w:pPr>
                  <w:r>
                    <w:rPr>
                      <w:rFonts w:hint="default"/>
                      <w:color w:val="auto"/>
                      <w:lang w:val="en-US" w:eastAsia="zh-CN"/>
                    </w:rPr>
                    <w:t>TP</w:t>
                  </w:r>
                </w:p>
              </w:tc>
              <w:tc>
                <w:tcPr>
                  <w:tcW w:w="821" w:type="dxa"/>
                  <w:vMerge w:val="continue"/>
                  <w:shd w:val="clear" w:color="auto" w:fill="auto"/>
                  <w:vAlign w:val="center"/>
                </w:tcPr>
                <w:p w14:paraId="2CB540E5">
                  <w:pPr>
                    <w:pStyle w:val="2"/>
                    <w:jc w:val="center"/>
                    <w:rPr>
                      <w:rFonts w:hint="default"/>
                      <w:color w:val="auto"/>
                    </w:rPr>
                  </w:pPr>
                </w:p>
              </w:tc>
              <w:tc>
                <w:tcPr>
                  <w:tcW w:w="849" w:type="dxa"/>
                  <w:vMerge w:val="continue"/>
                  <w:shd w:val="clear" w:color="auto" w:fill="auto"/>
                  <w:vAlign w:val="center"/>
                </w:tcPr>
                <w:p w14:paraId="61ED3786">
                  <w:pPr>
                    <w:pStyle w:val="2"/>
                    <w:jc w:val="center"/>
                    <w:rPr>
                      <w:rFonts w:hint="default"/>
                      <w:color w:val="auto"/>
                    </w:rPr>
                  </w:pPr>
                </w:p>
              </w:tc>
              <w:tc>
                <w:tcPr>
                  <w:tcW w:w="0" w:type="auto"/>
                  <w:shd w:val="clear" w:color="auto" w:fill="auto"/>
                  <w:vAlign w:val="center"/>
                </w:tcPr>
                <w:p w14:paraId="7467989B">
                  <w:pPr>
                    <w:pStyle w:val="2"/>
                    <w:jc w:val="center"/>
                    <w:rPr>
                      <w:rFonts w:hint="default"/>
                      <w:color w:val="auto"/>
                    </w:rPr>
                  </w:pPr>
                  <w:r>
                    <w:rPr>
                      <w:rFonts w:hint="default"/>
                      <w:color w:val="auto"/>
                      <w:lang w:val="en-US" w:eastAsia="zh-CN"/>
                    </w:rPr>
                    <w:t>5.7</w:t>
                  </w:r>
                </w:p>
              </w:tc>
              <w:tc>
                <w:tcPr>
                  <w:tcW w:w="0" w:type="auto"/>
                  <w:shd w:val="clear" w:color="auto" w:fill="auto"/>
                  <w:vAlign w:val="center"/>
                </w:tcPr>
                <w:p w14:paraId="50DCC434">
                  <w:pPr>
                    <w:pStyle w:val="2"/>
                    <w:jc w:val="center"/>
                    <w:rPr>
                      <w:rFonts w:hint="default"/>
                      <w:color w:val="auto"/>
                      <w:lang w:val="en-US"/>
                    </w:rPr>
                  </w:pPr>
                  <w:r>
                    <w:rPr>
                      <w:rFonts w:hint="eastAsia"/>
                      <w:color w:val="auto"/>
                      <w:lang w:val="en-US" w:eastAsia="zh-CN"/>
                    </w:rPr>
                    <w:t>0.053</w:t>
                  </w:r>
                </w:p>
              </w:tc>
              <w:tc>
                <w:tcPr>
                  <w:tcW w:w="1689" w:type="dxa"/>
                  <w:vMerge w:val="continue"/>
                  <w:shd w:val="clear" w:color="auto" w:fill="auto"/>
                  <w:vAlign w:val="center"/>
                </w:tcPr>
                <w:p w14:paraId="0BB8DFCD">
                  <w:pPr>
                    <w:pStyle w:val="2"/>
                    <w:jc w:val="center"/>
                    <w:rPr>
                      <w:rFonts w:hint="default"/>
                      <w:color w:val="auto"/>
                    </w:rPr>
                  </w:pPr>
                </w:p>
              </w:tc>
              <w:tc>
                <w:tcPr>
                  <w:tcW w:w="900" w:type="dxa"/>
                  <w:shd w:val="clear" w:color="auto" w:fill="auto"/>
                  <w:vAlign w:val="center"/>
                </w:tcPr>
                <w:p w14:paraId="715CAE29">
                  <w:pPr>
                    <w:pStyle w:val="2"/>
                    <w:jc w:val="center"/>
                    <w:rPr>
                      <w:rFonts w:hint="default"/>
                      <w:color w:val="auto"/>
                    </w:rPr>
                  </w:pPr>
                  <w:r>
                    <w:rPr>
                      <w:rFonts w:hint="default"/>
                      <w:color w:val="auto"/>
                      <w:lang w:val="en-US" w:eastAsia="zh-CN"/>
                    </w:rPr>
                    <w:t>57</w:t>
                  </w:r>
                </w:p>
              </w:tc>
              <w:tc>
                <w:tcPr>
                  <w:tcW w:w="857" w:type="dxa"/>
                  <w:vMerge w:val="continue"/>
                  <w:shd w:val="clear" w:color="auto" w:fill="auto"/>
                  <w:vAlign w:val="center"/>
                </w:tcPr>
                <w:p w14:paraId="56BD7D79">
                  <w:pPr>
                    <w:pStyle w:val="2"/>
                    <w:jc w:val="center"/>
                    <w:rPr>
                      <w:rFonts w:hint="default"/>
                      <w:color w:val="auto"/>
                    </w:rPr>
                  </w:pPr>
                </w:p>
              </w:tc>
              <w:tc>
                <w:tcPr>
                  <w:tcW w:w="0" w:type="auto"/>
                  <w:vMerge w:val="continue"/>
                  <w:shd w:val="clear" w:color="auto" w:fill="auto"/>
                  <w:vAlign w:val="center"/>
                </w:tcPr>
                <w:p w14:paraId="077CBC9D">
                  <w:pPr>
                    <w:pStyle w:val="2"/>
                    <w:jc w:val="center"/>
                    <w:rPr>
                      <w:rFonts w:hint="default"/>
                      <w:color w:val="auto"/>
                    </w:rPr>
                  </w:pPr>
                </w:p>
              </w:tc>
              <w:tc>
                <w:tcPr>
                  <w:tcW w:w="0" w:type="auto"/>
                  <w:shd w:val="clear" w:color="auto" w:fill="auto"/>
                  <w:vAlign w:val="center"/>
                </w:tcPr>
                <w:p w14:paraId="51D5F8C6">
                  <w:pPr>
                    <w:pStyle w:val="2"/>
                    <w:jc w:val="center"/>
                    <w:rPr>
                      <w:rFonts w:hint="default"/>
                      <w:color w:val="auto"/>
                    </w:rPr>
                  </w:pPr>
                  <w:r>
                    <w:rPr>
                      <w:rFonts w:hint="default"/>
                      <w:color w:val="auto"/>
                      <w:lang w:val="en-US" w:eastAsia="zh-CN"/>
                    </w:rPr>
                    <w:t>2.451</w:t>
                  </w:r>
                </w:p>
              </w:tc>
              <w:tc>
                <w:tcPr>
                  <w:tcW w:w="0" w:type="auto"/>
                  <w:shd w:val="clear" w:color="auto" w:fill="auto"/>
                  <w:vAlign w:val="center"/>
                </w:tcPr>
                <w:p w14:paraId="78DD721F">
                  <w:pPr>
                    <w:pStyle w:val="2"/>
                    <w:jc w:val="center"/>
                    <w:rPr>
                      <w:rFonts w:hint="default"/>
                      <w:color w:val="auto"/>
                      <w:lang w:val="en-US"/>
                    </w:rPr>
                  </w:pPr>
                  <w:r>
                    <w:rPr>
                      <w:rFonts w:hint="eastAsia"/>
                      <w:color w:val="auto"/>
                      <w:lang w:val="en-US" w:eastAsia="zh-CN"/>
                    </w:rPr>
                    <w:t>0.023</w:t>
                  </w:r>
                </w:p>
              </w:tc>
              <w:tc>
                <w:tcPr>
                  <w:tcW w:w="0" w:type="auto"/>
                  <w:vMerge w:val="continue"/>
                  <w:shd w:val="clear" w:color="auto" w:fill="auto"/>
                  <w:vAlign w:val="center"/>
                </w:tcPr>
                <w:p w14:paraId="0E2743A1">
                  <w:pPr>
                    <w:pStyle w:val="2"/>
                    <w:jc w:val="center"/>
                    <w:rPr>
                      <w:rFonts w:hint="default"/>
                      <w:color w:val="auto"/>
                    </w:rPr>
                  </w:pPr>
                </w:p>
              </w:tc>
            </w:tr>
            <w:tr w14:paraId="05CC2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0" w:type="auto"/>
                  <w:vMerge w:val="continue"/>
                  <w:shd w:val="clear" w:color="auto" w:fill="auto"/>
                  <w:vAlign w:val="center"/>
                </w:tcPr>
                <w:p w14:paraId="440910E4">
                  <w:pPr>
                    <w:pStyle w:val="2"/>
                    <w:jc w:val="center"/>
                    <w:rPr>
                      <w:rFonts w:hint="default"/>
                      <w:color w:val="auto"/>
                    </w:rPr>
                  </w:pPr>
                </w:p>
              </w:tc>
              <w:tc>
                <w:tcPr>
                  <w:tcW w:w="0" w:type="auto"/>
                  <w:vMerge w:val="continue"/>
                  <w:shd w:val="clear" w:color="auto" w:fill="auto"/>
                  <w:vAlign w:val="center"/>
                </w:tcPr>
                <w:p w14:paraId="01772E5C">
                  <w:pPr>
                    <w:pStyle w:val="2"/>
                    <w:jc w:val="center"/>
                    <w:rPr>
                      <w:rFonts w:hint="default"/>
                      <w:color w:val="auto"/>
                    </w:rPr>
                  </w:pPr>
                </w:p>
              </w:tc>
              <w:tc>
                <w:tcPr>
                  <w:tcW w:w="0" w:type="auto"/>
                  <w:shd w:val="clear" w:color="auto" w:fill="auto"/>
                  <w:vAlign w:val="center"/>
                </w:tcPr>
                <w:p w14:paraId="0909DD98">
                  <w:pPr>
                    <w:pStyle w:val="2"/>
                    <w:jc w:val="center"/>
                    <w:rPr>
                      <w:rFonts w:hint="default"/>
                      <w:color w:val="auto"/>
                    </w:rPr>
                  </w:pPr>
                  <w:r>
                    <w:rPr>
                      <w:rFonts w:hint="default"/>
                      <w:color w:val="auto"/>
                      <w:lang w:val="en-US" w:eastAsia="zh-CN"/>
                    </w:rPr>
                    <w:t>LAS</w:t>
                  </w:r>
                </w:p>
              </w:tc>
              <w:tc>
                <w:tcPr>
                  <w:tcW w:w="821" w:type="dxa"/>
                  <w:vMerge w:val="continue"/>
                  <w:shd w:val="clear" w:color="auto" w:fill="auto"/>
                  <w:vAlign w:val="center"/>
                </w:tcPr>
                <w:p w14:paraId="60AFB762">
                  <w:pPr>
                    <w:pStyle w:val="2"/>
                    <w:jc w:val="center"/>
                    <w:rPr>
                      <w:rFonts w:hint="default"/>
                      <w:color w:val="auto"/>
                    </w:rPr>
                  </w:pPr>
                </w:p>
              </w:tc>
              <w:tc>
                <w:tcPr>
                  <w:tcW w:w="849" w:type="dxa"/>
                  <w:vMerge w:val="continue"/>
                  <w:shd w:val="clear" w:color="auto" w:fill="auto"/>
                  <w:vAlign w:val="center"/>
                </w:tcPr>
                <w:p w14:paraId="553F65F1">
                  <w:pPr>
                    <w:pStyle w:val="2"/>
                    <w:jc w:val="center"/>
                    <w:rPr>
                      <w:rFonts w:hint="default"/>
                      <w:color w:val="auto"/>
                    </w:rPr>
                  </w:pPr>
                </w:p>
              </w:tc>
              <w:tc>
                <w:tcPr>
                  <w:tcW w:w="0" w:type="auto"/>
                  <w:shd w:val="clear" w:color="auto" w:fill="auto"/>
                  <w:vAlign w:val="center"/>
                </w:tcPr>
                <w:p w14:paraId="55646D4B">
                  <w:pPr>
                    <w:pStyle w:val="2"/>
                    <w:jc w:val="center"/>
                    <w:rPr>
                      <w:rFonts w:hint="default"/>
                      <w:color w:val="auto"/>
                    </w:rPr>
                  </w:pPr>
                  <w:r>
                    <w:rPr>
                      <w:rFonts w:hint="default"/>
                      <w:color w:val="auto"/>
                      <w:lang w:val="en-US" w:eastAsia="zh-CN"/>
                    </w:rPr>
                    <w:t>4.01</w:t>
                  </w:r>
                </w:p>
              </w:tc>
              <w:tc>
                <w:tcPr>
                  <w:tcW w:w="0" w:type="auto"/>
                  <w:shd w:val="clear" w:color="auto" w:fill="auto"/>
                  <w:vAlign w:val="center"/>
                </w:tcPr>
                <w:p w14:paraId="71A099FC">
                  <w:pPr>
                    <w:pStyle w:val="2"/>
                    <w:jc w:val="center"/>
                    <w:rPr>
                      <w:rFonts w:hint="default"/>
                      <w:color w:val="auto"/>
                    </w:rPr>
                  </w:pPr>
                  <w:r>
                    <w:rPr>
                      <w:rFonts w:hint="default"/>
                      <w:color w:val="auto"/>
                      <w:lang w:val="en-US" w:eastAsia="zh-CN"/>
                    </w:rPr>
                    <w:t>1.8738</w:t>
                  </w:r>
                </w:p>
              </w:tc>
              <w:tc>
                <w:tcPr>
                  <w:tcW w:w="1689" w:type="dxa"/>
                  <w:vMerge w:val="continue"/>
                  <w:shd w:val="clear" w:color="auto" w:fill="auto"/>
                  <w:vAlign w:val="center"/>
                </w:tcPr>
                <w:p w14:paraId="23123727">
                  <w:pPr>
                    <w:pStyle w:val="2"/>
                    <w:jc w:val="center"/>
                    <w:rPr>
                      <w:rFonts w:hint="default"/>
                      <w:color w:val="auto"/>
                    </w:rPr>
                  </w:pPr>
                </w:p>
              </w:tc>
              <w:tc>
                <w:tcPr>
                  <w:tcW w:w="900" w:type="dxa"/>
                  <w:shd w:val="clear" w:color="auto" w:fill="auto"/>
                  <w:vAlign w:val="center"/>
                </w:tcPr>
                <w:p w14:paraId="4C5DC853">
                  <w:pPr>
                    <w:pStyle w:val="2"/>
                    <w:jc w:val="center"/>
                    <w:rPr>
                      <w:rFonts w:hint="default"/>
                      <w:color w:val="auto"/>
                    </w:rPr>
                  </w:pPr>
                  <w:r>
                    <w:rPr>
                      <w:rFonts w:hint="default"/>
                      <w:color w:val="auto"/>
                      <w:lang w:val="en-US" w:eastAsia="zh-CN"/>
                    </w:rPr>
                    <w:t>35</w:t>
                  </w:r>
                </w:p>
              </w:tc>
              <w:tc>
                <w:tcPr>
                  <w:tcW w:w="857" w:type="dxa"/>
                  <w:vMerge w:val="continue"/>
                  <w:shd w:val="clear" w:color="auto" w:fill="auto"/>
                  <w:vAlign w:val="center"/>
                </w:tcPr>
                <w:p w14:paraId="050D1CFC">
                  <w:pPr>
                    <w:pStyle w:val="2"/>
                    <w:jc w:val="center"/>
                    <w:rPr>
                      <w:rFonts w:hint="default"/>
                      <w:color w:val="auto"/>
                    </w:rPr>
                  </w:pPr>
                </w:p>
              </w:tc>
              <w:tc>
                <w:tcPr>
                  <w:tcW w:w="0" w:type="auto"/>
                  <w:vMerge w:val="continue"/>
                  <w:shd w:val="clear" w:color="auto" w:fill="auto"/>
                  <w:vAlign w:val="center"/>
                </w:tcPr>
                <w:p w14:paraId="16ACEF9F">
                  <w:pPr>
                    <w:pStyle w:val="2"/>
                    <w:jc w:val="center"/>
                    <w:rPr>
                      <w:rFonts w:hint="default"/>
                      <w:color w:val="auto"/>
                    </w:rPr>
                  </w:pPr>
                </w:p>
              </w:tc>
              <w:tc>
                <w:tcPr>
                  <w:tcW w:w="0" w:type="auto"/>
                  <w:shd w:val="clear" w:color="auto" w:fill="auto"/>
                  <w:vAlign w:val="center"/>
                </w:tcPr>
                <w:p w14:paraId="751D8871">
                  <w:pPr>
                    <w:pStyle w:val="2"/>
                    <w:jc w:val="center"/>
                    <w:rPr>
                      <w:rFonts w:hint="default"/>
                      <w:color w:val="auto"/>
                    </w:rPr>
                  </w:pPr>
                  <w:r>
                    <w:rPr>
                      <w:rFonts w:hint="default"/>
                      <w:color w:val="auto"/>
                      <w:lang w:val="en-US" w:eastAsia="zh-CN"/>
                    </w:rPr>
                    <w:t>2.607</w:t>
                  </w:r>
                </w:p>
              </w:tc>
              <w:tc>
                <w:tcPr>
                  <w:tcW w:w="0" w:type="auto"/>
                  <w:shd w:val="clear" w:color="auto" w:fill="auto"/>
                  <w:vAlign w:val="center"/>
                </w:tcPr>
                <w:p w14:paraId="0DC15D94">
                  <w:pPr>
                    <w:pStyle w:val="2"/>
                    <w:jc w:val="center"/>
                    <w:rPr>
                      <w:rFonts w:hint="default" w:eastAsia="宋体"/>
                      <w:color w:val="auto"/>
                      <w:lang w:val="en-US" w:eastAsia="zh-CN"/>
                    </w:rPr>
                  </w:pPr>
                  <w:r>
                    <w:rPr>
                      <w:rFonts w:hint="eastAsia"/>
                      <w:color w:val="auto"/>
                      <w:lang w:val="en-US" w:eastAsia="zh-CN"/>
                    </w:rPr>
                    <w:t>0.0244</w:t>
                  </w:r>
                </w:p>
              </w:tc>
              <w:tc>
                <w:tcPr>
                  <w:tcW w:w="0" w:type="auto"/>
                  <w:vMerge w:val="continue"/>
                  <w:shd w:val="clear" w:color="auto" w:fill="auto"/>
                  <w:vAlign w:val="center"/>
                </w:tcPr>
                <w:p w14:paraId="287F0601">
                  <w:pPr>
                    <w:pStyle w:val="2"/>
                    <w:jc w:val="center"/>
                    <w:rPr>
                      <w:rFonts w:hint="default"/>
                      <w:color w:val="auto"/>
                    </w:rPr>
                  </w:pPr>
                </w:p>
              </w:tc>
            </w:tr>
            <w:tr w14:paraId="5842D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112C5C26">
                  <w:pPr>
                    <w:pStyle w:val="2"/>
                    <w:jc w:val="center"/>
                    <w:rPr>
                      <w:rFonts w:hint="default"/>
                      <w:color w:val="auto"/>
                    </w:rPr>
                  </w:pPr>
                </w:p>
              </w:tc>
              <w:tc>
                <w:tcPr>
                  <w:tcW w:w="0" w:type="auto"/>
                  <w:vMerge w:val="continue"/>
                  <w:shd w:val="clear" w:color="auto" w:fill="auto"/>
                  <w:vAlign w:val="center"/>
                </w:tcPr>
                <w:p w14:paraId="0E7982A0">
                  <w:pPr>
                    <w:pStyle w:val="2"/>
                    <w:jc w:val="center"/>
                    <w:rPr>
                      <w:rFonts w:hint="default"/>
                      <w:color w:val="auto"/>
                    </w:rPr>
                  </w:pPr>
                </w:p>
              </w:tc>
              <w:tc>
                <w:tcPr>
                  <w:tcW w:w="0" w:type="auto"/>
                  <w:shd w:val="clear" w:color="auto" w:fill="auto"/>
                  <w:vAlign w:val="center"/>
                </w:tcPr>
                <w:p w14:paraId="71173C9D">
                  <w:pPr>
                    <w:pStyle w:val="2"/>
                    <w:jc w:val="center"/>
                    <w:rPr>
                      <w:rFonts w:hint="eastAsia"/>
                      <w:color w:val="auto"/>
                    </w:rPr>
                  </w:pPr>
                  <w:r>
                    <w:rPr>
                      <w:rFonts w:hint="eastAsia"/>
                      <w:color w:val="auto"/>
                      <w:lang w:val="en-US" w:eastAsia="zh-CN"/>
                    </w:rPr>
                    <w:t>粪大肠杆菌数</w:t>
                  </w:r>
                </w:p>
              </w:tc>
              <w:tc>
                <w:tcPr>
                  <w:tcW w:w="821" w:type="dxa"/>
                  <w:vMerge w:val="continue"/>
                  <w:shd w:val="clear" w:color="auto" w:fill="auto"/>
                  <w:vAlign w:val="center"/>
                </w:tcPr>
                <w:p w14:paraId="7372C5A7">
                  <w:pPr>
                    <w:pStyle w:val="2"/>
                    <w:jc w:val="center"/>
                    <w:rPr>
                      <w:rFonts w:hint="default"/>
                      <w:color w:val="auto"/>
                    </w:rPr>
                  </w:pPr>
                </w:p>
              </w:tc>
              <w:tc>
                <w:tcPr>
                  <w:tcW w:w="849" w:type="dxa"/>
                  <w:vMerge w:val="continue"/>
                  <w:shd w:val="clear" w:color="auto" w:fill="auto"/>
                  <w:vAlign w:val="center"/>
                </w:tcPr>
                <w:p w14:paraId="07045507">
                  <w:pPr>
                    <w:pStyle w:val="2"/>
                    <w:jc w:val="center"/>
                    <w:rPr>
                      <w:rFonts w:hint="default"/>
                      <w:color w:val="auto"/>
                    </w:rPr>
                  </w:pPr>
                </w:p>
              </w:tc>
              <w:tc>
                <w:tcPr>
                  <w:tcW w:w="0" w:type="auto"/>
                  <w:shd w:val="clear" w:color="auto" w:fill="auto"/>
                  <w:vAlign w:val="center"/>
                </w:tcPr>
                <w:p w14:paraId="39A823A1">
                  <w:pPr>
                    <w:pStyle w:val="2"/>
                    <w:jc w:val="center"/>
                    <w:rPr>
                      <w:rFonts w:hint="default"/>
                      <w:color w:val="auto"/>
                    </w:rPr>
                  </w:pPr>
                  <w:r>
                    <w:rPr>
                      <w:rFonts w:hint="default"/>
                      <w:color w:val="auto"/>
                      <w:lang w:val="en-US" w:eastAsia="zh-CN"/>
                    </w:rPr>
                    <w:t>2800MPN/L</w:t>
                  </w:r>
                </w:p>
              </w:tc>
              <w:tc>
                <w:tcPr>
                  <w:tcW w:w="0" w:type="auto"/>
                  <w:shd w:val="clear" w:color="auto" w:fill="auto"/>
                  <w:vAlign w:val="center"/>
                </w:tcPr>
                <w:p w14:paraId="5BA1ABC0">
                  <w:pPr>
                    <w:pStyle w:val="2"/>
                    <w:jc w:val="center"/>
                    <w:rPr>
                      <w:rFonts w:hint="default"/>
                      <w:color w:val="auto"/>
                    </w:rPr>
                  </w:pPr>
                  <w:r>
                    <w:rPr>
                      <w:rFonts w:hint="default"/>
                      <w:color w:val="auto"/>
                      <w:lang w:val="en-US" w:eastAsia="zh-CN"/>
                    </w:rPr>
                    <w:t>/</w:t>
                  </w:r>
                </w:p>
              </w:tc>
              <w:tc>
                <w:tcPr>
                  <w:tcW w:w="1689" w:type="dxa"/>
                  <w:vMerge w:val="continue"/>
                  <w:shd w:val="clear" w:color="auto" w:fill="auto"/>
                  <w:vAlign w:val="center"/>
                </w:tcPr>
                <w:p w14:paraId="00AB9CBE">
                  <w:pPr>
                    <w:pStyle w:val="2"/>
                    <w:jc w:val="center"/>
                    <w:rPr>
                      <w:rFonts w:hint="default"/>
                      <w:color w:val="auto"/>
                    </w:rPr>
                  </w:pPr>
                </w:p>
              </w:tc>
              <w:tc>
                <w:tcPr>
                  <w:tcW w:w="900" w:type="dxa"/>
                  <w:shd w:val="clear" w:color="auto" w:fill="auto"/>
                  <w:vAlign w:val="center"/>
                </w:tcPr>
                <w:p w14:paraId="5F3EF20F">
                  <w:pPr>
                    <w:pStyle w:val="2"/>
                    <w:jc w:val="center"/>
                    <w:rPr>
                      <w:rFonts w:hint="default"/>
                      <w:color w:val="auto"/>
                    </w:rPr>
                  </w:pPr>
                  <w:r>
                    <w:rPr>
                      <w:rFonts w:hint="default"/>
                      <w:color w:val="auto"/>
                      <w:lang w:val="en-US" w:eastAsia="zh-CN"/>
                    </w:rPr>
                    <w:t>71</w:t>
                  </w:r>
                </w:p>
              </w:tc>
              <w:tc>
                <w:tcPr>
                  <w:tcW w:w="857" w:type="dxa"/>
                  <w:vMerge w:val="continue"/>
                  <w:shd w:val="clear" w:color="auto" w:fill="auto"/>
                  <w:vAlign w:val="center"/>
                </w:tcPr>
                <w:p w14:paraId="476CEC9C">
                  <w:pPr>
                    <w:pStyle w:val="2"/>
                    <w:jc w:val="center"/>
                    <w:rPr>
                      <w:rFonts w:hint="default"/>
                      <w:color w:val="auto"/>
                    </w:rPr>
                  </w:pPr>
                </w:p>
              </w:tc>
              <w:tc>
                <w:tcPr>
                  <w:tcW w:w="0" w:type="auto"/>
                  <w:vMerge w:val="continue"/>
                  <w:shd w:val="clear" w:color="auto" w:fill="auto"/>
                  <w:vAlign w:val="center"/>
                </w:tcPr>
                <w:p w14:paraId="6997E898">
                  <w:pPr>
                    <w:pStyle w:val="2"/>
                    <w:jc w:val="center"/>
                    <w:rPr>
                      <w:rFonts w:hint="default"/>
                      <w:color w:val="auto"/>
                    </w:rPr>
                  </w:pPr>
                </w:p>
              </w:tc>
              <w:tc>
                <w:tcPr>
                  <w:tcW w:w="0" w:type="auto"/>
                  <w:shd w:val="clear" w:color="auto" w:fill="auto"/>
                  <w:vAlign w:val="center"/>
                </w:tcPr>
                <w:p w14:paraId="002B316A">
                  <w:pPr>
                    <w:pStyle w:val="2"/>
                    <w:jc w:val="center"/>
                    <w:rPr>
                      <w:rFonts w:hint="default"/>
                      <w:color w:val="auto"/>
                    </w:rPr>
                  </w:pPr>
                  <w:r>
                    <w:rPr>
                      <w:rFonts w:hint="default"/>
                      <w:color w:val="auto"/>
                      <w:lang w:val="en-US" w:eastAsia="zh-CN"/>
                    </w:rPr>
                    <w:t>812MPN/L</w:t>
                  </w:r>
                </w:p>
              </w:tc>
              <w:tc>
                <w:tcPr>
                  <w:tcW w:w="0" w:type="auto"/>
                  <w:shd w:val="clear" w:color="auto" w:fill="auto"/>
                  <w:vAlign w:val="center"/>
                </w:tcPr>
                <w:p w14:paraId="7A96DCF9">
                  <w:pPr>
                    <w:pStyle w:val="2"/>
                    <w:jc w:val="center"/>
                    <w:rPr>
                      <w:rFonts w:hint="default"/>
                      <w:color w:val="auto"/>
                    </w:rPr>
                  </w:pPr>
                  <w:r>
                    <w:rPr>
                      <w:rFonts w:hint="default"/>
                      <w:color w:val="auto"/>
                      <w:lang w:val="en-US" w:eastAsia="zh-CN"/>
                    </w:rPr>
                    <w:t>/</w:t>
                  </w:r>
                </w:p>
              </w:tc>
              <w:tc>
                <w:tcPr>
                  <w:tcW w:w="0" w:type="auto"/>
                  <w:vMerge w:val="continue"/>
                  <w:shd w:val="clear" w:color="auto" w:fill="auto"/>
                  <w:vAlign w:val="center"/>
                </w:tcPr>
                <w:p w14:paraId="69625C11">
                  <w:pPr>
                    <w:pStyle w:val="2"/>
                    <w:jc w:val="center"/>
                    <w:rPr>
                      <w:rFonts w:hint="default"/>
                      <w:color w:val="auto"/>
                    </w:rPr>
                  </w:pPr>
                </w:p>
              </w:tc>
            </w:tr>
            <w:tr w14:paraId="698B4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78" w:hRule="atLeast"/>
              </w:trPr>
              <w:tc>
                <w:tcPr>
                  <w:tcW w:w="0" w:type="auto"/>
                  <w:vMerge w:val="restart"/>
                  <w:shd w:val="clear" w:color="auto" w:fill="auto"/>
                  <w:vAlign w:val="center"/>
                </w:tcPr>
                <w:p w14:paraId="1DB9A559">
                  <w:pPr>
                    <w:pStyle w:val="2"/>
                    <w:jc w:val="center"/>
                    <w:rPr>
                      <w:rFonts w:hint="eastAsia"/>
                      <w:color w:val="auto"/>
                      <w:lang w:val="en-US" w:eastAsia="zh-CN"/>
                    </w:rPr>
                  </w:pPr>
                  <w:r>
                    <w:rPr>
                      <w:rFonts w:hint="eastAsia"/>
                      <w:color w:val="auto"/>
                      <w:lang w:val="en-US" w:eastAsia="zh-CN"/>
                    </w:rPr>
                    <w:t>蒸汽</w:t>
                  </w:r>
                </w:p>
                <w:p w14:paraId="1588C3C8">
                  <w:pPr>
                    <w:pStyle w:val="2"/>
                    <w:jc w:val="center"/>
                    <w:rPr>
                      <w:rFonts w:hint="eastAsia"/>
                      <w:color w:val="auto"/>
                    </w:rPr>
                  </w:pPr>
                  <w:r>
                    <w:rPr>
                      <w:rFonts w:hint="eastAsia"/>
                      <w:color w:val="auto"/>
                      <w:lang w:val="en-US" w:eastAsia="zh-CN"/>
                    </w:rPr>
                    <w:t>冷凝</w:t>
                  </w:r>
                </w:p>
                <w:p w14:paraId="45928246">
                  <w:pPr>
                    <w:pStyle w:val="2"/>
                    <w:jc w:val="center"/>
                    <w:rPr>
                      <w:rFonts w:hint="eastAsia"/>
                      <w:color w:val="auto"/>
                    </w:rPr>
                  </w:pPr>
                  <w:r>
                    <w:rPr>
                      <w:rFonts w:hint="eastAsia"/>
                      <w:color w:val="auto"/>
                      <w:lang w:val="en-US" w:eastAsia="zh-CN"/>
                    </w:rPr>
                    <w:t>水</w:t>
                  </w:r>
                  <w:r>
                    <w:rPr>
                      <w:color w:val="auto"/>
                      <w:lang w:val="en-US" w:eastAsia="zh-CN"/>
                    </w:rPr>
                    <w:t>*</w:t>
                  </w:r>
                </w:p>
              </w:tc>
              <w:tc>
                <w:tcPr>
                  <w:tcW w:w="0" w:type="auto"/>
                  <w:vMerge w:val="continue"/>
                  <w:shd w:val="clear" w:color="auto" w:fill="auto"/>
                  <w:vAlign w:val="center"/>
                </w:tcPr>
                <w:p w14:paraId="5F5C1262">
                  <w:pPr>
                    <w:pStyle w:val="2"/>
                    <w:jc w:val="center"/>
                    <w:rPr>
                      <w:rFonts w:hint="default"/>
                      <w:color w:val="auto"/>
                    </w:rPr>
                  </w:pPr>
                </w:p>
              </w:tc>
              <w:tc>
                <w:tcPr>
                  <w:tcW w:w="0" w:type="auto"/>
                  <w:shd w:val="clear" w:color="auto" w:fill="auto"/>
                  <w:vAlign w:val="center"/>
                </w:tcPr>
                <w:p w14:paraId="61A2959F">
                  <w:pPr>
                    <w:pStyle w:val="2"/>
                    <w:jc w:val="center"/>
                    <w:rPr>
                      <w:rFonts w:hint="default"/>
                      <w:color w:val="auto"/>
                    </w:rPr>
                  </w:pPr>
                  <w:r>
                    <w:rPr>
                      <w:rFonts w:hint="default"/>
                      <w:color w:val="auto"/>
                      <w:lang w:val="en-US" w:eastAsia="zh-CN"/>
                    </w:rPr>
                    <w:t>COD</w:t>
                  </w:r>
                </w:p>
              </w:tc>
              <w:tc>
                <w:tcPr>
                  <w:tcW w:w="821" w:type="dxa"/>
                  <w:vMerge w:val="restart"/>
                  <w:shd w:val="clear" w:color="auto" w:fill="auto"/>
                  <w:vAlign w:val="center"/>
                </w:tcPr>
                <w:p w14:paraId="4BE493CE">
                  <w:pPr>
                    <w:pStyle w:val="2"/>
                    <w:jc w:val="center"/>
                    <w:rPr>
                      <w:rFonts w:hint="eastAsia"/>
                      <w:color w:val="auto"/>
                    </w:rPr>
                  </w:pPr>
                  <w:r>
                    <w:rPr>
                      <w:rFonts w:hint="eastAsia"/>
                      <w:color w:val="auto"/>
                      <w:lang w:val="en-US" w:eastAsia="zh-CN"/>
                    </w:rPr>
                    <w:t>类比法</w:t>
                  </w:r>
                </w:p>
              </w:tc>
              <w:tc>
                <w:tcPr>
                  <w:tcW w:w="849" w:type="dxa"/>
                  <w:vMerge w:val="restart"/>
                  <w:shd w:val="clear" w:color="auto" w:fill="auto"/>
                  <w:vAlign w:val="center"/>
                </w:tcPr>
                <w:p w14:paraId="3EE376D8">
                  <w:pPr>
                    <w:pStyle w:val="2"/>
                    <w:jc w:val="center"/>
                    <w:rPr>
                      <w:rFonts w:hint="default"/>
                      <w:color w:val="auto"/>
                      <w:lang w:val="en-US"/>
                    </w:rPr>
                  </w:pPr>
                  <w:r>
                    <w:rPr>
                      <w:rFonts w:hint="eastAsia"/>
                      <w:color w:val="auto"/>
                      <w:lang w:val="en-US" w:eastAsia="zh-CN"/>
                    </w:rPr>
                    <w:t>0.8</w:t>
                  </w:r>
                </w:p>
              </w:tc>
              <w:tc>
                <w:tcPr>
                  <w:tcW w:w="0" w:type="auto"/>
                  <w:shd w:val="clear" w:color="auto" w:fill="auto"/>
                  <w:vAlign w:val="center"/>
                </w:tcPr>
                <w:p w14:paraId="038FEC87">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4709F856">
                  <w:pPr>
                    <w:pStyle w:val="2"/>
                    <w:jc w:val="center"/>
                    <w:rPr>
                      <w:rFonts w:hint="default"/>
                      <w:color w:val="auto"/>
                      <w:lang w:val="en-US"/>
                    </w:rPr>
                  </w:pPr>
                  <w:r>
                    <w:rPr>
                      <w:rFonts w:hint="eastAsia"/>
                      <w:color w:val="auto"/>
                      <w:lang w:val="en-US" w:eastAsia="zh-CN"/>
                    </w:rPr>
                    <w:t>0.032</w:t>
                  </w:r>
                </w:p>
              </w:tc>
              <w:tc>
                <w:tcPr>
                  <w:tcW w:w="1689" w:type="dxa"/>
                  <w:vMerge w:val="continue"/>
                  <w:shd w:val="clear" w:color="auto" w:fill="auto"/>
                  <w:vAlign w:val="center"/>
                </w:tcPr>
                <w:p w14:paraId="3019388B">
                  <w:pPr>
                    <w:pStyle w:val="2"/>
                    <w:jc w:val="center"/>
                    <w:rPr>
                      <w:rFonts w:hint="default"/>
                      <w:color w:val="auto"/>
                    </w:rPr>
                  </w:pPr>
                </w:p>
              </w:tc>
              <w:tc>
                <w:tcPr>
                  <w:tcW w:w="900" w:type="dxa"/>
                  <w:shd w:val="clear" w:color="auto" w:fill="auto"/>
                  <w:vAlign w:val="center"/>
                </w:tcPr>
                <w:p w14:paraId="603B42A2">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1FE1644A">
                  <w:pPr>
                    <w:pStyle w:val="2"/>
                    <w:jc w:val="center"/>
                    <w:rPr>
                      <w:rFonts w:hint="default"/>
                      <w:color w:val="auto"/>
                    </w:rPr>
                  </w:pPr>
                </w:p>
              </w:tc>
              <w:tc>
                <w:tcPr>
                  <w:tcW w:w="0" w:type="auto"/>
                  <w:vMerge w:val="restart"/>
                  <w:shd w:val="clear" w:color="auto" w:fill="auto"/>
                  <w:vAlign w:val="center"/>
                </w:tcPr>
                <w:p w14:paraId="0EFEA20D">
                  <w:pPr>
                    <w:pStyle w:val="2"/>
                    <w:jc w:val="center"/>
                    <w:rPr>
                      <w:rFonts w:hint="default"/>
                      <w:color w:val="auto"/>
                      <w:lang w:val="en-US"/>
                    </w:rPr>
                  </w:pPr>
                  <w:r>
                    <w:rPr>
                      <w:rFonts w:hint="eastAsia"/>
                      <w:color w:val="auto"/>
                      <w:lang w:val="en-US" w:eastAsia="zh-CN"/>
                    </w:rPr>
                    <w:t>0</w:t>
                  </w:r>
                </w:p>
              </w:tc>
              <w:tc>
                <w:tcPr>
                  <w:tcW w:w="0" w:type="auto"/>
                  <w:shd w:val="clear" w:color="auto" w:fill="auto"/>
                  <w:vAlign w:val="center"/>
                </w:tcPr>
                <w:p w14:paraId="192759E5">
                  <w:pPr>
                    <w:pStyle w:val="2"/>
                    <w:jc w:val="center"/>
                    <w:rPr>
                      <w:rFonts w:hint="default"/>
                      <w:color w:val="auto"/>
                      <w:lang w:val="en-US"/>
                    </w:rPr>
                  </w:pPr>
                  <w:r>
                    <w:rPr>
                      <w:rFonts w:hint="eastAsia"/>
                      <w:color w:val="auto"/>
                      <w:lang w:val="en-US" w:eastAsia="zh-CN"/>
                    </w:rPr>
                    <w:t>-</w:t>
                  </w:r>
                </w:p>
              </w:tc>
              <w:tc>
                <w:tcPr>
                  <w:tcW w:w="0" w:type="auto"/>
                  <w:shd w:val="clear" w:color="auto" w:fill="auto"/>
                  <w:vAlign w:val="center"/>
                </w:tcPr>
                <w:p w14:paraId="0DBDBCFA">
                  <w:pPr>
                    <w:pStyle w:val="2"/>
                    <w:jc w:val="center"/>
                    <w:rPr>
                      <w:rFonts w:hint="eastAsia" w:eastAsia="宋体"/>
                      <w:color w:val="auto"/>
                      <w:lang w:val="en-US" w:eastAsia="zh-CN"/>
                    </w:rPr>
                  </w:pPr>
                  <w:r>
                    <w:rPr>
                      <w:rFonts w:hint="eastAsia"/>
                      <w:color w:val="auto"/>
                      <w:lang w:val="en-US" w:eastAsia="zh-CN"/>
                    </w:rPr>
                    <w:t>-</w:t>
                  </w:r>
                </w:p>
              </w:tc>
              <w:tc>
                <w:tcPr>
                  <w:tcW w:w="0" w:type="auto"/>
                  <w:vMerge w:val="continue"/>
                  <w:shd w:val="clear" w:color="auto" w:fill="auto"/>
                  <w:vAlign w:val="center"/>
                </w:tcPr>
                <w:p w14:paraId="7003419E">
                  <w:pPr>
                    <w:pStyle w:val="2"/>
                    <w:jc w:val="center"/>
                    <w:rPr>
                      <w:rFonts w:hint="default"/>
                      <w:color w:val="auto"/>
                    </w:rPr>
                  </w:pPr>
                </w:p>
              </w:tc>
            </w:tr>
            <w:tr w14:paraId="4C0C4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7" w:hRule="atLeast"/>
              </w:trPr>
              <w:tc>
                <w:tcPr>
                  <w:tcW w:w="0" w:type="auto"/>
                  <w:vMerge w:val="continue"/>
                  <w:shd w:val="clear" w:color="auto" w:fill="auto"/>
                  <w:vAlign w:val="center"/>
                </w:tcPr>
                <w:p w14:paraId="43428393">
                  <w:pPr>
                    <w:pStyle w:val="2"/>
                    <w:jc w:val="center"/>
                    <w:rPr>
                      <w:rFonts w:hint="default"/>
                      <w:color w:val="auto"/>
                    </w:rPr>
                  </w:pPr>
                </w:p>
              </w:tc>
              <w:tc>
                <w:tcPr>
                  <w:tcW w:w="0" w:type="auto"/>
                  <w:vMerge w:val="continue"/>
                  <w:shd w:val="clear" w:color="auto" w:fill="auto"/>
                  <w:vAlign w:val="center"/>
                </w:tcPr>
                <w:p w14:paraId="5228B2DB">
                  <w:pPr>
                    <w:pStyle w:val="2"/>
                    <w:jc w:val="center"/>
                    <w:rPr>
                      <w:rFonts w:hint="default"/>
                      <w:color w:val="auto"/>
                    </w:rPr>
                  </w:pPr>
                </w:p>
              </w:tc>
              <w:tc>
                <w:tcPr>
                  <w:tcW w:w="0" w:type="auto"/>
                  <w:shd w:val="clear" w:color="auto" w:fill="auto"/>
                  <w:vAlign w:val="center"/>
                </w:tcPr>
                <w:p w14:paraId="7988C62B">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7746F4AB">
                  <w:pPr>
                    <w:pStyle w:val="2"/>
                    <w:jc w:val="center"/>
                    <w:rPr>
                      <w:rFonts w:hint="default"/>
                      <w:color w:val="auto"/>
                    </w:rPr>
                  </w:pPr>
                </w:p>
              </w:tc>
              <w:tc>
                <w:tcPr>
                  <w:tcW w:w="849" w:type="dxa"/>
                  <w:vMerge w:val="continue"/>
                  <w:shd w:val="clear" w:color="auto" w:fill="auto"/>
                  <w:vAlign w:val="center"/>
                </w:tcPr>
                <w:p w14:paraId="36FD0E88">
                  <w:pPr>
                    <w:pStyle w:val="2"/>
                    <w:jc w:val="center"/>
                    <w:rPr>
                      <w:rFonts w:hint="default"/>
                      <w:color w:val="auto"/>
                    </w:rPr>
                  </w:pPr>
                </w:p>
              </w:tc>
              <w:tc>
                <w:tcPr>
                  <w:tcW w:w="0" w:type="auto"/>
                  <w:shd w:val="clear" w:color="auto" w:fill="auto"/>
                  <w:vAlign w:val="center"/>
                </w:tcPr>
                <w:p w14:paraId="4B101222">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02FA48C5">
                  <w:pPr>
                    <w:pStyle w:val="2"/>
                    <w:jc w:val="center"/>
                    <w:rPr>
                      <w:rFonts w:hint="default"/>
                      <w:color w:val="auto"/>
                      <w:lang w:val="en-US"/>
                    </w:rPr>
                  </w:pPr>
                  <w:r>
                    <w:rPr>
                      <w:rFonts w:hint="eastAsia"/>
                      <w:color w:val="auto"/>
                      <w:lang w:val="en-US" w:eastAsia="zh-CN"/>
                    </w:rPr>
                    <w:t>0.032</w:t>
                  </w:r>
                </w:p>
              </w:tc>
              <w:tc>
                <w:tcPr>
                  <w:tcW w:w="1689" w:type="dxa"/>
                  <w:vMerge w:val="continue"/>
                  <w:shd w:val="clear" w:color="auto" w:fill="auto"/>
                  <w:vAlign w:val="center"/>
                </w:tcPr>
                <w:p w14:paraId="6C1E5ED2">
                  <w:pPr>
                    <w:pStyle w:val="2"/>
                    <w:jc w:val="center"/>
                    <w:rPr>
                      <w:rFonts w:hint="default"/>
                      <w:color w:val="auto"/>
                    </w:rPr>
                  </w:pPr>
                </w:p>
              </w:tc>
              <w:tc>
                <w:tcPr>
                  <w:tcW w:w="900" w:type="dxa"/>
                  <w:shd w:val="clear" w:color="auto" w:fill="auto"/>
                  <w:vAlign w:val="center"/>
                </w:tcPr>
                <w:p w14:paraId="68B51812">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6AABED11">
                  <w:pPr>
                    <w:pStyle w:val="2"/>
                    <w:jc w:val="center"/>
                    <w:rPr>
                      <w:rFonts w:hint="default"/>
                      <w:color w:val="auto"/>
                    </w:rPr>
                  </w:pPr>
                </w:p>
              </w:tc>
              <w:tc>
                <w:tcPr>
                  <w:tcW w:w="0" w:type="auto"/>
                  <w:vMerge w:val="continue"/>
                  <w:shd w:val="clear" w:color="auto" w:fill="auto"/>
                  <w:vAlign w:val="center"/>
                </w:tcPr>
                <w:p w14:paraId="621F8C72">
                  <w:pPr>
                    <w:pStyle w:val="2"/>
                    <w:jc w:val="center"/>
                    <w:rPr>
                      <w:rFonts w:hint="default"/>
                      <w:color w:val="auto"/>
                    </w:rPr>
                  </w:pPr>
                </w:p>
              </w:tc>
              <w:tc>
                <w:tcPr>
                  <w:tcW w:w="0" w:type="auto"/>
                  <w:shd w:val="clear" w:color="auto" w:fill="auto"/>
                  <w:vAlign w:val="center"/>
                </w:tcPr>
                <w:p w14:paraId="45016FC6">
                  <w:pPr>
                    <w:pStyle w:val="2"/>
                    <w:jc w:val="center"/>
                    <w:rPr>
                      <w:rFonts w:hint="default"/>
                      <w:color w:val="auto"/>
                      <w:lang w:val="en-US"/>
                    </w:rPr>
                  </w:pPr>
                  <w:r>
                    <w:rPr>
                      <w:rFonts w:hint="eastAsia"/>
                      <w:color w:val="auto"/>
                      <w:lang w:val="en-US" w:eastAsia="zh-CN"/>
                    </w:rPr>
                    <w:t>-</w:t>
                  </w:r>
                </w:p>
              </w:tc>
              <w:tc>
                <w:tcPr>
                  <w:tcW w:w="0" w:type="auto"/>
                  <w:shd w:val="clear" w:color="auto" w:fill="auto"/>
                  <w:vAlign w:val="center"/>
                </w:tcPr>
                <w:p w14:paraId="05E03FBE">
                  <w:pPr>
                    <w:pStyle w:val="2"/>
                    <w:jc w:val="center"/>
                    <w:rPr>
                      <w:rFonts w:hint="eastAsia" w:eastAsia="宋体"/>
                      <w:color w:val="auto"/>
                      <w:lang w:val="en-US" w:eastAsia="zh-CN"/>
                    </w:rPr>
                  </w:pPr>
                  <w:r>
                    <w:rPr>
                      <w:rFonts w:hint="eastAsia"/>
                      <w:color w:val="auto"/>
                      <w:lang w:val="en-US" w:eastAsia="zh-CN"/>
                    </w:rPr>
                    <w:t>-</w:t>
                  </w:r>
                </w:p>
              </w:tc>
              <w:tc>
                <w:tcPr>
                  <w:tcW w:w="0" w:type="auto"/>
                  <w:vMerge w:val="continue"/>
                  <w:shd w:val="clear" w:color="auto" w:fill="auto"/>
                  <w:vAlign w:val="center"/>
                </w:tcPr>
                <w:p w14:paraId="485437AB">
                  <w:pPr>
                    <w:pStyle w:val="2"/>
                    <w:jc w:val="center"/>
                    <w:rPr>
                      <w:rFonts w:hint="default"/>
                      <w:color w:val="auto"/>
                    </w:rPr>
                  </w:pPr>
                </w:p>
              </w:tc>
            </w:tr>
            <w:tr w14:paraId="5BCAE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0" w:hRule="atLeast"/>
              </w:trPr>
              <w:tc>
                <w:tcPr>
                  <w:tcW w:w="0" w:type="auto"/>
                  <w:vMerge w:val="restart"/>
                  <w:shd w:val="clear" w:color="auto" w:fill="auto"/>
                  <w:vAlign w:val="center"/>
                </w:tcPr>
                <w:p w14:paraId="6020B480">
                  <w:pPr>
                    <w:pStyle w:val="2"/>
                    <w:jc w:val="center"/>
                    <w:rPr>
                      <w:rFonts w:hint="eastAsia"/>
                      <w:color w:val="auto"/>
                    </w:rPr>
                  </w:pPr>
                  <w:r>
                    <w:rPr>
                      <w:rFonts w:hint="eastAsia"/>
                      <w:color w:val="auto"/>
                      <w:lang w:val="en-US" w:eastAsia="zh-CN"/>
                    </w:rPr>
                    <w:t>制水</w:t>
                  </w:r>
                </w:p>
                <w:p w14:paraId="6FEFD0DF">
                  <w:pPr>
                    <w:pStyle w:val="2"/>
                    <w:jc w:val="center"/>
                    <w:rPr>
                      <w:rFonts w:hint="eastAsia"/>
                      <w:color w:val="auto"/>
                    </w:rPr>
                  </w:pPr>
                  <w:r>
                    <w:rPr>
                      <w:rFonts w:hint="eastAsia"/>
                      <w:color w:val="auto"/>
                      <w:lang w:val="en-US" w:eastAsia="zh-CN"/>
                    </w:rPr>
                    <w:t>浓水</w:t>
                  </w:r>
                </w:p>
                <w:p w14:paraId="0C28CCD1">
                  <w:pPr>
                    <w:pStyle w:val="2"/>
                    <w:jc w:val="center"/>
                    <w:rPr>
                      <w:rFonts w:hint="default"/>
                      <w:color w:val="auto"/>
                    </w:rPr>
                  </w:pPr>
                  <w:r>
                    <w:rPr>
                      <w:rFonts w:hint="default"/>
                      <w:color w:val="auto"/>
                      <w:lang w:val="en-US" w:eastAsia="zh-CN"/>
                    </w:rPr>
                    <w:t>*</w:t>
                  </w:r>
                </w:p>
              </w:tc>
              <w:tc>
                <w:tcPr>
                  <w:tcW w:w="0" w:type="auto"/>
                  <w:vMerge w:val="continue"/>
                  <w:shd w:val="clear" w:color="auto" w:fill="auto"/>
                  <w:vAlign w:val="center"/>
                </w:tcPr>
                <w:p w14:paraId="668D5637">
                  <w:pPr>
                    <w:pStyle w:val="2"/>
                    <w:jc w:val="center"/>
                    <w:rPr>
                      <w:rFonts w:hint="default"/>
                      <w:color w:val="auto"/>
                    </w:rPr>
                  </w:pPr>
                </w:p>
              </w:tc>
              <w:tc>
                <w:tcPr>
                  <w:tcW w:w="0" w:type="auto"/>
                  <w:shd w:val="clear" w:color="auto" w:fill="auto"/>
                  <w:vAlign w:val="center"/>
                </w:tcPr>
                <w:p w14:paraId="3E39CEA1">
                  <w:pPr>
                    <w:pStyle w:val="2"/>
                    <w:jc w:val="center"/>
                    <w:rPr>
                      <w:rFonts w:hint="default"/>
                      <w:color w:val="auto"/>
                    </w:rPr>
                  </w:pPr>
                  <w:r>
                    <w:rPr>
                      <w:rFonts w:hint="default"/>
                      <w:color w:val="auto"/>
                      <w:lang w:val="en-US" w:eastAsia="zh-CN"/>
                    </w:rPr>
                    <w:t>pH</w:t>
                  </w:r>
                </w:p>
              </w:tc>
              <w:tc>
                <w:tcPr>
                  <w:tcW w:w="821" w:type="dxa"/>
                  <w:vMerge w:val="continue"/>
                  <w:shd w:val="clear" w:color="auto" w:fill="auto"/>
                  <w:vAlign w:val="center"/>
                </w:tcPr>
                <w:p w14:paraId="31330806">
                  <w:pPr>
                    <w:pStyle w:val="2"/>
                    <w:jc w:val="center"/>
                    <w:rPr>
                      <w:rFonts w:hint="default"/>
                      <w:color w:val="auto"/>
                    </w:rPr>
                  </w:pPr>
                </w:p>
              </w:tc>
              <w:tc>
                <w:tcPr>
                  <w:tcW w:w="849" w:type="dxa"/>
                  <w:vMerge w:val="restart"/>
                  <w:shd w:val="clear" w:color="auto" w:fill="auto"/>
                  <w:vAlign w:val="center"/>
                </w:tcPr>
                <w:p w14:paraId="43E7D366">
                  <w:pPr>
                    <w:pStyle w:val="2"/>
                    <w:jc w:val="center"/>
                    <w:rPr>
                      <w:rFonts w:hint="default"/>
                      <w:color w:val="auto"/>
                    </w:rPr>
                  </w:pPr>
                  <w:r>
                    <w:rPr>
                      <w:rFonts w:hint="eastAsia" w:ascii="Times New Roman" w:hAnsi="Times New Roman" w:eastAsia="宋体" w:cs="Times New Roman"/>
                      <w:color w:val="auto"/>
                      <w:spacing w:val="6"/>
                      <w:lang w:val="en-US" w:eastAsia="zh-CN"/>
                    </w:rPr>
                    <w:t>1.44</w:t>
                  </w:r>
                </w:p>
              </w:tc>
              <w:tc>
                <w:tcPr>
                  <w:tcW w:w="0" w:type="auto"/>
                  <w:gridSpan w:val="2"/>
                  <w:shd w:val="clear" w:color="auto" w:fill="auto"/>
                  <w:vAlign w:val="center"/>
                </w:tcPr>
                <w:p w14:paraId="225C0EDB">
                  <w:pPr>
                    <w:pStyle w:val="2"/>
                    <w:jc w:val="center"/>
                    <w:rPr>
                      <w:rFonts w:hint="default"/>
                      <w:color w:val="auto"/>
                    </w:rPr>
                  </w:pPr>
                  <w:r>
                    <w:rPr>
                      <w:rFonts w:hint="default"/>
                      <w:color w:val="auto"/>
                      <w:lang w:val="en-US" w:eastAsia="zh-CN"/>
                    </w:rPr>
                    <w:t>6-9</w:t>
                  </w:r>
                  <w:r>
                    <w:rPr>
                      <w:color w:val="auto"/>
                      <w:lang w:val="en-US" w:eastAsia="zh-CN"/>
                    </w:rPr>
                    <w:t>（无量纲）</w:t>
                  </w:r>
                </w:p>
              </w:tc>
              <w:tc>
                <w:tcPr>
                  <w:tcW w:w="1689" w:type="dxa"/>
                  <w:vMerge w:val="continue"/>
                  <w:shd w:val="clear" w:color="auto" w:fill="auto"/>
                  <w:vAlign w:val="center"/>
                </w:tcPr>
                <w:p w14:paraId="0FC661C9">
                  <w:pPr>
                    <w:pStyle w:val="2"/>
                    <w:jc w:val="center"/>
                    <w:rPr>
                      <w:rFonts w:hint="default"/>
                      <w:color w:val="auto"/>
                    </w:rPr>
                  </w:pPr>
                </w:p>
              </w:tc>
              <w:tc>
                <w:tcPr>
                  <w:tcW w:w="900" w:type="dxa"/>
                  <w:shd w:val="clear" w:color="auto" w:fill="auto"/>
                  <w:vAlign w:val="center"/>
                </w:tcPr>
                <w:p w14:paraId="3194F1A8">
                  <w:pPr>
                    <w:pStyle w:val="2"/>
                    <w:jc w:val="center"/>
                    <w:rPr>
                      <w:rFonts w:hint="default"/>
                      <w:color w:val="auto"/>
                    </w:rPr>
                  </w:pPr>
                  <w:r>
                    <w:rPr>
                      <w:rFonts w:hint="default"/>
                      <w:color w:val="auto"/>
                      <w:lang w:val="en-US" w:eastAsia="zh-CN"/>
                    </w:rPr>
                    <w:t>/</w:t>
                  </w:r>
                </w:p>
              </w:tc>
              <w:tc>
                <w:tcPr>
                  <w:tcW w:w="857" w:type="dxa"/>
                  <w:vMerge w:val="continue"/>
                  <w:shd w:val="clear" w:color="auto" w:fill="auto"/>
                  <w:vAlign w:val="center"/>
                </w:tcPr>
                <w:p w14:paraId="0A987447">
                  <w:pPr>
                    <w:pStyle w:val="2"/>
                    <w:jc w:val="center"/>
                    <w:rPr>
                      <w:rFonts w:hint="default"/>
                      <w:color w:val="auto"/>
                    </w:rPr>
                  </w:pPr>
                </w:p>
              </w:tc>
              <w:tc>
                <w:tcPr>
                  <w:tcW w:w="0" w:type="auto"/>
                  <w:vMerge w:val="restart"/>
                  <w:shd w:val="clear" w:color="auto" w:fill="auto"/>
                  <w:vAlign w:val="center"/>
                </w:tcPr>
                <w:p w14:paraId="72287F53">
                  <w:pPr>
                    <w:pStyle w:val="2"/>
                    <w:jc w:val="center"/>
                    <w:rPr>
                      <w:rFonts w:hint="default"/>
                      <w:color w:val="auto"/>
                    </w:rPr>
                  </w:pPr>
                  <w:r>
                    <w:rPr>
                      <w:rFonts w:hint="eastAsia" w:cs="Times New Roman"/>
                      <w:color w:val="auto"/>
                      <w:spacing w:val="6"/>
                      <w:lang w:val="en-US" w:eastAsia="zh-CN"/>
                    </w:rPr>
                    <w:t>0</w:t>
                  </w:r>
                </w:p>
              </w:tc>
              <w:tc>
                <w:tcPr>
                  <w:tcW w:w="0" w:type="auto"/>
                  <w:gridSpan w:val="2"/>
                  <w:shd w:val="clear" w:color="auto" w:fill="auto"/>
                  <w:vAlign w:val="center"/>
                </w:tcPr>
                <w:p w14:paraId="5CE02F84">
                  <w:pPr>
                    <w:pStyle w:val="2"/>
                    <w:jc w:val="center"/>
                    <w:rPr>
                      <w:rFonts w:hint="default"/>
                      <w:color w:val="auto"/>
                    </w:rPr>
                  </w:pPr>
                  <w:r>
                    <w:rPr>
                      <w:rFonts w:hint="eastAsia"/>
                      <w:color w:val="auto"/>
                      <w:lang w:val="en-US" w:eastAsia="zh-CN"/>
                    </w:rPr>
                    <w:t>-</w:t>
                  </w:r>
                </w:p>
              </w:tc>
              <w:tc>
                <w:tcPr>
                  <w:tcW w:w="0" w:type="auto"/>
                  <w:vMerge w:val="continue"/>
                  <w:shd w:val="clear" w:color="auto" w:fill="auto"/>
                  <w:vAlign w:val="center"/>
                </w:tcPr>
                <w:p w14:paraId="2EE32FB1">
                  <w:pPr>
                    <w:pStyle w:val="2"/>
                    <w:jc w:val="center"/>
                    <w:rPr>
                      <w:rFonts w:hint="default"/>
                      <w:color w:val="auto"/>
                    </w:rPr>
                  </w:pPr>
                </w:p>
              </w:tc>
            </w:tr>
            <w:tr w14:paraId="6A276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9" w:hRule="atLeast"/>
              </w:trPr>
              <w:tc>
                <w:tcPr>
                  <w:tcW w:w="0" w:type="auto"/>
                  <w:vMerge w:val="continue"/>
                  <w:shd w:val="clear" w:color="auto" w:fill="auto"/>
                  <w:vAlign w:val="center"/>
                </w:tcPr>
                <w:p w14:paraId="062E8FB6">
                  <w:pPr>
                    <w:pStyle w:val="2"/>
                    <w:jc w:val="center"/>
                    <w:rPr>
                      <w:rFonts w:hint="default"/>
                      <w:color w:val="auto"/>
                    </w:rPr>
                  </w:pPr>
                </w:p>
              </w:tc>
              <w:tc>
                <w:tcPr>
                  <w:tcW w:w="0" w:type="auto"/>
                  <w:vMerge w:val="continue"/>
                  <w:shd w:val="clear" w:color="auto" w:fill="auto"/>
                  <w:vAlign w:val="center"/>
                </w:tcPr>
                <w:p w14:paraId="0F587850">
                  <w:pPr>
                    <w:pStyle w:val="2"/>
                    <w:jc w:val="center"/>
                    <w:rPr>
                      <w:rFonts w:hint="default"/>
                      <w:color w:val="auto"/>
                    </w:rPr>
                  </w:pPr>
                </w:p>
              </w:tc>
              <w:tc>
                <w:tcPr>
                  <w:tcW w:w="0" w:type="auto"/>
                  <w:shd w:val="clear" w:color="auto" w:fill="auto"/>
                  <w:vAlign w:val="center"/>
                </w:tcPr>
                <w:p w14:paraId="13AE0DD5">
                  <w:pPr>
                    <w:pStyle w:val="2"/>
                    <w:jc w:val="center"/>
                    <w:rPr>
                      <w:rFonts w:hint="default"/>
                      <w:color w:val="auto"/>
                    </w:rPr>
                  </w:pPr>
                  <w:r>
                    <w:rPr>
                      <w:rFonts w:hint="default"/>
                      <w:color w:val="auto"/>
                      <w:lang w:val="en-US" w:eastAsia="zh-CN"/>
                    </w:rPr>
                    <w:t>COD</w:t>
                  </w:r>
                </w:p>
              </w:tc>
              <w:tc>
                <w:tcPr>
                  <w:tcW w:w="821" w:type="dxa"/>
                  <w:vMerge w:val="continue"/>
                  <w:shd w:val="clear" w:color="auto" w:fill="auto"/>
                  <w:vAlign w:val="center"/>
                </w:tcPr>
                <w:p w14:paraId="6BD4AF1F">
                  <w:pPr>
                    <w:pStyle w:val="2"/>
                    <w:jc w:val="center"/>
                    <w:rPr>
                      <w:rFonts w:hint="default"/>
                      <w:color w:val="auto"/>
                    </w:rPr>
                  </w:pPr>
                </w:p>
              </w:tc>
              <w:tc>
                <w:tcPr>
                  <w:tcW w:w="849" w:type="dxa"/>
                  <w:vMerge w:val="continue"/>
                  <w:shd w:val="clear" w:color="auto" w:fill="auto"/>
                  <w:vAlign w:val="center"/>
                </w:tcPr>
                <w:p w14:paraId="47210B46">
                  <w:pPr>
                    <w:pStyle w:val="2"/>
                    <w:jc w:val="center"/>
                    <w:rPr>
                      <w:rFonts w:hint="default"/>
                      <w:color w:val="auto"/>
                    </w:rPr>
                  </w:pPr>
                </w:p>
              </w:tc>
              <w:tc>
                <w:tcPr>
                  <w:tcW w:w="0" w:type="auto"/>
                  <w:shd w:val="clear" w:color="auto" w:fill="auto"/>
                  <w:vAlign w:val="center"/>
                </w:tcPr>
                <w:p w14:paraId="19628D58">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5359B92A">
                  <w:pPr>
                    <w:pStyle w:val="2"/>
                    <w:jc w:val="center"/>
                    <w:rPr>
                      <w:rFonts w:hint="default"/>
                      <w:color w:val="auto"/>
                      <w:lang w:val="en-US"/>
                    </w:rPr>
                  </w:pPr>
                  <w:r>
                    <w:rPr>
                      <w:rFonts w:hint="eastAsia"/>
                      <w:color w:val="auto"/>
                      <w:lang w:val="en-US" w:eastAsia="zh-CN"/>
                    </w:rPr>
                    <w:t>0.0576</w:t>
                  </w:r>
                </w:p>
              </w:tc>
              <w:tc>
                <w:tcPr>
                  <w:tcW w:w="1689" w:type="dxa"/>
                  <w:vMerge w:val="continue"/>
                  <w:shd w:val="clear" w:color="auto" w:fill="auto"/>
                  <w:vAlign w:val="center"/>
                </w:tcPr>
                <w:p w14:paraId="425C6C31">
                  <w:pPr>
                    <w:pStyle w:val="2"/>
                    <w:jc w:val="center"/>
                    <w:rPr>
                      <w:rFonts w:hint="default"/>
                      <w:color w:val="auto"/>
                    </w:rPr>
                  </w:pPr>
                </w:p>
              </w:tc>
              <w:tc>
                <w:tcPr>
                  <w:tcW w:w="900" w:type="dxa"/>
                  <w:shd w:val="clear" w:color="auto" w:fill="auto"/>
                  <w:vAlign w:val="center"/>
                </w:tcPr>
                <w:p w14:paraId="56EF600A">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18F9A7A0">
                  <w:pPr>
                    <w:pStyle w:val="2"/>
                    <w:jc w:val="center"/>
                    <w:rPr>
                      <w:rFonts w:hint="default"/>
                      <w:color w:val="auto"/>
                    </w:rPr>
                  </w:pPr>
                </w:p>
              </w:tc>
              <w:tc>
                <w:tcPr>
                  <w:tcW w:w="0" w:type="auto"/>
                  <w:vMerge w:val="continue"/>
                  <w:shd w:val="clear" w:color="auto" w:fill="auto"/>
                  <w:vAlign w:val="center"/>
                </w:tcPr>
                <w:p w14:paraId="209010B4">
                  <w:pPr>
                    <w:pStyle w:val="2"/>
                    <w:jc w:val="center"/>
                    <w:rPr>
                      <w:rFonts w:hint="default"/>
                      <w:color w:val="auto"/>
                    </w:rPr>
                  </w:pPr>
                </w:p>
              </w:tc>
              <w:tc>
                <w:tcPr>
                  <w:tcW w:w="0" w:type="auto"/>
                  <w:shd w:val="clear" w:color="auto" w:fill="auto"/>
                  <w:vAlign w:val="center"/>
                </w:tcPr>
                <w:p w14:paraId="40D4C930">
                  <w:pPr>
                    <w:pStyle w:val="2"/>
                    <w:jc w:val="center"/>
                    <w:rPr>
                      <w:rFonts w:hint="default"/>
                      <w:color w:val="auto"/>
                    </w:rPr>
                  </w:pPr>
                  <w:r>
                    <w:rPr>
                      <w:rFonts w:hint="eastAsia"/>
                      <w:color w:val="auto"/>
                      <w:lang w:val="en-US" w:eastAsia="zh-CN"/>
                    </w:rPr>
                    <w:t>-</w:t>
                  </w:r>
                </w:p>
              </w:tc>
              <w:tc>
                <w:tcPr>
                  <w:tcW w:w="0" w:type="auto"/>
                  <w:shd w:val="clear" w:color="auto" w:fill="auto"/>
                  <w:vAlign w:val="center"/>
                </w:tcPr>
                <w:p w14:paraId="71E3623E">
                  <w:pPr>
                    <w:pStyle w:val="2"/>
                    <w:jc w:val="center"/>
                    <w:rPr>
                      <w:rFonts w:hint="eastAsia" w:eastAsia="宋体"/>
                      <w:color w:val="auto"/>
                      <w:lang w:val="en-US" w:eastAsia="zh-CN"/>
                    </w:rPr>
                  </w:pPr>
                  <w:r>
                    <w:rPr>
                      <w:rFonts w:hint="eastAsia"/>
                      <w:color w:val="auto"/>
                      <w:lang w:val="en-US" w:eastAsia="zh-CN"/>
                    </w:rPr>
                    <w:t>-</w:t>
                  </w:r>
                </w:p>
              </w:tc>
              <w:tc>
                <w:tcPr>
                  <w:tcW w:w="0" w:type="auto"/>
                  <w:vMerge w:val="continue"/>
                  <w:shd w:val="clear" w:color="auto" w:fill="auto"/>
                  <w:vAlign w:val="center"/>
                </w:tcPr>
                <w:p w14:paraId="4DFD1791">
                  <w:pPr>
                    <w:pStyle w:val="2"/>
                    <w:jc w:val="center"/>
                    <w:rPr>
                      <w:rFonts w:hint="default"/>
                      <w:color w:val="auto"/>
                    </w:rPr>
                  </w:pPr>
                </w:p>
              </w:tc>
            </w:tr>
            <w:tr w14:paraId="6742C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9" w:hRule="atLeast"/>
              </w:trPr>
              <w:tc>
                <w:tcPr>
                  <w:tcW w:w="0" w:type="auto"/>
                  <w:vMerge w:val="continue"/>
                  <w:shd w:val="clear" w:color="auto" w:fill="auto"/>
                  <w:vAlign w:val="center"/>
                </w:tcPr>
                <w:p w14:paraId="2BE2427F">
                  <w:pPr>
                    <w:pStyle w:val="2"/>
                    <w:jc w:val="center"/>
                    <w:rPr>
                      <w:rFonts w:hint="default"/>
                      <w:color w:val="auto"/>
                    </w:rPr>
                  </w:pPr>
                </w:p>
              </w:tc>
              <w:tc>
                <w:tcPr>
                  <w:tcW w:w="0" w:type="auto"/>
                  <w:vMerge w:val="continue"/>
                  <w:shd w:val="clear" w:color="auto" w:fill="auto"/>
                  <w:vAlign w:val="center"/>
                </w:tcPr>
                <w:p w14:paraId="027F4D1D">
                  <w:pPr>
                    <w:pStyle w:val="2"/>
                    <w:jc w:val="center"/>
                    <w:rPr>
                      <w:rFonts w:hint="default"/>
                      <w:color w:val="auto"/>
                    </w:rPr>
                  </w:pPr>
                </w:p>
              </w:tc>
              <w:tc>
                <w:tcPr>
                  <w:tcW w:w="0" w:type="auto"/>
                  <w:shd w:val="clear" w:color="auto" w:fill="auto"/>
                  <w:vAlign w:val="center"/>
                </w:tcPr>
                <w:p w14:paraId="18E78102">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4FA2809D">
                  <w:pPr>
                    <w:pStyle w:val="2"/>
                    <w:jc w:val="center"/>
                    <w:rPr>
                      <w:rFonts w:hint="default"/>
                      <w:color w:val="auto"/>
                    </w:rPr>
                  </w:pPr>
                </w:p>
              </w:tc>
              <w:tc>
                <w:tcPr>
                  <w:tcW w:w="849" w:type="dxa"/>
                  <w:vMerge w:val="continue"/>
                  <w:shd w:val="clear" w:color="auto" w:fill="auto"/>
                  <w:vAlign w:val="center"/>
                </w:tcPr>
                <w:p w14:paraId="189B26CA">
                  <w:pPr>
                    <w:pStyle w:val="2"/>
                    <w:jc w:val="center"/>
                    <w:rPr>
                      <w:rFonts w:hint="default"/>
                      <w:color w:val="auto"/>
                    </w:rPr>
                  </w:pPr>
                </w:p>
              </w:tc>
              <w:tc>
                <w:tcPr>
                  <w:tcW w:w="0" w:type="auto"/>
                  <w:shd w:val="clear" w:color="auto" w:fill="auto"/>
                  <w:vAlign w:val="center"/>
                </w:tcPr>
                <w:p w14:paraId="4CAB38C0">
                  <w:pPr>
                    <w:pStyle w:val="2"/>
                    <w:jc w:val="center"/>
                    <w:rPr>
                      <w:rFonts w:hint="default"/>
                      <w:color w:val="auto"/>
                    </w:rPr>
                  </w:pPr>
                  <w:r>
                    <w:rPr>
                      <w:rFonts w:hint="default"/>
                      <w:color w:val="auto"/>
                      <w:lang w:val="en-US" w:eastAsia="zh-CN"/>
                    </w:rPr>
                    <w:t>30</w:t>
                  </w:r>
                </w:p>
              </w:tc>
              <w:tc>
                <w:tcPr>
                  <w:tcW w:w="0" w:type="auto"/>
                  <w:shd w:val="clear" w:color="auto" w:fill="auto"/>
                  <w:vAlign w:val="center"/>
                </w:tcPr>
                <w:p w14:paraId="60F09CEF">
                  <w:pPr>
                    <w:pStyle w:val="2"/>
                    <w:jc w:val="center"/>
                    <w:rPr>
                      <w:rFonts w:hint="default"/>
                      <w:color w:val="auto"/>
                      <w:lang w:val="en-US"/>
                    </w:rPr>
                  </w:pPr>
                  <w:r>
                    <w:rPr>
                      <w:rFonts w:hint="eastAsia"/>
                      <w:color w:val="auto"/>
                      <w:lang w:val="en-US" w:eastAsia="zh-CN"/>
                    </w:rPr>
                    <w:t>0.0432</w:t>
                  </w:r>
                </w:p>
              </w:tc>
              <w:tc>
                <w:tcPr>
                  <w:tcW w:w="1689" w:type="dxa"/>
                  <w:vMerge w:val="continue"/>
                  <w:shd w:val="clear" w:color="auto" w:fill="auto"/>
                  <w:vAlign w:val="center"/>
                </w:tcPr>
                <w:p w14:paraId="2EA92AD1">
                  <w:pPr>
                    <w:pStyle w:val="2"/>
                    <w:jc w:val="center"/>
                    <w:rPr>
                      <w:rFonts w:hint="default"/>
                      <w:color w:val="auto"/>
                    </w:rPr>
                  </w:pPr>
                </w:p>
              </w:tc>
              <w:tc>
                <w:tcPr>
                  <w:tcW w:w="900" w:type="dxa"/>
                  <w:shd w:val="clear" w:color="auto" w:fill="auto"/>
                  <w:vAlign w:val="center"/>
                </w:tcPr>
                <w:p w14:paraId="76C924BB">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1280E3CB">
                  <w:pPr>
                    <w:pStyle w:val="2"/>
                    <w:jc w:val="center"/>
                    <w:rPr>
                      <w:rFonts w:hint="default"/>
                      <w:color w:val="auto"/>
                    </w:rPr>
                  </w:pPr>
                </w:p>
              </w:tc>
              <w:tc>
                <w:tcPr>
                  <w:tcW w:w="0" w:type="auto"/>
                  <w:vMerge w:val="continue"/>
                  <w:shd w:val="clear" w:color="auto" w:fill="auto"/>
                  <w:vAlign w:val="center"/>
                </w:tcPr>
                <w:p w14:paraId="4A743926">
                  <w:pPr>
                    <w:pStyle w:val="2"/>
                    <w:jc w:val="center"/>
                    <w:rPr>
                      <w:rFonts w:hint="default"/>
                      <w:color w:val="auto"/>
                    </w:rPr>
                  </w:pPr>
                </w:p>
              </w:tc>
              <w:tc>
                <w:tcPr>
                  <w:tcW w:w="0" w:type="auto"/>
                  <w:shd w:val="clear" w:color="auto" w:fill="auto"/>
                  <w:vAlign w:val="center"/>
                </w:tcPr>
                <w:p w14:paraId="0A79E403">
                  <w:pPr>
                    <w:pStyle w:val="2"/>
                    <w:jc w:val="center"/>
                    <w:rPr>
                      <w:rFonts w:hint="default"/>
                      <w:color w:val="auto"/>
                      <w:lang w:val="en-US"/>
                    </w:rPr>
                  </w:pPr>
                  <w:r>
                    <w:rPr>
                      <w:rFonts w:hint="eastAsia"/>
                      <w:color w:val="auto"/>
                      <w:lang w:val="en-US" w:eastAsia="zh-CN"/>
                    </w:rPr>
                    <w:t>-</w:t>
                  </w:r>
                </w:p>
              </w:tc>
              <w:tc>
                <w:tcPr>
                  <w:tcW w:w="0" w:type="auto"/>
                  <w:shd w:val="clear" w:color="auto" w:fill="auto"/>
                  <w:vAlign w:val="center"/>
                </w:tcPr>
                <w:p w14:paraId="4F879370">
                  <w:pPr>
                    <w:pStyle w:val="2"/>
                    <w:jc w:val="center"/>
                    <w:rPr>
                      <w:rFonts w:hint="eastAsia" w:eastAsia="宋体"/>
                      <w:color w:val="auto"/>
                      <w:lang w:val="en-US" w:eastAsia="zh-CN"/>
                    </w:rPr>
                  </w:pPr>
                  <w:r>
                    <w:rPr>
                      <w:rFonts w:hint="eastAsia"/>
                      <w:color w:val="auto"/>
                      <w:lang w:val="en-US" w:eastAsia="zh-CN"/>
                    </w:rPr>
                    <w:t>-</w:t>
                  </w:r>
                </w:p>
              </w:tc>
              <w:tc>
                <w:tcPr>
                  <w:tcW w:w="0" w:type="auto"/>
                  <w:vMerge w:val="continue"/>
                  <w:shd w:val="clear" w:color="auto" w:fill="auto"/>
                  <w:vAlign w:val="center"/>
                </w:tcPr>
                <w:p w14:paraId="246AF774">
                  <w:pPr>
                    <w:pStyle w:val="2"/>
                    <w:jc w:val="center"/>
                    <w:rPr>
                      <w:rFonts w:hint="default"/>
                      <w:color w:val="auto"/>
                    </w:rPr>
                  </w:pPr>
                </w:p>
              </w:tc>
            </w:tr>
            <w:tr w14:paraId="6F7B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shd w:val="clear" w:color="auto" w:fill="auto"/>
                  <w:vAlign w:val="center"/>
                </w:tcPr>
                <w:p w14:paraId="75C892AF">
                  <w:pPr>
                    <w:pStyle w:val="2"/>
                    <w:jc w:val="center"/>
                    <w:rPr>
                      <w:rFonts w:hint="default"/>
                      <w:color w:val="auto"/>
                    </w:rPr>
                  </w:pPr>
                </w:p>
              </w:tc>
              <w:tc>
                <w:tcPr>
                  <w:tcW w:w="0" w:type="auto"/>
                  <w:vMerge w:val="continue"/>
                  <w:shd w:val="clear" w:color="auto" w:fill="auto"/>
                  <w:vAlign w:val="center"/>
                </w:tcPr>
                <w:p w14:paraId="5873EB51">
                  <w:pPr>
                    <w:pStyle w:val="2"/>
                    <w:jc w:val="center"/>
                    <w:rPr>
                      <w:rFonts w:hint="default"/>
                      <w:color w:val="auto"/>
                    </w:rPr>
                  </w:pPr>
                </w:p>
              </w:tc>
              <w:tc>
                <w:tcPr>
                  <w:tcW w:w="0" w:type="auto"/>
                  <w:shd w:val="clear" w:color="auto" w:fill="auto"/>
                  <w:vAlign w:val="center"/>
                </w:tcPr>
                <w:p w14:paraId="1EB0CBC3">
                  <w:pPr>
                    <w:pStyle w:val="2"/>
                    <w:jc w:val="center"/>
                    <w:rPr>
                      <w:rFonts w:hint="default"/>
                      <w:color w:val="auto"/>
                    </w:rPr>
                  </w:pPr>
                  <w:r>
                    <w:rPr>
                      <w:rFonts w:hint="default"/>
                      <w:color w:val="auto"/>
                      <w:lang w:val="en-US" w:eastAsia="zh-CN"/>
                    </w:rPr>
                    <w:t>TDS</w:t>
                  </w:r>
                </w:p>
              </w:tc>
              <w:tc>
                <w:tcPr>
                  <w:tcW w:w="821" w:type="dxa"/>
                  <w:vMerge w:val="continue"/>
                  <w:shd w:val="clear" w:color="auto" w:fill="auto"/>
                  <w:vAlign w:val="center"/>
                </w:tcPr>
                <w:p w14:paraId="7B1D7BBB">
                  <w:pPr>
                    <w:pStyle w:val="2"/>
                    <w:jc w:val="center"/>
                    <w:rPr>
                      <w:rFonts w:hint="default"/>
                      <w:color w:val="auto"/>
                    </w:rPr>
                  </w:pPr>
                </w:p>
              </w:tc>
              <w:tc>
                <w:tcPr>
                  <w:tcW w:w="849" w:type="dxa"/>
                  <w:vMerge w:val="continue"/>
                  <w:shd w:val="clear" w:color="auto" w:fill="auto"/>
                  <w:vAlign w:val="center"/>
                </w:tcPr>
                <w:p w14:paraId="33639052">
                  <w:pPr>
                    <w:pStyle w:val="2"/>
                    <w:jc w:val="center"/>
                    <w:rPr>
                      <w:rFonts w:hint="default"/>
                      <w:color w:val="auto"/>
                    </w:rPr>
                  </w:pPr>
                </w:p>
              </w:tc>
              <w:tc>
                <w:tcPr>
                  <w:tcW w:w="0" w:type="auto"/>
                  <w:shd w:val="clear" w:color="auto" w:fill="auto"/>
                  <w:vAlign w:val="center"/>
                </w:tcPr>
                <w:p w14:paraId="6EDC4FBB">
                  <w:pPr>
                    <w:pStyle w:val="2"/>
                    <w:jc w:val="center"/>
                    <w:rPr>
                      <w:rFonts w:hint="default"/>
                      <w:color w:val="auto"/>
                    </w:rPr>
                  </w:pPr>
                  <w:r>
                    <w:rPr>
                      <w:rFonts w:hint="default"/>
                      <w:color w:val="auto"/>
                      <w:lang w:val="en-US" w:eastAsia="zh-CN"/>
                    </w:rPr>
                    <w:t>5</w:t>
                  </w:r>
                </w:p>
              </w:tc>
              <w:tc>
                <w:tcPr>
                  <w:tcW w:w="0" w:type="auto"/>
                  <w:shd w:val="clear" w:color="auto" w:fill="auto"/>
                  <w:vAlign w:val="center"/>
                </w:tcPr>
                <w:p w14:paraId="2EDC27C8">
                  <w:pPr>
                    <w:pStyle w:val="2"/>
                    <w:jc w:val="center"/>
                    <w:rPr>
                      <w:rFonts w:hint="default"/>
                      <w:color w:val="auto"/>
                      <w:lang w:val="en-US"/>
                    </w:rPr>
                  </w:pPr>
                  <w:r>
                    <w:rPr>
                      <w:rFonts w:hint="eastAsia"/>
                      <w:color w:val="auto"/>
                      <w:lang w:val="en-US" w:eastAsia="zh-CN"/>
                    </w:rPr>
                    <w:t>0.0072</w:t>
                  </w:r>
                </w:p>
              </w:tc>
              <w:tc>
                <w:tcPr>
                  <w:tcW w:w="1689" w:type="dxa"/>
                  <w:vMerge w:val="continue"/>
                  <w:shd w:val="clear" w:color="auto" w:fill="auto"/>
                  <w:vAlign w:val="center"/>
                </w:tcPr>
                <w:p w14:paraId="3F0EF284">
                  <w:pPr>
                    <w:pStyle w:val="2"/>
                    <w:jc w:val="center"/>
                    <w:rPr>
                      <w:rFonts w:hint="default"/>
                      <w:color w:val="auto"/>
                    </w:rPr>
                  </w:pPr>
                </w:p>
              </w:tc>
              <w:tc>
                <w:tcPr>
                  <w:tcW w:w="900" w:type="dxa"/>
                  <w:shd w:val="clear" w:color="auto" w:fill="auto"/>
                  <w:vAlign w:val="center"/>
                </w:tcPr>
                <w:p w14:paraId="210FDE08">
                  <w:pPr>
                    <w:pStyle w:val="2"/>
                    <w:jc w:val="center"/>
                    <w:rPr>
                      <w:rFonts w:hint="default"/>
                      <w:color w:val="auto"/>
                    </w:rPr>
                  </w:pPr>
                  <w:r>
                    <w:rPr>
                      <w:rFonts w:hint="default"/>
                      <w:color w:val="auto"/>
                      <w:lang w:val="en-US" w:eastAsia="zh-CN"/>
                    </w:rPr>
                    <w:t>/</w:t>
                  </w:r>
                </w:p>
              </w:tc>
              <w:tc>
                <w:tcPr>
                  <w:tcW w:w="857" w:type="dxa"/>
                  <w:vMerge w:val="continue"/>
                  <w:shd w:val="clear" w:color="auto" w:fill="auto"/>
                  <w:vAlign w:val="center"/>
                </w:tcPr>
                <w:p w14:paraId="49ADC06B">
                  <w:pPr>
                    <w:pStyle w:val="2"/>
                    <w:jc w:val="center"/>
                    <w:rPr>
                      <w:rFonts w:hint="default"/>
                      <w:color w:val="auto"/>
                    </w:rPr>
                  </w:pPr>
                </w:p>
              </w:tc>
              <w:tc>
                <w:tcPr>
                  <w:tcW w:w="0" w:type="auto"/>
                  <w:vMerge w:val="continue"/>
                  <w:shd w:val="clear" w:color="auto" w:fill="auto"/>
                  <w:vAlign w:val="center"/>
                </w:tcPr>
                <w:p w14:paraId="200D398D">
                  <w:pPr>
                    <w:pStyle w:val="2"/>
                    <w:jc w:val="center"/>
                    <w:rPr>
                      <w:rFonts w:hint="default"/>
                      <w:color w:val="auto"/>
                    </w:rPr>
                  </w:pPr>
                </w:p>
              </w:tc>
              <w:tc>
                <w:tcPr>
                  <w:tcW w:w="0" w:type="auto"/>
                  <w:shd w:val="clear" w:color="auto" w:fill="auto"/>
                  <w:vAlign w:val="center"/>
                </w:tcPr>
                <w:p w14:paraId="786325AC">
                  <w:pPr>
                    <w:pStyle w:val="2"/>
                    <w:jc w:val="center"/>
                    <w:rPr>
                      <w:rFonts w:hint="default"/>
                      <w:color w:val="auto"/>
                      <w:lang w:val="en-US"/>
                    </w:rPr>
                  </w:pPr>
                  <w:r>
                    <w:rPr>
                      <w:rFonts w:hint="eastAsia"/>
                      <w:color w:val="auto"/>
                      <w:lang w:val="en-US" w:eastAsia="zh-CN"/>
                    </w:rPr>
                    <w:t>-</w:t>
                  </w:r>
                </w:p>
              </w:tc>
              <w:tc>
                <w:tcPr>
                  <w:tcW w:w="0" w:type="auto"/>
                  <w:shd w:val="clear" w:color="auto" w:fill="auto"/>
                  <w:vAlign w:val="center"/>
                </w:tcPr>
                <w:p w14:paraId="03663B7B">
                  <w:pPr>
                    <w:pStyle w:val="2"/>
                    <w:jc w:val="center"/>
                    <w:rPr>
                      <w:rFonts w:hint="eastAsia" w:eastAsia="宋体"/>
                      <w:color w:val="auto"/>
                      <w:lang w:val="en-US" w:eastAsia="zh-CN"/>
                    </w:rPr>
                  </w:pPr>
                  <w:r>
                    <w:rPr>
                      <w:rFonts w:hint="eastAsia"/>
                      <w:color w:val="auto"/>
                      <w:lang w:val="en-US" w:eastAsia="zh-CN"/>
                    </w:rPr>
                    <w:t>-</w:t>
                  </w:r>
                </w:p>
              </w:tc>
              <w:tc>
                <w:tcPr>
                  <w:tcW w:w="0" w:type="auto"/>
                  <w:vMerge w:val="continue"/>
                  <w:shd w:val="clear" w:color="auto" w:fill="auto"/>
                  <w:vAlign w:val="center"/>
                </w:tcPr>
                <w:p w14:paraId="08C6A807">
                  <w:pPr>
                    <w:pStyle w:val="2"/>
                    <w:jc w:val="center"/>
                    <w:rPr>
                      <w:rFonts w:hint="default"/>
                      <w:color w:val="auto"/>
                    </w:rPr>
                  </w:pPr>
                </w:p>
              </w:tc>
            </w:tr>
            <w:tr w14:paraId="5F0C0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0" w:type="auto"/>
                  <w:vMerge w:val="restart"/>
                  <w:shd w:val="clear" w:color="auto" w:fill="auto"/>
                  <w:vAlign w:val="center"/>
                </w:tcPr>
                <w:p w14:paraId="6E4EAB56">
                  <w:pPr>
                    <w:pStyle w:val="2"/>
                    <w:jc w:val="center"/>
                    <w:rPr>
                      <w:rFonts w:hint="eastAsia"/>
                      <w:color w:val="auto"/>
                      <w:lang w:val="en-US" w:eastAsia="zh-CN"/>
                    </w:rPr>
                  </w:pPr>
                  <w:r>
                    <w:rPr>
                      <w:rFonts w:hint="eastAsia"/>
                      <w:color w:val="auto"/>
                      <w:lang w:val="en-US" w:eastAsia="zh-CN"/>
                    </w:rPr>
                    <w:t>真空</w:t>
                  </w:r>
                </w:p>
                <w:p w14:paraId="54E56E77">
                  <w:pPr>
                    <w:pStyle w:val="2"/>
                    <w:jc w:val="center"/>
                    <w:rPr>
                      <w:rFonts w:hint="eastAsia"/>
                      <w:color w:val="auto"/>
                    </w:rPr>
                  </w:pPr>
                  <w:r>
                    <w:rPr>
                      <w:rFonts w:hint="eastAsia"/>
                      <w:color w:val="auto"/>
                      <w:lang w:val="en-US" w:eastAsia="zh-CN"/>
                    </w:rPr>
                    <w:t>泵冷</w:t>
                  </w:r>
                </w:p>
                <w:p w14:paraId="40AD4949">
                  <w:pPr>
                    <w:pStyle w:val="2"/>
                    <w:jc w:val="center"/>
                    <w:rPr>
                      <w:rFonts w:hint="eastAsia"/>
                      <w:color w:val="auto"/>
                    </w:rPr>
                  </w:pPr>
                  <w:r>
                    <w:rPr>
                      <w:rFonts w:hint="eastAsia"/>
                      <w:color w:val="auto"/>
                      <w:lang w:val="en-US" w:eastAsia="zh-CN"/>
                    </w:rPr>
                    <w:t>却水</w:t>
                  </w:r>
                </w:p>
              </w:tc>
              <w:tc>
                <w:tcPr>
                  <w:tcW w:w="0" w:type="auto"/>
                  <w:vMerge w:val="continue"/>
                  <w:shd w:val="clear" w:color="auto" w:fill="auto"/>
                  <w:vAlign w:val="center"/>
                </w:tcPr>
                <w:p w14:paraId="6415717C">
                  <w:pPr>
                    <w:pStyle w:val="2"/>
                    <w:jc w:val="center"/>
                    <w:rPr>
                      <w:rFonts w:hint="default"/>
                      <w:color w:val="auto"/>
                    </w:rPr>
                  </w:pPr>
                </w:p>
              </w:tc>
              <w:tc>
                <w:tcPr>
                  <w:tcW w:w="0" w:type="auto"/>
                  <w:shd w:val="clear" w:color="auto" w:fill="auto"/>
                  <w:vAlign w:val="center"/>
                </w:tcPr>
                <w:p w14:paraId="0EFF5838">
                  <w:pPr>
                    <w:pStyle w:val="2"/>
                    <w:jc w:val="center"/>
                    <w:rPr>
                      <w:rFonts w:hint="default"/>
                      <w:color w:val="auto"/>
                    </w:rPr>
                  </w:pPr>
                  <w:r>
                    <w:rPr>
                      <w:rFonts w:hint="default"/>
                      <w:color w:val="auto"/>
                      <w:lang w:val="en-US" w:eastAsia="zh-CN"/>
                    </w:rPr>
                    <w:t>COD</w:t>
                  </w:r>
                </w:p>
              </w:tc>
              <w:tc>
                <w:tcPr>
                  <w:tcW w:w="821" w:type="dxa"/>
                  <w:vMerge w:val="continue"/>
                  <w:shd w:val="clear" w:color="auto" w:fill="auto"/>
                  <w:vAlign w:val="center"/>
                </w:tcPr>
                <w:p w14:paraId="5C2A42DB">
                  <w:pPr>
                    <w:pStyle w:val="2"/>
                    <w:jc w:val="center"/>
                    <w:rPr>
                      <w:rFonts w:hint="default"/>
                      <w:color w:val="auto"/>
                    </w:rPr>
                  </w:pPr>
                </w:p>
              </w:tc>
              <w:tc>
                <w:tcPr>
                  <w:tcW w:w="849" w:type="dxa"/>
                  <w:vMerge w:val="restart"/>
                  <w:shd w:val="clear" w:color="auto" w:fill="auto"/>
                  <w:vAlign w:val="center"/>
                </w:tcPr>
                <w:p w14:paraId="0D5FC3E5">
                  <w:pPr>
                    <w:pStyle w:val="2"/>
                    <w:jc w:val="center"/>
                    <w:rPr>
                      <w:rFonts w:hint="default"/>
                      <w:color w:val="auto"/>
                      <w:lang w:val="en-US"/>
                    </w:rPr>
                  </w:pPr>
                  <w:r>
                    <w:rPr>
                      <w:rFonts w:hint="eastAsia"/>
                      <w:color w:val="auto"/>
                      <w:lang w:val="en-US" w:eastAsia="zh-CN"/>
                    </w:rPr>
                    <w:t>2.4</w:t>
                  </w:r>
                </w:p>
              </w:tc>
              <w:tc>
                <w:tcPr>
                  <w:tcW w:w="0" w:type="auto"/>
                  <w:shd w:val="clear" w:color="auto" w:fill="auto"/>
                  <w:vAlign w:val="center"/>
                </w:tcPr>
                <w:p w14:paraId="17D97A8E">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5491C4EA">
                  <w:pPr>
                    <w:pStyle w:val="2"/>
                    <w:jc w:val="center"/>
                    <w:rPr>
                      <w:rFonts w:hint="default"/>
                      <w:color w:val="auto"/>
                      <w:lang w:val="en-US"/>
                    </w:rPr>
                  </w:pPr>
                  <w:r>
                    <w:rPr>
                      <w:rFonts w:hint="default"/>
                      <w:color w:val="auto"/>
                      <w:lang w:val="en-US" w:eastAsia="zh-CN"/>
                    </w:rPr>
                    <w:t>0.0</w:t>
                  </w:r>
                  <w:r>
                    <w:rPr>
                      <w:rFonts w:hint="eastAsia"/>
                      <w:color w:val="auto"/>
                      <w:lang w:val="en-US" w:eastAsia="zh-CN"/>
                    </w:rPr>
                    <w:t>96</w:t>
                  </w:r>
                </w:p>
              </w:tc>
              <w:tc>
                <w:tcPr>
                  <w:tcW w:w="1689" w:type="dxa"/>
                  <w:vMerge w:val="continue"/>
                  <w:shd w:val="clear" w:color="auto" w:fill="auto"/>
                  <w:vAlign w:val="center"/>
                </w:tcPr>
                <w:p w14:paraId="7B38184F">
                  <w:pPr>
                    <w:pStyle w:val="2"/>
                    <w:jc w:val="center"/>
                    <w:rPr>
                      <w:rFonts w:hint="default"/>
                      <w:color w:val="auto"/>
                    </w:rPr>
                  </w:pPr>
                </w:p>
              </w:tc>
              <w:tc>
                <w:tcPr>
                  <w:tcW w:w="900" w:type="dxa"/>
                  <w:shd w:val="clear" w:color="auto" w:fill="auto"/>
                  <w:vAlign w:val="center"/>
                </w:tcPr>
                <w:p w14:paraId="0B3C5627">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511ED6C0">
                  <w:pPr>
                    <w:pStyle w:val="2"/>
                    <w:jc w:val="center"/>
                    <w:rPr>
                      <w:rFonts w:hint="default"/>
                      <w:color w:val="auto"/>
                    </w:rPr>
                  </w:pPr>
                </w:p>
              </w:tc>
              <w:tc>
                <w:tcPr>
                  <w:tcW w:w="0" w:type="auto"/>
                  <w:vMerge w:val="restart"/>
                  <w:shd w:val="clear" w:color="auto" w:fill="auto"/>
                  <w:vAlign w:val="center"/>
                </w:tcPr>
                <w:p w14:paraId="53251422">
                  <w:pPr>
                    <w:pStyle w:val="2"/>
                    <w:jc w:val="center"/>
                    <w:rPr>
                      <w:rFonts w:hint="default"/>
                      <w:color w:val="auto"/>
                      <w:lang w:val="en-US"/>
                    </w:rPr>
                  </w:pPr>
                  <w:r>
                    <w:rPr>
                      <w:rFonts w:hint="eastAsia"/>
                      <w:color w:val="auto"/>
                      <w:lang w:val="en-US" w:eastAsia="zh-CN"/>
                    </w:rPr>
                    <w:t>2.4</w:t>
                  </w:r>
                </w:p>
              </w:tc>
              <w:tc>
                <w:tcPr>
                  <w:tcW w:w="0" w:type="auto"/>
                  <w:shd w:val="clear" w:color="auto" w:fill="auto"/>
                  <w:vAlign w:val="center"/>
                </w:tcPr>
                <w:p w14:paraId="4881A9B2">
                  <w:pPr>
                    <w:pStyle w:val="2"/>
                    <w:jc w:val="center"/>
                    <w:rPr>
                      <w:rFonts w:hint="default"/>
                      <w:color w:val="auto"/>
                    </w:rPr>
                  </w:pPr>
                  <w:r>
                    <w:rPr>
                      <w:rFonts w:hint="default"/>
                      <w:color w:val="auto"/>
                      <w:lang w:val="en-US" w:eastAsia="zh-CN"/>
                    </w:rPr>
                    <w:t>12.8</w:t>
                  </w:r>
                </w:p>
              </w:tc>
              <w:tc>
                <w:tcPr>
                  <w:tcW w:w="0" w:type="auto"/>
                  <w:shd w:val="clear" w:color="auto" w:fill="auto"/>
                  <w:vAlign w:val="center"/>
                </w:tcPr>
                <w:p w14:paraId="4C1F9946">
                  <w:pPr>
                    <w:pStyle w:val="2"/>
                    <w:jc w:val="center"/>
                    <w:rPr>
                      <w:rFonts w:hint="default"/>
                      <w:color w:val="auto"/>
                      <w:lang w:val="en-US"/>
                    </w:rPr>
                  </w:pPr>
                  <w:r>
                    <w:rPr>
                      <w:rFonts w:hint="default"/>
                      <w:color w:val="auto"/>
                      <w:lang w:val="en-US" w:eastAsia="zh-CN"/>
                    </w:rPr>
                    <w:t>0.0</w:t>
                  </w:r>
                  <w:r>
                    <w:rPr>
                      <w:rFonts w:hint="eastAsia"/>
                      <w:color w:val="auto"/>
                      <w:lang w:val="en-US" w:eastAsia="zh-CN"/>
                    </w:rPr>
                    <w:t>307</w:t>
                  </w:r>
                </w:p>
              </w:tc>
              <w:tc>
                <w:tcPr>
                  <w:tcW w:w="0" w:type="auto"/>
                  <w:vMerge w:val="continue"/>
                  <w:shd w:val="clear" w:color="auto" w:fill="auto"/>
                  <w:vAlign w:val="center"/>
                </w:tcPr>
                <w:p w14:paraId="17799112">
                  <w:pPr>
                    <w:pStyle w:val="2"/>
                    <w:jc w:val="center"/>
                    <w:rPr>
                      <w:rFonts w:hint="default"/>
                      <w:color w:val="auto"/>
                    </w:rPr>
                  </w:pPr>
                </w:p>
              </w:tc>
            </w:tr>
            <w:tr w14:paraId="4E3DA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trPr>
              <w:tc>
                <w:tcPr>
                  <w:tcW w:w="0" w:type="auto"/>
                  <w:vMerge w:val="continue"/>
                  <w:shd w:val="clear" w:color="auto" w:fill="auto"/>
                  <w:vAlign w:val="center"/>
                </w:tcPr>
                <w:p w14:paraId="662ABDE8">
                  <w:pPr>
                    <w:pStyle w:val="2"/>
                    <w:jc w:val="center"/>
                    <w:rPr>
                      <w:rFonts w:hint="default"/>
                      <w:color w:val="auto"/>
                    </w:rPr>
                  </w:pPr>
                </w:p>
              </w:tc>
              <w:tc>
                <w:tcPr>
                  <w:tcW w:w="0" w:type="auto"/>
                  <w:vMerge w:val="continue"/>
                  <w:shd w:val="clear" w:color="auto" w:fill="auto"/>
                  <w:vAlign w:val="center"/>
                </w:tcPr>
                <w:p w14:paraId="1751B172">
                  <w:pPr>
                    <w:pStyle w:val="2"/>
                    <w:jc w:val="center"/>
                    <w:rPr>
                      <w:rFonts w:hint="default"/>
                      <w:color w:val="auto"/>
                    </w:rPr>
                  </w:pPr>
                </w:p>
              </w:tc>
              <w:tc>
                <w:tcPr>
                  <w:tcW w:w="0" w:type="auto"/>
                  <w:shd w:val="clear" w:color="auto" w:fill="auto"/>
                  <w:vAlign w:val="center"/>
                </w:tcPr>
                <w:p w14:paraId="6A117E27">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6358E4A8">
                  <w:pPr>
                    <w:pStyle w:val="2"/>
                    <w:jc w:val="center"/>
                    <w:rPr>
                      <w:rFonts w:hint="default"/>
                      <w:color w:val="auto"/>
                    </w:rPr>
                  </w:pPr>
                </w:p>
              </w:tc>
              <w:tc>
                <w:tcPr>
                  <w:tcW w:w="849" w:type="dxa"/>
                  <w:vMerge w:val="continue"/>
                  <w:shd w:val="clear" w:color="auto" w:fill="auto"/>
                  <w:vAlign w:val="center"/>
                </w:tcPr>
                <w:p w14:paraId="6711CCBB">
                  <w:pPr>
                    <w:pStyle w:val="2"/>
                    <w:jc w:val="center"/>
                    <w:rPr>
                      <w:rFonts w:hint="default"/>
                      <w:color w:val="auto"/>
                    </w:rPr>
                  </w:pPr>
                </w:p>
              </w:tc>
              <w:tc>
                <w:tcPr>
                  <w:tcW w:w="0" w:type="auto"/>
                  <w:shd w:val="clear" w:color="auto" w:fill="auto"/>
                  <w:vAlign w:val="center"/>
                </w:tcPr>
                <w:p w14:paraId="682F309C">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5CB4E01E">
                  <w:pPr>
                    <w:pStyle w:val="2"/>
                    <w:jc w:val="center"/>
                    <w:rPr>
                      <w:rFonts w:hint="default"/>
                      <w:color w:val="auto"/>
                      <w:lang w:val="en-US"/>
                    </w:rPr>
                  </w:pPr>
                  <w:r>
                    <w:rPr>
                      <w:rFonts w:hint="default"/>
                      <w:color w:val="auto"/>
                      <w:lang w:val="en-US" w:eastAsia="zh-CN"/>
                    </w:rPr>
                    <w:t>0.0</w:t>
                  </w:r>
                  <w:r>
                    <w:rPr>
                      <w:rFonts w:hint="eastAsia"/>
                      <w:color w:val="auto"/>
                      <w:lang w:val="en-US" w:eastAsia="zh-CN"/>
                    </w:rPr>
                    <w:t>96</w:t>
                  </w:r>
                </w:p>
              </w:tc>
              <w:tc>
                <w:tcPr>
                  <w:tcW w:w="1689" w:type="dxa"/>
                  <w:vMerge w:val="continue"/>
                  <w:shd w:val="clear" w:color="auto" w:fill="auto"/>
                  <w:vAlign w:val="center"/>
                </w:tcPr>
                <w:p w14:paraId="5E4E37EF">
                  <w:pPr>
                    <w:pStyle w:val="2"/>
                    <w:jc w:val="center"/>
                    <w:rPr>
                      <w:rFonts w:hint="default"/>
                      <w:color w:val="auto"/>
                    </w:rPr>
                  </w:pPr>
                </w:p>
              </w:tc>
              <w:tc>
                <w:tcPr>
                  <w:tcW w:w="900" w:type="dxa"/>
                  <w:shd w:val="clear" w:color="auto" w:fill="auto"/>
                  <w:vAlign w:val="center"/>
                </w:tcPr>
                <w:p w14:paraId="0DE57C47">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7B6543DA">
                  <w:pPr>
                    <w:pStyle w:val="2"/>
                    <w:jc w:val="center"/>
                    <w:rPr>
                      <w:rFonts w:hint="default"/>
                      <w:color w:val="auto"/>
                    </w:rPr>
                  </w:pPr>
                </w:p>
              </w:tc>
              <w:tc>
                <w:tcPr>
                  <w:tcW w:w="0" w:type="auto"/>
                  <w:vMerge w:val="continue"/>
                  <w:shd w:val="clear" w:color="auto" w:fill="auto"/>
                  <w:vAlign w:val="center"/>
                </w:tcPr>
                <w:p w14:paraId="6C99CDE3">
                  <w:pPr>
                    <w:pStyle w:val="2"/>
                    <w:jc w:val="center"/>
                    <w:rPr>
                      <w:rFonts w:hint="default"/>
                      <w:color w:val="auto"/>
                    </w:rPr>
                  </w:pPr>
                </w:p>
              </w:tc>
              <w:tc>
                <w:tcPr>
                  <w:tcW w:w="0" w:type="auto"/>
                  <w:shd w:val="clear" w:color="auto" w:fill="auto"/>
                  <w:vAlign w:val="center"/>
                </w:tcPr>
                <w:p w14:paraId="0A0272CD">
                  <w:pPr>
                    <w:pStyle w:val="2"/>
                    <w:jc w:val="center"/>
                    <w:rPr>
                      <w:rFonts w:hint="default"/>
                      <w:color w:val="auto"/>
                    </w:rPr>
                  </w:pPr>
                  <w:r>
                    <w:rPr>
                      <w:rFonts w:hint="default"/>
                      <w:color w:val="auto"/>
                      <w:lang w:val="en-US" w:eastAsia="zh-CN"/>
                    </w:rPr>
                    <w:t>26.8</w:t>
                  </w:r>
                </w:p>
              </w:tc>
              <w:tc>
                <w:tcPr>
                  <w:tcW w:w="0" w:type="auto"/>
                  <w:shd w:val="clear" w:color="auto" w:fill="auto"/>
                  <w:vAlign w:val="center"/>
                </w:tcPr>
                <w:p w14:paraId="3481092C">
                  <w:pPr>
                    <w:pStyle w:val="2"/>
                    <w:jc w:val="center"/>
                    <w:rPr>
                      <w:rFonts w:hint="default"/>
                      <w:color w:val="auto"/>
                      <w:lang w:val="en-US"/>
                    </w:rPr>
                  </w:pPr>
                  <w:r>
                    <w:rPr>
                      <w:rFonts w:hint="default"/>
                      <w:color w:val="auto"/>
                      <w:lang w:val="en-US" w:eastAsia="zh-CN"/>
                    </w:rPr>
                    <w:t>0.0</w:t>
                  </w:r>
                  <w:r>
                    <w:rPr>
                      <w:rFonts w:hint="eastAsia"/>
                      <w:color w:val="auto"/>
                      <w:lang w:val="en-US" w:eastAsia="zh-CN"/>
                    </w:rPr>
                    <w:t>643</w:t>
                  </w:r>
                </w:p>
              </w:tc>
              <w:tc>
                <w:tcPr>
                  <w:tcW w:w="0" w:type="auto"/>
                  <w:vMerge w:val="continue"/>
                  <w:shd w:val="clear" w:color="auto" w:fill="auto"/>
                  <w:vAlign w:val="center"/>
                </w:tcPr>
                <w:p w14:paraId="14EBCD44">
                  <w:pPr>
                    <w:pStyle w:val="2"/>
                    <w:jc w:val="center"/>
                    <w:rPr>
                      <w:rFonts w:hint="default"/>
                      <w:color w:val="auto"/>
                    </w:rPr>
                  </w:pPr>
                </w:p>
              </w:tc>
            </w:tr>
            <w:tr w14:paraId="32A65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6" w:hRule="atLeast"/>
              </w:trPr>
              <w:tc>
                <w:tcPr>
                  <w:tcW w:w="0" w:type="auto"/>
                  <w:vMerge w:val="restart"/>
                  <w:shd w:val="clear" w:color="auto" w:fill="auto"/>
                  <w:vAlign w:val="center"/>
                </w:tcPr>
                <w:p w14:paraId="3876DE49">
                  <w:pPr>
                    <w:pStyle w:val="2"/>
                    <w:jc w:val="center"/>
                    <w:rPr>
                      <w:rFonts w:hint="eastAsia"/>
                      <w:color w:val="auto"/>
                      <w:lang w:val="en-US" w:eastAsia="zh-CN"/>
                    </w:rPr>
                  </w:pPr>
                  <w:r>
                    <w:rPr>
                      <w:rFonts w:hint="eastAsia"/>
                      <w:color w:val="auto"/>
                      <w:lang w:val="en-US" w:eastAsia="zh-CN"/>
                    </w:rPr>
                    <w:t>运输</w:t>
                  </w:r>
                  <w:r>
                    <w:rPr>
                      <w:color w:val="auto"/>
                      <w:lang w:val="en-US" w:eastAsia="zh-CN"/>
                    </w:rPr>
                    <w:t>设施</w:t>
                  </w:r>
                </w:p>
                <w:p w14:paraId="4B5A728F">
                  <w:pPr>
                    <w:pStyle w:val="2"/>
                    <w:jc w:val="center"/>
                    <w:rPr>
                      <w:rFonts w:hint="eastAsia"/>
                      <w:color w:val="auto"/>
                    </w:rPr>
                  </w:pPr>
                  <w:r>
                    <w:rPr>
                      <w:rFonts w:hint="eastAsia"/>
                      <w:color w:val="auto"/>
                      <w:lang w:val="en-US" w:eastAsia="zh-CN"/>
                    </w:rPr>
                    <w:t>清洗废水</w:t>
                  </w:r>
                </w:p>
              </w:tc>
              <w:tc>
                <w:tcPr>
                  <w:tcW w:w="0" w:type="auto"/>
                  <w:vMerge w:val="continue"/>
                  <w:shd w:val="clear" w:color="auto" w:fill="auto"/>
                  <w:vAlign w:val="center"/>
                </w:tcPr>
                <w:p w14:paraId="76C611A4">
                  <w:pPr>
                    <w:pStyle w:val="2"/>
                    <w:jc w:val="center"/>
                    <w:rPr>
                      <w:rFonts w:hint="default"/>
                      <w:color w:val="auto"/>
                    </w:rPr>
                  </w:pPr>
                </w:p>
              </w:tc>
              <w:tc>
                <w:tcPr>
                  <w:tcW w:w="0" w:type="auto"/>
                  <w:shd w:val="clear" w:color="auto" w:fill="auto"/>
                  <w:vAlign w:val="center"/>
                </w:tcPr>
                <w:p w14:paraId="5F40E53E">
                  <w:pPr>
                    <w:pStyle w:val="2"/>
                    <w:jc w:val="center"/>
                    <w:rPr>
                      <w:rFonts w:hint="default"/>
                      <w:color w:val="auto"/>
                    </w:rPr>
                  </w:pPr>
                  <w:r>
                    <w:rPr>
                      <w:rFonts w:hint="default"/>
                      <w:color w:val="auto"/>
                      <w:lang w:val="en-US" w:eastAsia="zh-CN"/>
                    </w:rPr>
                    <w:t>pH</w:t>
                  </w:r>
                </w:p>
              </w:tc>
              <w:tc>
                <w:tcPr>
                  <w:tcW w:w="821" w:type="dxa"/>
                  <w:vMerge w:val="continue"/>
                  <w:shd w:val="clear" w:color="auto" w:fill="auto"/>
                  <w:vAlign w:val="center"/>
                </w:tcPr>
                <w:p w14:paraId="2C483EF9">
                  <w:pPr>
                    <w:pStyle w:val="2"/>
                    <w:jc w:val="center"/>
                    <w:rPr>
                      <w:rFonts w:hint="default"/>
                      <w:color w:val="auto"/>
                    </w:rPr>
                  </w:pPr>
                </w:p>
              </w:tc>
              <w:tc>
                <w:tcPr>
                  <w:tcW w:w="849" w:type="dxa"/>
                  <w:vMerge w:val="restart"/>
                  <w:shd w:val="clear" w:color="auto" w:fill="auto"/>
                  <w:vAlign w:val="center"/>
                </w:tcPr>
                <w:p w14:paraId="068EA3BF">
                  <w:pPr>
                    <w:pStyle w:val="2"/>
                    <w:jc w:val="center"/>
                    <w:rPr>
                      <w:rFonts w:hint="default"/>
                      <w:color w:val="auto"/>
                      <w:lang w:val="en-US"/>
                    </w:rPr>
                  </w:pPr>
                  <w:r>
                    <w:rPr>
                      <w:rFonts w:hint="eastAsia"/>
                      <w:color w:val="auto"/>
                      <w:lang w:val="en-US" w:eastAsia="zh-CN"/>
                    </w:rPr>
                    <w:t>0.12</w:t>
                  </w:r>
                </w:p>
              </w:tc>
              <w:tc>
                <w:tcPr>
                  <w:tcW w:w="0" w:type="auto"/>
                  <w:gridSpan w:val="2"/>
                  <w:shd w:val="clear" w:color="auto" w:fill="auto"/>
                  <w:vAlign w:val="center"/>
                </w:tcPr>
                <w:p w14:paraId="23265093">
                  <w:pPr>
                    <w:pStyle w:val="2"/>
                    <w:jc w:val="center"/>
                    <w:rPr>
                      <w:rFonts w:hint="default"/>
                      <w:color w:val="auto"/>
                    </w:rPr>
                  </w:pPr>
                  <w:r>
                    <w:rPr>
                      <w:rFonts w:hint="default"/>
                      <w:color w:val="auto"/>
                      <w:lang w:val="en-US" w:eastAsia="zh-CN"/>
                    </w:rPr>
                    <w:t>6-9</w:t>
                  </w:r>
                  <w:r>
                    <w:rPr>
                      <w:color w:val="auto"/>
                      <w:lang w:val="en-US" w:eastAsia="zh-CN"/>
                    </w:rPr>
                    <w:t>（无量纲）</w:t>
                  </w:r>
                </w:p>
              </w:tc>
              <w:tc>
                <w:tcPr>
                  <w:tcW w:w="1689" w:type="dxa"/>
                  <w:vMerge w:val="continue"/>
                  <w:shd w:val="clear" w:color="auto" w:fill="auto"/>
                  <w:vAlign w:val="center"/>
                </w:tcPr>
                <w:p w14:paraId="4C192B84">
                  <w:pPr>
                    <w:pStyle w:val="2"/>
                    <w:jc w:val="center"/>
                    <w:rPr>
                      <w:rFonts w:hint="default"/>
                      <w:color w:val="auto"/>
                    </w:rPr>
                  </w:pPr>
                </w:p>
              </w:tc>
              <w:tc>
                <w:tcPr>
                  <w:tcW w:w="900" w:type="dxa"/>
                  <w:shd w:val="clear" w:color="auto" w:fill="auto"/>
                  <w:vAlign w:val="center"/>
                </w:tcPr>
                <w:p w14:paraId="5526F76D">
                  <w:pPr>
                    <w:pStyle w:val="2"/>
                    <w:jc w:val="center"/>
                    <w:rPr>
                      <w:rFonts w:hint="default"/>
                      <w:color w:val="auto"/>
                    </w:rPr>
                  </w:pPr>
                  <w:r>
                    <w:rPr>
                      <w:rFonts w:hint="default"/>
                      <w:color w:val="auto"/>
                      <w:lang w:val="en-US" w:eastAsia="zh-CN"/>
                    </w:rPr>
                    <w:t>/</w:t>
                  </w:r>
                </w:p>
              </w:tc>
              <w:tc>
                <w:tcPr>
                  <w:tcW w:w="857" w:type="dxa"/>
                  <w:vMerge w:val="continue"/>
                  <w:shd w:val="clear" w:color="auto" w:fill="auto"/>
                  <w:vAlign w:val="center"/>
                </w:tcPr>
                <w:p w14:paraId="0205DE4A">
                  <w:pPr>
                    <w:pStyle w:val="2"/>
                    <w:jc w:val="center"/>
                    <w:rPr>
                      <w:rFonts w:hint="default"/>
                      <w:color w:val="auto"/>
                    </w:rPr>
                  </w:pPr>
                </w:p>
              </w:tc>
              <w:tc>
                <w:tcPr>
                  <w:tcW w:w="0" w:type="auto"/>
                  <w:vMerge w:val="restart"/>
                  <w:shd w:val="clear" w:color="auto" w:fill="auto"/>
                  <w:vAlign w:val="center"/>
                </w:tcPr>
                <w:p w14:paraId="7203A8F7">
                  <w:pPr>
                    <w:pStyle w:val="2"/>
                    <w:jc w:val="center"/>
                    <w:rPr>
                      <w:rFonts w:hint="default"/>
                      <w:color w:val="auto"/>
                      <w:lang w:val="en-US"/>
                    </w:rPr>
                  </w:pPr>
                  <w:r>
                    <w:rPr>
                      <w:rFonts w:hint="eastAsia"/>
                      <w:color w:val="auto"/>
                      <w:lang w:val="en-US" w:eastAsia="zh-CN"/>
                    </w:rPr>
                    <w:t>0.12</w:t>
                  </w:r>
                </w:p>
              </w:tc>
              <w:tc>
                <w:tcPr>
                  <w:tcW w:w="0" w:type="auto"/>
                  <w:gridSpan w:val="2"/>
                  <w:shd w:val="clear" w:color="auto" w:fill="auto"/>
                  <w:vAlign w:val="center"/>
                </w:tcPr>
                <w:p w14:paraId="66E009F2">
                  <w:pPr>
                    <w:pStyle w:val="2"/>
                    <w:jc w:val="center"/>
                    <w:rPr>
                      <w:rFonts w:hint="default"/>
                      <w:color w:val="auto"/>
                    </w:rPr>
                  </w:pPr>
                  <w:r>
                    <w:rPr>
                      <w:rFonts w:hint="default"/>
                      <w:color w:val="auto"/>
                      <w:lang w:val="en-US" w:eastAsia="zh-CN"/>
                    </w:rPr>
                    <w:t>6-9</w:t>
                  </w:r>
                  <w:r>
                    <w:rPr>
                      <w:color w:val="auto"/>
                      <w:lang w:val="en-US" w:eastAsia="zh-CN"/>
                    </w:rPr>
                    <w:t>（无量纲）</w:t>
                  </w:r>
                </w:p>
              </w:tc>
              <w:tc>
                <w:tcPr>
                  <w:tcW w:w="0" w:type="auto"/>
                  <w:vMerge w:val="continue"/>
                  <w:shd w:val="clear" w:color="auto" w:fill="auto"/>
                  <w:vAlign w:val="center"/>
                </w:tcPr>
                <w:p w14:paraId="719E9AE2">
                  <w:pPr>
                    <w:pStyle w:val="2"/>
                    <w:jc w:val="center"/>
                    <w:rPr>
                      <w:rFonts w:hint="default"/>
                      <w:color w:val="auto"/>
                    </w:rPr>
                  </w:pPr>
                </w:p>
              </w:tc>
            </w:tr>
            <w:tr w14:paraId="63136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8" w:hRule="atLeast"/>
              </w:trPr>
              <w:tc>
                <w:tcPr>
                  <w:tcW w:w="0" w:type="auto"/>
                  <w:vMerge w:val="continue"/>
                  <w:shd w:val="clear" w:color="auto" w:fill="auto"/>
                  <w:vAlign w:val="center"/>
                </w:tcPr>
                <w:p w14:paraId="7C8C0C02">
                  <w:pPr>
                    <w:pStyle w:val="2"/>
                    <w:jc w:val="center"/>
                    <w:rPr>
                      <w:rFonts w:hint="eastAsia"/>
                      <w:color w:val="auto"/>
                    </w:rPr>
                  </w:pPr>
                </w:p>
              </w:tc>
              <w:tc>
                <w:tcPr>
                  <w:tcW w:w="0" w:type="auto"/>
                  <w:vMerge w:val="continue"/>
                  <w:shd w:val="clear" w:color="auto" w:fill="auto"/>
                  <w:vAlign w:val="center"/>
                </w:tcPr>
                <w:p w14:paraId="084A31BD">
                  <w:pPr>
                    <w:pStyle w:val="2"/>
                    <w:jc w:val="center"/>
                    <w:rPr>
                      <w:rFonts w:hint="default"/>
                      <w:color w:val="auto"/>
                    </w:rPr>
                  </w:pPr>
                </w:p>
              </w:tc>
              <w:tc>
                <w:tcPr>
                  <w:tcW w:w="0" w:type="auto"/>
                  <w:shd w:val="clear" w:color="auto" w:fill="auto"/>
                  <w:vAlign w:val="center"/>
                </w:tcPr>
                <w:p w14:paraId="70A62166">
                  <w:pPr>
                    <w:pStyle w:val="2"/>
                    <w:jc w:val="center"/>
                    <w:rPr>
                      <w:rFonts w:hint="default"/>
                      <w:color w:val="auto"/>
                    </w:rPr>
                  </w:pPr>
                  <w:r>
                    <w:rPr>
                      <w:rFonts w:hint="default"/>
                      <w:color w:val="auto"/>
                      <w:lang w:val="en-US" w:eastAsia="zh-CN"/>
                    </w:rPr>
                    <w:t>COD</w:t>
                  </w:r>
                </w:p>
              </w:tc>
              <w:tc>
                <w:tcPr>
                  <w:tcW w:w="821" w:type="dxa"/>
                  <w:vMerge w:val="continue"/>
                  <w:shd w:val="clear" w:color="auto" w:fill="auto"/>
                  <w:vAlign w:val="center"/>
                </w:tcPr>
                <w:p w14:paraId="6761302E">
                  <w:pPr>
                    <w:pStyle w:val="2"/>
                    <w:jc w:val="center"/>
                    <w:rPr>
                      <w:rFonts w:hint="default"/>
                      <w:color w:val="auto"/>
                    </w:rPr>
                  </w:pPr>
                </w:p>
              </w:tc>
              <w:tc>
                <w:tcPr>
                  <w:tcW w:w="849" w:type="dxa"/>
                  <w:vMerge w:val="continue"/>
                  <w:shd w:val="clear" w:color="auto" w:fill="auto"/>
                  <w:vAlign w:val="center"/>
                </w:tcPr>
                <w:p w14:paraId="1D2A81B3">
                  <w:pPr>
                    <w:pStyle w:val="2"/>
                    <w:jc w:val="center"/>
                    <w:rPr>
                      <w:rFonts w:hint="default"/>
                      <w:color w:val="auto"/>
                    </w:rPr>
                  </w:pPr>
                </w:p>
              </w:tc>
              <w:tc>
                <w:tcPr>
                  <w:tcW w:w="0" w:type="auto"/>
                  <w:shd w:val="clear" w:color="auto" w:fill="auto"/>
                  <w:vAlign w:val="center"/>
                </w:tcPr>
                <w:p w14:paraId="767D3F3D">
                  <w:pPr>
                    <w:pStyle w:val="2"/>
                    <w:jc w:val="center"/>
                    <w:rPr>
                      <w:rFonts w:hint="default"/>
                      <w:color w:val="auto"/>
                    </w:rPr>
                  </w:pPr>
                  <w:r>
                    <w:rPr>
                      <w:rFonts w:hint="default"/>
                      <w:color w:val="auto"/>
                      <w:lang w:val="en-US" w:eastAsia="zh-CN"/>
                    </w:rPr>
                    <w:t>151</w:t>
                  </w:r>
                </w:p>
              </w:tc>
              <w:tc>
                <w:tcPr>
                  <w:tcW w:w="0" w:type="auto"/>
                  <w:shd w:val="clear" w:color="auto" w:fill="auto"/>
                  <w:vAlign w:val="center"/>
                </w:tcPr>
                <w:p w14:paraId="758B64C7">
                  <w:pPr>
                    <w:pStyle w:val="2"/>
                    <w:jc w:val="center"/>
                    <w:rPr>
                      <w:rFonts w:hint="default"/>
                      <w:color w:val="auto"/>
                    </w:rPr>
                  </w:pPr>
                  <w:r>
                    <w:rPr>
                      <w:rFonts w:hint="default"/>
                      <w:color w:val="auto"/>
                      <w:lang w:val="en-US" w:eastAsia="zh-CN"/>
                    </w:rPr>
                    <w:t>0.</w:t>
                  </w:r>
                  <w:r>
                    <w:rPr>
                      <w:rFonts w:hint="eastAsia"/>
                      <w:color w:val="auto"/>
                      <w:lang w:val="en-US" w:eastAsia="zh-CN"/>
                    </w:rPr>
                    <w:t>0</w:t>
                  </w:r>
                  <w:r>
                    <w:rPr>
                      <w:rFonts w:hint="default"/>
                      <w:color w:val="auto"/>
                      <w:lang w:val="en-US" w:eastAsia="zh-CN"/>
                    </w:rPr>
                    <w:t>1812</w:t>
                  </w:r>
                </w:p>
              </w:tc>
              <w:tc>
                <w:tcPr>
                  <w:tcW w:w="1689" w:type="dxa"/>
                  <w:vMerge w:val="continue"/>
                  <w:shd w:val="clear" w:color="auto" w:fill="auto"/>
                  <w:vAlign w:val="center"/>
                </w:tcPr>
                <w:p w14:paraId="1E97418C">
                  <w:pPr>
                    <w:pStyle w:val="2"/>
                    <w:jc w:val="center"/>
                    <w:rPr>
                      <w:rFonts w:hint="default"/>
                      <w:color w:val="auto"/>
                    </w:rPr>
                  </w:pPr>
                </w:p>
              </w:tc>
              <w:tc>
                <w:tcPr>
                  <w:tcW w:w="900" w:type="dxa"/>
                  <w:shd w:val="clear" w:color="auto" w:fill="auto"/>
                  <w:vAlign w:val="center"/>
                </w:tcPr>
                <w:p w14:paraId="7CF4CA2F">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01B435C8">
                  <w:pPr>
                    <w:pStyle w:val="2"/>
                    <w:jc w:val="center"/>
                    <w:rPr>
                      <w:rFonts w:hint="default"/>
                      <w:color w:val="auto"/>
                    </w:rPr>
                  </w:pPr>
                </w:p>
              </w:tc>
              <w:tc>
                <w:tcPr>
                  <w:tcW w:w="0" w:type="auto"/>
                  <w:vMerge w:val="continue"/>
                  <w:shd w:val="clear" w:color="auto" w:fill="auto"/>
                  <w:vAlign w:val="center"/>
                </w:tcPr>
                <w:p w14:paraId="68DE3D33">
                  <w:pPr>
                    <w:pStyle w:val="2"/>
                    <w:jc w:val="center"/>
                    <w:rPr>
                      <w:rFonts w:hint="default"/>
                      <w:color w:val="auto"/>
                    </w:rPr>
                  </w:pPr>
                </w:p>
              </w:tc>
              <w:tc>
                <w:tcPr>
                  <w:tcW w:w="0" w:type="auto"/>
                  <w:shd w:val="clear" w:color="auto" w:fill="auto"/>
                  <w:vAlign w:val="center"/>
                </w:tcPr>
                <w:p w14:paraId="31EA25D0">
                  <w:pPr>
                    <w:pStyle w:val="2"/>
                    <w:jc w:val="center"/>
                    <w:rPr>
                      <w:rFonts w:hint="default"/>
                      <w:color w:val="auto"/>
                    </w:rPr>
                  </w:pPr>
                  <w:r>
                    <w:rPr>
                      <w:rFonts w:hint="default"/>
                      <w:color w:val="auto"/>
                      <w:lang w:val="en-US" w:eastAsia="zh-CN"/>
                    </w:rPr>
                    <w:t>48.32</w:t>
                  </w:r>
                </w:p>
              </w:tc>
              <w:tc>
                <w:tcPr>
                  <w:tcW w:w="0" w:type="auto"/>
                  <w:shd w:val="clear" w:color="auto" w:fill="auto"/>
                  <w:vAlign w:val="center"/>
                </w:tcPr>
                <w:p w14:paraId="06B22DF2">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58</w:t>
                  </w:r>
                </w:p>
              </w:tc>
              <w:tc>
                <w:tcPr>
                  <w:tcW w:w="0" w:type="auto"/>
                  <w:vMerge w:val="continue"/>
                  <w:shd w:val="clear" w:color="auto" w:fill="auto"/>
                  <w:vAlign w:val="center"/>
                </w:tcPr>
                <w:p w14:paraId="561B2280">
                  <w:pPr>
                    <w:pStyle w:val="2"/>
                    <w:jc w:val="center"/>
                    <w:rPr>
                      <w:rFonts w:hint="default"/>
                      <w:color w:val="auto"/>
                    </w:rPr>
                  </w:pPr>
                </w:p>
              </w:tc>
            </w:tr>
            <w:tr w14:paraId="400C4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shd w:val="clear" w:color="auto" w:fill="auto"/>
                  <w:vAlign w:val="center"/>
                </w:tcPr>
                <w:p w14:paraId="3D991191">
                  <w:pPr>
                    <w:pStyle w:val="2"/>
                    <w:jc w:val="center"/>
                    <w:rPr>
                      <w:rFonts w:hint="eastAsia"/>
                      <w:color w:val="auto"/>
                    </w:rPr>
                  </w:pPr>
                </w:p>
              </w:tc>
              <w:tc>
                <w:tcPr>
                  <w:tcW w:w="0" w:type="auto"/>
                  <w:vMerge w:val="continue"/>
                  <w:shd w:val="clear" w:color="auto" w:fill="auto"/>
                  <w:vAlign w:val="center"/>
                </w:tcPr>
                <w:p w14:paraId="4167D650">
                  <w:pPr>
                    <w:pStyle w:val="2"/>
                    <w:jc w:val="center"/>
                    <w:rPr>
                      <w:rFonts w:hint="default"/>
                      <w:color w:val="auto"/>
                    </w:rPr>
                  </w:pPr>
                </w:p>
              </w:tc>
              <w:tc>
                <w:tcPr>
                  <w:tcW w:w="0" w:type="auto"/>
                  <w:shd w:val="clear" w:color="auto" w:fill="auto"/>
                  <w:vAlign w:val="center"/>
                </w:tcPr>
                <w:p w14:paraId="596A3E04">
                  <w:pPr>
                    <w:pStyle w:val="2"/>
                    <w:jc w:val="center"/>
                    <w:rPr>
                      <w:rFonts w:hint="default"/>
                      <w:color w:val="auto"/>
                    </w:rPr>
                  </w:pPr>
                  <w:r>
                    <w:rPr>
                      <w:rFonts w:hint="default"/>
                      <w:color w:val="auto"/>
                      <w:lang w:val="en-US" w:eastAsia="zh-CN"/>
                    </w:rPr>
                    <w:t>BOD</w:t>
                  </w:r>
                  <w:r>
                    <w:rPr>
                      <w:color w:val="auto"/>
                      <w:lang w:val="en-US" w:eastAsia="zh-CN"/>
                    </w:rPr>
                    <w:t>5</w:t>
                  </w:r>
                </w:p>
              </w:tc>
              <w:tc>
                <w:tcPr>
                  <w:tcW w:w="821" w:type="dxa"/>
                  <w:vMerge w:val="continue"/>
                  <w:shd w:val="clear" w:color="auto" w:fill="auto"/>
                  <w:vAlign w:val="center"/>
                </w:tcPr>
                <w:p w14:paraId="63F4D960">
                  <w:pPr>
                    <w:pStyle w:val="2"/>
                    <w:jc w:val="center"/>
                    <w:rPr>
                      <w:rFonts w:hint="default"/>
                      <w:color w:val="auto"/>
                    </w:rPr>
                  </w:pPr>
                </w:p>
              </w:tc>
              <w:tc>
                <w:tcPr>
                  <w:tcW w:w="849" w:type="dxa"/>
                  <w:vMerge w:val="continue"/>
                  <w:shd w:val="clear" w:color="auto" w:fill="auto"/>
                  <w:vAlign w:val="center"/>
                </w:tcPr>
                <w:p w14:paraId="7A8567D0">
                  <w:pPr>
                    <w:pStyle w:val="2"/>
                    <w:jc w:val="center"/>
                    <w:rPr>
                      <w:rFonts w:hint="default"/>
                      <w:color w:val="auto"/>
                    </w:rPr>
                  </w:pPr>
                </w:p>
              </w:tc>
              <w:tc>
                <w:tcPr>
                  <w:tcW w:w="0" w:type="auto"/>
                  <w:shd w:val="clear" w:color="auto" w:fill="auto"/>
                  <w:vAlign w:val="center"/>
                </w:tcPr>
                <w:p w14:paraId="29F547A1">
                  <w:pPr>
                    <w:pStyle w:val="2"/>
                    <w:jc w:val="center"/>
                    <w:rPr>
                      <w:rFonts w:hint="default"/>
                      <w:color w:val="auto"/>
                    </w:rPr>
                  </w:pPr>
                  <w:r>
                    <w:rPr>
                      <w:rFonts w:hint="default"/>
                      <w:color w:val="auto"/>
                      <w:lang w:val="en-US" w:eastAsia="zh-CN"/>
                    </w:rPr>
                    <w:t>41.9</w:t>
                  </w:r>
                </w:p>
              </w:tc>
              <w:tc>
                <w:tcPr>
                  <w:tcW w:w="0" w:type="auto"/>
                  <w:shd w:val="clear" w:color="auto" w:fill="auto"/>
                  <w:vAlign w:val="center"/>
                </w:tcPr>
                <w:p w14:paraId="6525AECE">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503</w:t>
                  </w:r>
                </w:p>
              </w:tc>
              <w:tc>
                <w:tcPr>
                  <w:tcW w:w="1689" w:type="dxa"/>
                  <w:vMerge w:val="continue"/>
                  <w:shd w:val="clear" w:color="auto" w:fill="auto"/>
                  <w:vAlign w:val="center"/>
                </w:tcPr>
                <w:p w14:paraId="0FF16DC8">
                  <w:pPr>
                    <w:pStyle w:val="2"/>
                    <w:jc w:val="center"/>
                    <w:rPr>
                      <w:rFonts w:hint="default"/>
                      <w:color w:val="auto"/>
                    </w:rPr>
                  </w:pPr>
                </w:p>
              </w:tc>
              <w:tc>
                <w:tcPr>
                  <w:tcW w:w="900" w:type="dxa"/>
                  <w:shd w:val="clear" w:color="auto" w:fill="auto"/>
                  <w:vAlign w:val="center"/>
                </w:tcPr>
                <w:p w14:paraId="35817391">
                  <w:pPr>
                    <w:pStyle w:val="2"/>
                    <w:jc w:val="center"/>
                    <w:rPr>
                      <w:rFonts w:hint="default"/>
                      <w:color w:val="auto"/>
                    </w:rPr>
                  </w:pPr>
                  <w:r>
                    <w:rPr>
                      <w:rFonts w:hint="default"/>
                      <w:color w:val="auto"/>
                      <w:lang w:val="en-US" w:eastAsia="zh-CN"/>
                    </w:rPr>
                    <w:t>74</w:t>
                  </w:r>
                </w:p>
              </w:tc>
              <w:tc>
                <w:tcPr>
                  <w:tcW w:w="857" w:type="dxa"/>
                  <w:vMerge w:val="continue"/>
                  <w:shd w:val="clear" w:color="auto" w:fill="auto"/>
                  <w:vAlign w:val="center"/>
                </w:tcPr>
                <w:p w14:paraId="6925D0C1">
                  <w:pPr>
                    <w:pStyle w:val="2"/>
                    <w:jc w:val="center"/>
                    <w:rPr>
                      <w:rFonts w:hint="default"/>
                      <w:color w:val="auto"/>
                    </w:rPr>
                  </w:pPr>
                </w:p>
              </w:tc>
              <w:tc>
                <w:tcPr>
                  <w:tcW w:w="0" w:type="auto"/>
                  <w:vMerge w:val="continue"/>
                  <w:shd w:val="clear" w:color="auto" w:fill="auto"/>
                  <w:vAlign w:val="center"/>
                </w:tcPr>
                <w:p w14:paraId="09EC0F1C">
                  <w:pPr>
                    <w:pStyle w:val="2"/>
                    <w:jc w:val="center"/>
                    <w:rPr>
                      <w:rFonts w:hint="default"/>
                      <w:color w:val="auto"/>
                    </w:rPr>
                  </w:pPr>
                </w:p>
              </w:tc>
              <w:tc>
                <w:tcPr>
                  <w:tcW w:w="0" w:type="auto"/>
                  <w:shd w:val="clear" w:color="auto" w:fill="auto"/>
                  <w:vAlign w:val="center"/>
                </w:tcPr>
                <w:p w14:paraId="3A74121F">
                  <w:pPr>
                    <w:pStyle w:val="2"/>
                    <w:jc w:val="center"/>
                    <w:rPr>
                      <w:rFonts w:hint="default"/>
                      <w:color w:val="auto"/>
                    </w:rPr>
                  </w:pPr>
                  <w:r>
                    <w:rPr>
                      <w:rFonts w:hint="default"/>
                      <w:color w:val="auto"/>
                      <w:lang w:val="en-US" w:eastAsia="zh-CN"/>
                    </w:rPr>
                    <w:t>10.89</w:t>
                  </w:r>
                </w:p>
              </w:tc>
              <w:tc>
                <w:tcPr>
                  <w:tcW w:w="0" w:type="auto"/>
                  <w:shd w:val="clear" w:color="auto" w:fill="auto"/>
                  <w:vAlign w:val="center"/>
                </w:tcPr>
                <w:p w14:paraId="5F69A9F9">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131</w:t>
                  </w:r>
                </w:p>
              </w:tc>
              <w:tc>
                <w:tcPr>
                  <w:tcW w:w="0" w:type="auto"/>
                  <w:vMerge w:val="continue"/>
                  <w:shd w:val="clear" w:color="auto" w:fill="auto"/>
                  <w:vAlign w:val="center"/>
                </w:tcPr>
                <w:p w14:paraId="41CF15D1">
                  <w:pPr>
                    <w:pStyle w:val="2"/>
                    <w:jc w:val="center"/>
                    <w:rPr>
                      <w:rFonts w:hint="default"/>
                      <w:color w:val="auto"/>
                    </w:rPr>
                  </w:pPr>
                </w:p>
              </w:tc>
            </w:tr>
            <w:tr w14:paraId="19540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0" w:type="auto"/>
                  <w:vMerge w:val="continue"/>
                  <w:shd w:val="clear" w:color="auto" w:fill="auto"/>
                  <w:vAlign w:val="center"/>
                </w:tcPr>
                <w:p w14:paraId="14E671B6">
                  <w:pPr>
                    <w:pStyle w:val="2"/>
                    <w:jc w:val="center"/>
                    <w:rPr>
                      <w:rFonts w:hint="eastAsia"/>
                      <w:color w:val="auto"/>
                    </w:rPr>
                  </w:pPr>
                </w:p>
              </w:tc>
              <w:tc>
                <w:tcPr>
                  <w:tcW w:w="0" w:type="auto"/>
                  <w:vMerge w:val="continue"/>
                  <w:shd w:val="clear" w:color="auto" w:fill="auto"/>
                  <w:vAlign w:val="center"/>
                </w:tcPr>
                <w:p w14:paraId="7E36B44A">
                  <w:pPr>
                    <w:pStyle w:val="2"/>
                    <w:jc w:val="center"/>
                    <w:rPr>
                      <w:rFonts w:hint="default"/>
                      <w:color w:val="auto"/>
                    </w:rPr>
                  </w:pPr>
                </w:p>
              </w:tc>
              <w:tc>
                <w:tcPr>
                  <w:tcW w:w="0" w:type="auto"/>
                  <w:shd w:val="clear" w:color="auto" w:fill="auto"/>
                  <w:vAlign w:val="center"/>
                </w:tcPr>
                <w:p w14:paraId="514E5E2A">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746BC2F2">
                  <w:pPr>
                    <w:pStyle w:val="2"/>
                    <w:jc w:val="center"/>
                    <w:rPr>
                      <w:rFonts w:hint="default"/>
                      <w:color w:val="auto"/>
                    </w:rPr>
                  </w:pPr>
                </w:p>
              </w:tc>
              <w:tc>
                <w:tcPr>
                  <w:tcW w:w="849" w:type="dxa"/>
                  <w:vMerge w:val="continue"/>
                  <w:shd w:val="clear" w:color="auto" w:fill="auto"/>
                  <w:vAlign w:val="center"/>
                </w:tcPr>
                <w:p w14:paraId="1B7BEF60">
                  <w:pPr>
                    <w:pStyle w:val="2"/>
                    <w:jc w:val="center"/>
                    <w:rPr>
                      <w:rFonts w:hint="default"/>
                      <w:color w:val="auto"/>
                    </w:rPr>
                  </w:pPr>
                </w:p>
              </w:tc>
              <w:tc>
                <w:tcPr>
                  <w:tcW w:w="0" w:type="auto"/>
                  <w:shd w:val="clear" w:color="auto" w:fill="auto"/>
                  <w:vAlign w:val="center"/>
                </w:tcPr>
                <w:p w14:paraId="6FDEA47D">
                  <w:pPr>
                    <w:pStyle w:val="2"/>
                    <w:jc w:val="center"/>
                    <w:rPr>
                      <w:rFonts w:hint="default"/>
                      <w:color w:val="auto"/>
                    </w:rPr>
                  </w:pPr>
                  <w:r>
                    <w:rPr>
                      <w:rFonts w:hint="default"/>
                      <w:color w:val="auto"/>
                      <w:lang w:val="en-US" w:eastAsia="zh-CN"/>
                    </w:rPr>
                    <w:t>400</w:t>
                  </w:r>
                </w:p>
              </w:tc>
              <w:tc>
                <w:tcPr>
                  <w:tcW w:w="0" w:type="auto"/>
                  <w:shd w:val="clear" w:color="auto" w:fill="auto"/>
                  <w:vAlign w:val="center"/>
                </w:tcPr>
                <w:p w14:paraId="0264E271">
                  <w:pPr>
                    <w:pStyle w:val="2"/>
                    <w:jc w:val="center"/>
                    <w:rPr>
                      <w:rFonts w:hint="default"/>
                      <w:color w:val="auto"/>
                    </w:rPr>
                  </w:pPr>
                  <w:r>
                    <w:rPr>
                      <w:rFonts w:hint="default"/>
                      <w:color w:val="auto"/>
                      <w:lang w:val="en-US" w:eastAsia="zh-CN"/>
                    </w:rPr>
                    <w:t>0.</w:t>
                  </w:r>
                  <w:r>
                    <w:rPr>
                      <w:rFonts w:hint="eastAsia"/>
                      <w:color w:val="auto"/>
                      <w:lang w:val="en-US" w:eastAsia="zh-CN"/>
                    </w:rPr>
                    <w:t>0</w:t>
                  </w:r>
                  <w:r>
                    <w:rPr>
                      <w:rFonts w:hint="default"/>
                      <w:color w:val="auto"/>
                      <w:lang w:val="en-US" w:eastAsia="zh-CN"/>
                    </w:rPr>
                    <w:t>48</w:t>
                  </w:r>
                </w:p>
              </w:tc>
              <w:tc>
                <w:tcPr>
                  <w:tcW w:w="1689" w:type="dxa"/>
                  <w:vMerge w:val="continue"/>
                  <w:shd w:val="clear" w:color="auto" w:fill="auto"/>
                  <w:vAlign w:val="center"/>
                </w:tcPr>
                <w:p w14:paraId="7BF75EA9">
                  <w:pPr>
                    <w:pStyle w:val="2"/>
                    <w:jc w:val="center"/>
                    <w:rPr>
                      <w:rFonts w:hint="default"/>
                      <w:color w:val="auto"/>
                    </w:rPr>
                  </w:pPr>
                </w:p>
              </w:tc>
              <w:tc>
                <w:tcPr>
                  <w:tcW w:w="900" w:type="dxa"/>
                  <w:shd w:val="clear" w:color="auto" w:fill="auto"/>
                  <w:vAlign w:val="center"/>
                </w:tcPr>
                <w:p w14:paraId="3D269869">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467D1589">
                  <w:pPr>
                    <w:pStyle w:val="2"/>
                    <w:jc w:val="center"/>
                    <w:rPr>
                      <w:rFonts w:hint="default"/>
                      <w:color w:val="auto"/>
                    </w:rPr>
                  </w:pPr>
                </w:p>
              </w:tc>
              <w:tc>
                <w:tcPr>
                  <w:tcW w:w="0" w:type="auto"/>
                  <w:vMerge w:val="continue"/>
                  <w:shd w:val="clear" w:color="auto" w:fill="auto"/>
                  <w:vAlign w:val="center"/>
                </w:tcPr>
                <w:p w14:paraId="5DA307DF">
                  <w:pPr>
                    <w:pStyle w:val="2"/>
                    <w:jc w:val="center"/>
                    <w:rPr>
                      <w:rFonts w:hint="default"/>
                      <w:color w:val="auto"/>
                    </w:rPr>
                  </w:pPr>
                </w:p>
              </w:tc>
              <w:tc>
                <w:tcPr>
                  <w:tcW w:w="0" w:type="auto"/>
                  <w:shd w:val="clear" w:color="auto" w:fill="auto"/>
                  <w:vAlign w:val="center"/>
                </w:tcPr>
                <w:p w14:paraId="120EDB74">
                  <w:pPr>
                    <w:pStyle w:val="2"/>
                    <w:jc w:val="center"/>
                    <w:rPr>
                      <w:rFonts w:hint="default"/>
                      <w:color w:val="auto"/>
                    </w:rPr>
                  </w:pPr>
                  <w:r>
                    <w:rPr>
                      <w:rFonts w:hint="default"/>
                      <w:color w:val="auto"/>
                      <w:lang w:val="en-US" w:eastAsia="zh-CN"/>
                    </w:rPr>
                    <w:t>268</w:t>
                  </w:r>
                </w:p>
              </w:tc>
              <w:tc>
                <w:tcPr>
                  <w:tcW w:w="0" w:type="auto"/>
                  <w:shd w:val="clear" w:color="auto" w:fill="auto"/>
                  <w:vAlign w:val="center"/>
                </w:tcPr>
                <w:p w14:paraId="177A6097">
                  <w:pPr>
                    <w:pStyle w:val="2"/>
                    <w:jc w:val="center"/>
                    <w:rPr>
                      <w:rFonts w:hint="default"/>
                      <w:color w:val="auto"/>
                    </w:rPr>
                  </w:pPr>
                  <w:r>
                    <w:rPr>
                      <w:rFonts w:hint="default"/>
                      <w:color w:val="auto"/>
                      <w:lang w:val="en-US" w:eastAsia="zh-CN"/>
                    </w:rPr>
                    <w:t>0.</w:t>
                  </w:r>
                  <w:r>
                    <w:rPr>
                      <w:rFonts w:hint="eastAsia"/>
                      <w:color w:val="auto"/>
                      <w:lang w:val="en-US" w:eastAsia="zh-CN"/>
                    </w:rPr>
                    <w:t>03</w:t>
                  </w:r>
                  <w:r>
                    <w:rPr>
                      <w:rFonts w:hint="default"/>
                      <w:color w:val="auto"/>
                      <w:lang w:val="en-US" w:eastAsia="zh-CN"/>
                    </w:rPr>
                    <w:t>216</w:t>
                  </w:r>
                </w:p>
              </w:tc>
              <w:tc>
                <w:tcPr>
                  <w:tcW w:w="0" w:type="auto"/>
                  <w:vMerge w:val="continue"/>
                  <w:shd w:val="clear" w:color="auto" w:fill="auto"/>
                  <w:vAlign w:val="center"/>
                </w:tcPr>
                <w:p w14:paraId="450378B9">
                  <w:pPr>
                    <w:pStyle w:val="2"/>
                    <w:jc w:val="center"/>
                    <w:rPr>
                      <w:rFonts w:hint="default"/>
                      <w:color w:val="auto"/>
                    </w:rPr>
                  </w:pPr>
                </w:p>
              </w:tc>
            </w:tr>
            <w:tr w14:paraId="6844F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44" w:hRule="atLeast"/>
              </w:trPr>
              <w:tc>
                <w:tcPr>
                  <w:tcW w:w="0" w:type="auto"/>
                  <w:vMerge w:val="continue"/>
                  <w:shd w:val="clear" w:color="auto" w:fill="auto"/>
                  <w:vAlign w:val="center"/>
                </w:tcPr>
                <w:p w14:paraId="5CBDBACE">
                  <w:pPr>
                    <w:pStyle w:val="2"/>
                    <w:jc w:val="center"/>
                    <w:rPr>
                      <w:rFonts w:hint="eastAsia"/>
                      <w:color w:val="auto"/>
                    </w:rPr>
                  </w:pPr>
                </w:p>
              </w:tc>
              <w:tc>
                <w:tcPr>
                  <w:tcW w:w="0" w:type="auto"/>
                  <w:vMerge w:val="continue"/>
                  <w:shd w:val="clear" w:color="auto" w:fill="auto"/>
                  <w:vAlign w:val="center"/>
                </w:tcPr>
                <w:p w14:paraId="22C1E502">
                  <w:pPr>
                    <w:pStyle w:val="2"/>
                    <w:jc w:val="center"/>
                    <w:rPr>
                      <w:rFonts w:hint="default"/>
                      <w:color w:val="auto"/>
                    </w:rPr>
                  </w:pPr>
                </w:p>
              </w:tc>
              <w:tc>
                <w:tcPr>
                  <w:tcW w:w="0" w:type="auto"/>
                  <w:shd w:val="clear" w:color="auto" w:fill="auto"/>
                  <w:vAlign w:val="center"/>
                </w:tcPr>
                <w:p w14:paraId="314D96A7">
                  <w:pPr>
                    <w:pStyle w:val="2"/>
                    <w:jc w:val="center"/>
                    <w:rPr>
                      <w:rFonts w:hint="default"/>
                      <w:color w:val="auto"/>
                    </w:rPr>
                  </w:pPr>
                  <w:r>
                    <w:rPr>
                      <w:rFonts w:hint="default"/>
                      <w:color w:val="auto"/>
                      <w:lang w:val="en-US" w:eastAsia="zh-CN"/>
                    </w:rPr>
                    <w:t>NH</w:t>
                  </w:r>
                  <w:r>
                    <w:rPr>
                      <w:color w:val="auto"/>
                      <w:lang w:val="en-US" w:eastAsia="zh-CN"/>
                    </w:rPr>
                    <w:t>3-</w:t>
                  </w:r>
                  <w:r>
                    <w:rPr>
                      <w:rFonts w:hint="default"/>
                      <w:color w:val="auto"/>
                      <w:lang w:val="en-US" w:eastAsia="zh-CN"/>
                    </w:rPr>
                    <w:t>N</w:t>
                  </w:r>
                </w:p>
              </w:tc>
              <w:tc>
                <w:tcPr>
                  <w:tcW w:w="821" w:type="dxa"/>
                  <w:vMerge w:val="continue"/>
                  <w:shd w:val="clear" w:color="auto" w:fill="auto"/>
                  <w:vAlign w:val="center"/>
                </w:tcPr>
                <w:p w14:paraId="6E0BD0F3">
                  <w:pPr>
                    <w:pStyle w:val="2"/>
                    <w:jc w:val="center"/>
                    <w:rPr>
                      <w:rFonts w:hint="default"/>
                      <w:color w:val="auto"/>
                    </w:rPr>
                  </w:pPr>
                </w:p>
              </w:tc>
              <w:tc>
                <w:tcPr>
                  <w:tcW w:w="849" w:type="dxa"/>
                  <w:vMerge w:val="continue"/>
                  <w:shd w:val="clear" w:color="auto" w:fill="auto"/>
                  <w:vAlign w:val="center"/>
                </w:tcPr>
                <w:p w14:paraId="627C323F">
                  <w:pPr>
                    <w:pStyle w:val="2"/>
                    <w:jc w:val="center"/>
                    <w:rPr>
                      <w:rFonts w:hint="default"/>
                      <w:color w:val="auto"/>
                    </w:rPr>
                  </w:pPr>
                </w:p>
              </w:tc>
              <w:tc>
                <w:tcPr>
                  <w:tcW w:w="0" w:type="auto"/>
                  <w:shd w:val="clear" w:color="auto" w:fill="auto"/>
                  <w:vAlign w:val="center"/>
                </w:tcPr>
                <w:p w14:paraId="54787876">
                  <w:pPr>
                    <w:pStyle w:val="2"/>
                    <w:jc w:val="center"/>
                    <w:rPr>
                      <w:rFonts w:hint="default"/>
                      <w:color w:val="auto"/>
                    </w:rPr>
                  </w:pPr>
                  <w:r>
                    <w:rPr>
                      <w:rFonts w:hint="default"/>
                      <w:color w:val="auto"/>
                      <w:lang w:val="en-US" w:eastAsia="zh-CN"/>
                    </w:rPr>
                    <w:t>14.93</w:t>
                  </w:r>
                </w:p>
              </w:tc>
              <w:tc>
                <w:tcPr>
                  <w:tcW w:w="0" w:type="auto"/>
                  <w:shd w:val="clear" w:color="auto" w:fill="auto"/>
                  <w:vAlign w:val="center"/>
                </w:tcPr>
                <w:p w14:paraId="4A0C4157">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1791</w:t>
                  </w:r>
                </w:p>
              </w:tc>
              <w:tc>
                <w:tcPr>
                  <w:tcW w:w="1689" w:type="dxa"/>
                  <w:vMerge w:val="continue"/>
                  <w:shd w:val="clear" w:color="auto" w:fill="auto"/>
                  <w:vAlign w:val="center"/>
                </w:tcPr>
                <w:p w14:paraId="3A7DE222">
                  <w:pPr>
                    <w:pStyle w:val="2"/>
                    <w:jc w:val="center"/>
                    <w:rPr>
                      <w:rFonts w:hint="default"/>
                      <w:color w:val="auto"/>
                    </w:rPr>
                  </w:pPr>
                </w:p>
              </w:tc>
              <w:tc>
                <w:tcPr>
                  <w:tcW w:w="900" w:type="dxa"/>
                  <w:shd w:val="clear" w:color="auto" w:fill="auto"/>
                  <w:vAlign w:val="center"/>
                </w:tcPr>
                <w:p w14:paraId="13230561">
                  <w:pPr>
                    <w:pStyle w:val="2"/>
                    <w:jc w:val="center"/>
                    <w:rPr>
                      <w:rFonts w:hint="default"/>
                      <w:color w:val="auto"/>
                    </w:rPr>
                  </w:pPr>
                  <w:r>
                    <w:rPr>
                      <w:rFonts w:hint="default"/>
                      <w:color w:val="auto"/>
                      <w:lang w:val="en-US" w:eastAsia="zh-CN"/>
                    </w:rPr>
                    <w:t>90</w:t>
                  </w:r>
                </w:p>
              </w:tc>
              <w:tc>
                <w:tcPr>
                  <w:tcW w:w="857" w:type="dxa"/>
                  <w:vMerge w:val="continue"/>
                  <w:shd w:val="clear" w:color="auto" w:fill="auto"/>
                  <w:vAlign w:val="center"/>
                </w:tcPr>
                <w:p w14:paraId="0626A8B2">
                  <w:pPr>
                    <w:pStyle w:val="2"/>
                    <w:jc w:val="center"/>
                    <w:rPr>
                      <w:rFonts w:hint="default"/>
                      <w:color w:val="auto"/>
                    </w:rPr>
                  </w:pPr>
                </w:p>
              </w:tc>
              <w:tc>
                <w:tcPr>
                  <w:tcW w:w="0" w:type="auto"/>
                  <w:vMerge w:val="continue"/>
                  <w:shd w:val="clear" w:color="auto" w:fill="auto"/>
                  <w:vAlign w:val="center"/>
                </w:tcPr>
                <w:p w14:paraId="6FD9D779">
                  <w:pPr>
                    <w:pStyle w:val="2"/>
                    <w:jc w:val="center"/>
                    <w:rPr>
                      <w:rFonts w:hint="default"/>
                      <w:color w:val="auto"/>
                    </w:rPr>
                  </w:pPr>
                </w:p>
              </w:tc>
              <w:tc>
                <w:tcPr>
                  <w:tcW w:w="0" w:type="auto"/>
                  <w:shd w:val="clear" w:color="auto" w:fill="auto"/>
                  <w:vAlign w:val="center"/>
                </w:tcPr>
                <w:p w14:paraId="655F5EC4">
                  <w:pPr>
                    <w:pStyle w:val="2"/>
                    <w:jc w:val="center"/>
                    <w:rPr>
                      <w:rFonts w:hint="default"/>
                      <w:color w:val="auto"/>
                    </w:rPr>
                  </w:pPr>
                  <w:r>
                    <w:rPr>
                      <w:rFonts w:hint="default"/>
                      <w:color w:val="auto"/>
                      <w:lang w:val="en-US" w:eastAsia="zh-CN"/>
                    </w:rPr>
                    <w:t>1.493</w:t>
                  </w:r>
                </w:p>
              </w:tc>
              <w:tc>
                <w:tcPr>
                  <w:tcW w:w="0" w:type="auto"/>
                  <w:shd w:val="clear" w:color="auto" w:fill="auto"/>
                  <w:vAlign w:val="center"/>
                </w:tcPr>
                <w:p w14:paraId="19A6CCB8">
                  <w:pPr>
                    <w:pStyle w:val="2"/>
                    <w:jc w:val="center"/>
                    <w:rPr>
                      <w:rFonts w:hint="default"/>
                      <w:color w:val="auto"/>
                      <w:lang w:val="en-US" w:eastAsia="zh-CN"/>
                    </w:rPr>
                  </w:pPr>
                </w:p>
                <w:p w14:paraId="487E3E99">
                  <w:pPr>
                    <w:pStyle w:val="2"/>
                    <w:jc w:val="center"/>
                    <w:rPr>
                      <w:rFonts w:hint="default"/>
                      <w:color w:val="auto"/>
                      <w:lang w:val="en-US"/>
                    </w:rPr>
                  </w:pPr>
                  <w:r>
                    <w:rPr>
                      <w:rFonts w:hint="default"/>
                      <w:color w:val="auto"/>
                      <w:lang w:val="en-US" w:eastAsia="zh-CN"/>
                    </w:rPr>
                    <w:t>0.00</w:t>
                  </w:r>
                  <w:r>
                    <w:rPr>
                      <w:rFonts w:hint="eastAsia"/>
                      <w:color w:val="auto"/>
                      <w:lang w:val="en-US" w:eastAsia="zh-CN"/>
                    </w:rPr>
                    <w:t>0</w:t>
                  </w:r>
                  <w:r>
                    <w:rPr>
                      <w:rFonts w:hint="default"/>
                      <w:color w:val="auto"/>
                      <w:lang w:val="en-US" w:eastAsia="zh-CN"/>
                    </w:rPr>
                    <w:t>1</w:t>
                  </w:r>
                  <w:r>
                    <w:rPr>
                      <w:rFonts w:hint="eastAsia"/>
                      <w:color w:val="auto"/>
                      <w:lang w:val="en-US" w:eastAsia="zh-CN"/>
                    </w:rPr>
                    <w:t>8</w:t>
                  </w:r>
                </w:p>
                <w:p w14:paraId="21FD914A">
                  <w:pPr>
                    <w:pStyle w:val="2"/>
                    <w:jc w:val="center"/>
                    <w:rPr>
                      <w:rFonts w:hint="default"/>
                      <w:color w:val="auto"/>
                    </w:rPr>
                  </w:pPr>
                </w:p>
              </w:tc>
              <w:tc>
                <w:tcPr>
                  <w:tcW w:w="0" w:type="auto"/>
                  <w:vMerge w:val="continue"/>
                  <w:shd w:val="clear" w:color="auto" w:fill="auto"/>
                  <w:vAlign w:val="center"/>
                </w:tcPr>
                <w:p w14:paraId="5E9C3E60">
                  <w:pPr>
                    <w:pStyle w:val="2"/>
                    <w:jc w:val="center"/>
                    <w:rPr>
                      <w:rFonts w:hint="default"/>
                      <w:color w:val="auto"/>
                    </w:rPr>
                  </w:pPr>
                </w:p>
              </w:tc>
            </w:tr>
            <w:tr w14:paraId="653F7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0" w:type="auto"/>
                  <w:vMerge w:val="continue"/>
                  <w:shd w:val="clear" w:color="auto" w:fill="auto"/>
                  <w:vAlign w:val="center"/>
                </w:tcPr>
                <w:p w14:paraId="49A02887">
                  <w:pPr>
                    <w:pStyle w:val="2"/>
                    <w:jc w:val="center"/>
                    <w:rPr>
                      <w:rFonts w:hint="eastAsia"/>
                      <w:color w:val="auto"/>
                    </w:rPr>
                  </w:pPr>
                </w:p>
              </w:tc>
              <w:tc>
                <w:tcPr>
                  <w:tcW w:w="0" w:type="auto"/>
                  <w:vMerge w:val="continue"/>
                  <w:shd w:val="clear" w:color="auto" w:fill="auto"/>
                  <w:vAlign w:val="center"/>
                </w:tcPr>
                <w:p w14:paraId="66E5B85D">
                  <w:pPr>
                    <w:pStyle w:val="2"/>
                    <w:jc w:val="center"/>
                    <w:rPr>
                      <w:rFonts w:hint="default"/>
                      <w:color w:val="auto"/>
                    </w:rPr>
                  </w:pPr>
                </w:p>
              </w:tc>
              <w:tc>
                <w:tcPr>
                  <w:tcW w:w="0" w:type="auto"/>
                  <w:shd w:val="clear" w:color="auto" w:fill="auto"/>
                  <w:vAlign w:val="center"/>
                </w:tcPr>
                <w:p w14:paraId="2662A126">
                  <w:pPr>
                    <w:pStyle w:val="2"/>
                    <w:jc w:val="center"/>
                    <w:rPr>
                      <w:rFonts w:hint="default"/>
                      <w:color w:val="auto"/>
                    </w:rPr>
                  </w:pPr>
                  <w:r>
                    <w:rPr>
                      <w:rFonts w:hint="default"/>
                      <w:color w:val="auto"/>
                      <w:lang w:val="en-US" w:eastAsia="zh-CN"/>
                    </w:rPr>
                    <w:t>TN</w:t>
                  </w:r>
                </w:p>
              </w:tc>
              <w:tc>
                <w:tcPr>
                  <w:tcW w:w="821" w:type="dxa"/>
                  <w:vMerge w:val="continue"/>
                  <w:shd w:val="clear" w:color="auto" w:fill="auto"/>
                  <w:vAlign w:val="center"/>
                </w:tcPr>
                <w:p w14:paraId="7D1C42BD">
                  <w:pPr>
                    <w:pStyle w:val="2"/>
                    <w:jc w:val="center"/>
                    <w:rPr>
                      <w:rFonts w:hint="default"/>
                      <w:color w:val="auto"/>
                    </w:rPr>
                  </w:pPr>
                </w:p>
              </w:tc>
              <w:tc>
                <w:tcPr>
                  <w:tcW w:w="849" w:type="dxa"/>
                  <w:vMerge w:val="continue"/>
                  <w:shd w:val="clear" w:color="auto" w:fill="auto"/>
                  <w:vAlign w:val="center"/>
                </w:tcPr>
                <w:p w14:paraId="3AFA2E2F">
                  <w:pPr>
                    <w:pStyle w:val="2"/>
                    <w:jc w:val="center"/>
                    <w:rPr>
                      <w:rFonts w:hint="default"/>
                      <w:color w:val="auto"/>
                    </w:rPr>
                  </w:pPr>
                </w:p>
              </w:tc>
              <w:tc>
                <w:tcPr>
                  <w:tcW w:w="0" w:type="auto"/>
                  <w:shd w:val="clear" w:color="auto" w:fill="auto"/>
                  <w:vAlign w:val="center"/>
                </w:tcPr>
                <w:p w14:paraId="330BF589">
                  <w:pPr>
                    <w:pStyle w:val="2"/>
                    <w:jc w:val="center"/>
                    <w:rPr>
                      <w:rFonts w:hint="default"/>
                      <w:color w:val="auto"/>
                    </w:rPr>
                  </w:pPr>
                  <w:r>
                    <w:rPr>
                      <w:rFonts w:hint="default"/>
                      <w:color w:val="auto"/>
                      <w:lang w:val="en-US" w:eastAsia="zh-CN"/>
                    </w:rPr>
                    <w:t>21.1</w:t>
                  </w:r>
                </w:p>
              </w:tc>
              <w:tc>
                <w:tcPr>
                  <w:tcW w:w="0" w:type="auto"/>
                  <w:shd w:val="clear" w:color="auto" w:fill="auto"/>
                  <w:vAlign w:val="center"/>
                </w:tcPr>
                <w:p w14:paraId="7EB1048F">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253</w:t>
                  </w:r>
                </w:p>
              </w:tc>
              <w:tc>
                <w:tcPr>
                  <w:tcW w:w="1689" w:type="dxa"/>
                  <w:vMerge w:val="continue"/>
                  <w:shd w:val="clear" w:color="auto" w:fill="auto"/>
                  <w:vAlign w:val="center"/>
                </w:tcPr>
                <w:p w14:paraId="16A5F50E">
                  <w:pPr>
                    <w:pStyle w:val="2"/>
                    <w:jc w:val="center"/>
                    <w:rPr>
                      <w:rFonts w:hint="default"/>
                      <w:color w:val="auto"/>
                    </w:rPr>
                  </w:pPr>
                </w:p>
              </w:tc>
              <w:tc>
                <w:tcPr>
                  <w:tcW w:w="900" w:type="dxa"/>
                  <w:shd w:val="clear" w:color="auto" w:fill="auto"/>
                  <w:vAlign w:val="center"/>
                </w:tcPr>
                <w:p w14:paraId="11634A81">
                  <w:pPr>
                    <w:pStyle w:val="2"/>
                    <w:jc w:val="center"/>
                    <w:rPr>
                      <w:rFonts w:hint="default"/>
                      <w:color w:val="auto"/>
                    </w:rPr>
                  </w:pPr>
                  <w:r>
                    <w:rPr>
                      <w:rFonts w:hint="default"/>
                      <w:color w:val="auto"/>
                      <w:lang w:val="en-US" w:eastAsia="zh-CN"/>
                    </w:rPr>
                    <w:t>56</w:t>
                  </w:r>
                </w:p>
              </w:tc>
              <w:tc>
                <w:tcPr>
                  <w:tcW w:w="857" w:type="dxa"/>
                  <w:vMerge w:val="continue"/>
                  <w:shd w:val="clear" w:color="auto" w:fill="auto"/>
                  <w:vAlign w:val="center"/>
                </w:tcPr>
                <w:p w14:paraId="7FDFC27E">
                  <w:pPr>
                    <w:pStyle w:val="2"/>
                    <w:jc w:val="center"/>
                    <w:rPr>
                      <w:rFonts w:hint="default"/>
                      <w:color w:val="auto"/>
                    </w:rPr>
                  </w:pPr>
                </w:p>
              </w:tc>
              <w:tc>
                <w:tcPr>
                  <w:tcW w:w="0" w:type="auto"/>
                  <w:vMerge w:val="continue"/>
                  <w:shd w:val="clear" w:color="auto" w:fill="auto"/>
                  <w:vAlign w:val="center"/>
                </w:tcPr>
                <w:p w14:paraId="2CB3F71E">
                  <w:pPr>
                    <w:pStyle w:val="2"/>
                    <w:jc w:val="center"/>
                    <w:rPr>
                      <w:rFonts w:hint="default"/>
                      <w:color w:val="auto"/>
                    </w:rPr>
                  </w:pPr>
                </w:p>
              </w:tc>
              <w:tc>
                <w:tcPr>
                  <w:tcW w:w="0" w:type="auto"/>
                  <w:shd w:val="clear" w:color="auto" w:fill="auto"/>
                  <w:vAlign w:val="center"/>
                </w:tcPr>
                <w:p w14:paraId="5405FAAC">
                  <w:pPr>
                    <w:pStyle w:val="2"/>
                    <w:jc w:val="center"/>
                    <w:rPr>
                      <w:rFonts w:hint="default"/>
                      <w:color w:val="auto"/>
                    </w:rPr>
                  </w:pPr>
                  <w:r>
                    <w:rPr>
                      <w:rFonts w:hint="default"/>
                      <w:color w:val="auto"/>
                      <w:lang w:val="en-US" w:eastAsia="zh-CN"/>
                    </w:rPr>
                    <w:t>9.284</w:t>
                  </w:r>
                </w:p>
              </w:tc>
              <w:tc>
                <w:tcPr>
                  <w:tcW w:w="0" w:type="auto"/>
                  <w:shd w:val="clear" w:color="auto" w:fill="auto"/>
                  <w:vAlign w:val="center"/>
                </w:tcPr>
                <w:p w14:paraId="6A96337C">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111</w:t>
                  </w:r>
                </w:p>
              </w:tc>
              <w:tc>
                <w:tcPr>
                  <w:tcW w:w="0" w:type="auto"/>
                  <w:vMerge w:val="continue"/>
                  <w:shd w:val="clear" w:color="auto" w:fill="auto"/>
                  <w:vAlign w:val="center"/>
                </w:tcPr>
                <w:p w14:paraId="6C3960A3">
                  <w:pPr>
                    <w:pStyle w:val="2"/>
                    <w:jc w:val="center"/>
                    <w:rPr>
                      <w:rFonts w:hint="default"/>
                      <w:color w:val="auto"/>
                    </w:rPr>
                  </w:pPr>
                </w:p>
              </w:tc>
            </w:tr>
            <w:tr w14:paraId="34D31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3" w:hRule="atLeast"/>
              </w:trPr>
              <w:tc>
                <w:tcPr>
                  <w:tcW w:w="0" w:type="auto"/>
                  <w:vMerge w:val="continue"/>
                  <w:shd w:val="clear" w:color="auto" w:fill="auto"/>
                  <w:vAlign w:val="center"/>
                </w:tcPr>
                <w:p w14:paraId="1718DBA0">
                  <w:pPr>
                    <w:pStyle w:val="2"/>
                    <w:jc w:val="center"/>
                    <w:rPr>
                      <w:rFonts w:hint="eastAsia"/>
                      <w:color w:val="auto"/>
                    </w:rPr>
                  </w:pPr>
                </w:p>
              </w:tc>
              <w:tc>
                <w:tcPr>
                  <w:tcW w:w="0" w:type="auto"/>
                  <w:vMerge w:val="continue"/>
                  <w:shd w:val="clear" w:color="auto" w:fill="auto"/>
                  <w:vAlign w:val="center"/>
                </w:tcPr>
                <w:p w14:paraId="55517CF3">
                  <w:pPr>
                    <w:pStyle w:val="2"/>
                    <w:jc w:val="center"/>
                    <w:rPr>
                      <w:rFonts w:hint="default"/>
                      <w:color w:val="auto"/>
                    </w:rPr>
                  </w:pPr>
                </w:p>
              </w:tc>
              <w:tc>
                <w:tcPr>
                  <w:tcW w:w="0" w:type="auto"/>
                  <w:shd w:val="clear" w:color="auto" w:fill="auto"/>
                  <w:vAlign w:val="center"/>
                </w:tcPr>
                <w:p w14:paraId="747FC1E1">
                  <w:pPr>
                    <w:pStyle w:val="2"/>
                    <w:jc w:val="center"/>
                    <w:rPr>
                      <w:rFonts w:hint="default"/>
                      <w:color w:val="auto"/>
                    </w:rPr>
                  </w:pPr>
                  <w:r>
                    <w:rPr>
                      <w:rFonts w:hint="default"/>
                      <w:color w:val="auto"/>
                      <w:lang w:val="en-US" w:eastAsia="zh-CN"/>
                    </w:rPr>
                    <w:t>TP</w:t>
                  </w:r>
                </w:p>
              </w:tc>
              <w:tc>
                <w:tcPr>
                  <w:tcW w:w="821" w:type="dxa"/>
                  <w:vMerge w:val="continue"/>
                  <w:shd w:val="clear" w:color="auto" w:fill="auto"/>
                  <w:vAlign w:val="center"/>
                </w:tcPr>
                <w:p w14:paraId="51E37A14">
                  <w:pPr>
                    <w:pStyle w:val="2"/>
                    <w:jc w:val="center"/>
                    <w:rPr>
                      <w:rFonts w:hint="default"/>
                      <w:color w:val="auto"/>
                    </w:rPr>
                  </w:pPr>
                </w:p>
              </w:tc>
              <w:tc>
                <w:tcPr>
                  <w:tcW w:w="849" w:type="dxa"/>
                  <w:vMerge w:val="continue"/>
                  <w:shd w:val="clear" w:color="auto" w:fill="auto"/>
                  <w:vAlign w:val="center"/>
                </w:tcPr>
                <w:p w14:paraId="569E07E6">
                  <w:pPr>
                    <w:pStyle w:val="2"/>
                    <w:jc w:val="center"/>
                    <w:rPr>
                      <w:rFonts w:hint="default"/>
                      <w:color w:val="auto"/>
                    </w:rPr>
                  </w:pPr>
                </w:p>
              </w:tc>
              <w:tc>
                <w:tcPr>
                  <w:tcW w:w="0" w:type="auto"/>
                  <w:shd w:val="clear" w:color="auto" w:fill="auto"/>
                  <w:vAlign w:val="center"/>
                </w:tcPr>
                <w:p w14:paraId="0B0EBDD5">
                  <w:pPr>
                    <w:pStyle w:val="2"/>
                    <w:jc w:val="center"/>
                    <w:rPr>
                      <w:rFonts w:hint="default"/>
                      <w:color w:val="auto"/>
                    </w:rPr>
                  </w:pPr>
                  <w:r>
                    <w:rPr>
                      <w:rFonts w:hint="default"/>
                      <w:color w:val="auto"/>
                      <w:lang w:val="en-US" w:eastAsia="zh-CN"/>
                    </w:rPr>
                    <w:t>5.7</w:t>
                  </w:r>
                </w:p>
              </w:tc>
              <w:tc>
                <w:tcPr>
                  <w:tcW w:w="0" w:type="auto"/>
                  <w:shd w:val="clear" w:color="auto" w:fill="auto"/>
                  <w:vAlign w:val="center"/>
                </w:tcPr>
                <w:p w14:paraId="6805BE70">
                  <w:pPr>
                    <w:pStyle w:val="2"/>
                    <w:jc w:val="center"/>
                    <w:rPr>
                      <w:rFonts w:hint="default"/>
                      <w:color w:val="auto"/>
                    </w:rPr>
                  </w:pPr>
                  <w:r>
                    <w:rPr>
                      <w:rFonts w:hint="default"/>
                      <w:color w:val="auto"/>
                      <w:lang w:val="en-US" w:eastAsia="zh-CN"/>
                    </w:rPr>
                    <w:t>0.00</w:t>
                  </w:r>
                  <w:r>
                    <w:rPr>
                      <w:rFonts w:hint="eastAsia"/>
                      <w:color w:val="auto"/>
                      <w:lang w:val="en-US" w:eastAsia="zh-CN"/>
                    </w:rPr>
                    <w:t>0</w:t>
                  </w:r>
                  <w:r>
                    <w:rPr>
                      <w:rFonts w:hint="default"/>
                      <w:color w:val="auto"/>
                      <w:lang w:val="en-US" w:eastAsia="zh-CN"/>
                    </w:rPr>
                    <w:t>68</w:t>
                  </w:r>
                </w:p>
              </w:tc>
              <w:tc>
                <w:tcPr>
                  <w:tcW w:w="1689" w:type="dxa"/>
                  <w:vMerge w:val="continue"/>
                  <w:shd w:val="clear" w:color="auto" w:fill="auto"/>
                  <w:vAlign w:val="center"/>
                </w:tcPr>
                <w:p w14:paraId="4ED2348D">
                  <w:pPr>
                    <w:pStyle w:val="2"/>
                    <w:jc w:val="center"/>
                    <w:rPr>
                      <w:rFonts w:hint="default"/>
                      <w:color w:val="auto"/>
                    </w:rPr>
                  </w:pPr>
                </w:p>
              </w:tc>
              <w:tc>
                <w:tcPr>
                  <w:tcW w:w="900" w:type="dxa"/>
                  <w:shd w:val="clear" w:color="auto" w:fill="auto"/>
                  <w:vAlign w:val="center"/>
                </w:tcPr>
                <w:p w14:paraId="0E115484">
                  <w:pPr>
                    <w:pStyle w:val="2"/>
                    <w:jc w:val="center"/>
                    <w:rPr>
                      <w:rFonts w:hint="default"/>
                      <w:color w:val="auto"/>
                    </w:rPr>
                  </w:pPr>
                  <w:r>
                    <w:rPr>
                      <w:rFonts w:hint="default"/>
                      <w:color w:val="auto"/>
                      <w:lang w:val="en-US" w:eastAsia="zh-CN"/>
                    </w:rPr>
                    <w:t>57</w:t>
                  </w:r>
                </w:p>
              </w:tc>
              <w:tc>
                <w:tcPr>
                  <w:tcW w:w="857" w:type="dxa"/>
                  <w:vMerge w:val="continue"/>
                  <w:shd w:val="clear" w:color="auto" w:fill="auto"/>
                  <w:vAlign w:val="center"/>
                </w:tcPr>
                <w:p w14:paraId="5FFC64E6">
                  <w:pPr>
                    <w:pStyle w:val="2"/>
                    <w:jc w:val="center"/>
                    <w:rPr>
                      <w:rFonts w:hint="default"/>
                      <w:color w:val="auto"/>
                    </w:rPr>
                  </w:pPr>
                </w:p>
              </w:tc>
              <w:tc>
                <w:tcPr>
                  <w:tcW w:w="0" w:type="auto"/>
                  <w:vMerge w:val="continue"/>
                  <w:shd w:val="clear" w:color="auto" w:fill="auto"/>
                  <w:vAlign w:val="center"/>
                </w:tcPr>
                <w:p w14:paraId="010DCD3D">
                  <w:pPr>
                    <w:pStyle w:val="2"/>
                    <w:jc w:val="center"/>
                    <w:rPr>
                      <w:rFonts w:hint="default"/>
                      <w:color w:val="auto"/>
                    </w:rPr>
                  </w:pPr>
                </w:p>
              </w:tc>
              <w:tc>
                <w:tcPr>
                  <w:tcW w:w="0" w:type="auto"/>
                  <w:shd w:val="clear" w:color="auto" w:fill="auto"/>
                  <w:vAlign w:val="center"/>
                </w:tcPr>
                <w:p w14:paraId="343E12B2">
                  <w:pPr>
                    <w:pStyle w:val="2"/>
                    <w:jc w:val="center"/>
                    <w:rPr>
                      <w:rFonts w:hint="default"/>
                      <w:color w:val="auto"/>
                    </w:rPr>
                  </w:pPr>
                  <w:r>
                    <w:rPr>
                      <w:rFonts w:hint="default"/>
                      <w:color w:val="auto"/>
                      <w:lang w:val="en-US" w:eastAsia="zh-CN"/>
                    </w:rPr>
                    <w:t>2.451</w:t>
                  </w:r>
                </w:p>
              </w:tc>
              <w:tc>
                <w:tcPr>
                  <w:tcW w:w="0" w:type="auto"/>
                  <w:shd w:val="clear" w:color="auto" w:fill="auto"/>
                  <w:vAlign w:val="center"/>
                </w:tcPr>
                <w:p w14:paraId="58D5B6A7">
                  <w:pPr>
                    <w:pStyle w:val="2"/>
                    <w:jc w:val="center"/>
                    <w:rPr>
                      <w:rFonts w:hint="default"/>
                      <w:color w:val="auto"/>
                    </w:rPr>
                  </w:pPr>
                  <w:r>
                    <w:rPr>
                      <w:rFonts w:hint="default"/>
                      <w:color w:val="auto"/>
                      <w:lang w:val="en-US" w:eastAsia="zh-CN"/>
                    </w:rPr>
                    <w:t>0.00</w:t>
                  </w:r>
                  <w:r>
                    <w:rPr>
                      <w:rFonts w:hint="eastAsia"/>
                      <w:color w:val="auto"/>
                      <w:lang w:val="en-US" w:eastAsia="zh-CN"/>
                    </w:rPr>
                    <w:t>0</w:t>
                  </w:r>
                  <w:r>
                    <w:rPr>
                      <w:rFonts w:hint="default"/>
                      <w:color w:val="auto"/>
                      <w:lang w:val="en-US" w:eastAsia="zh-CN"/>
                    </w:rPr>
                    <w:t>29</w:t>
                  </w:r>
                </w:p>
              </w:tc>
              <w:tc>
                <w:tcPr>
                  <w:tcW w:w="0" w:type="auto"/>
                  <w:vMerge w:val="continue"/>
                  <w:shd w:val="clear" w:color="auto" w:fill="auto"/>
                  <w:vAlign w:val="center"/>
                </w:tcPr>
                <w:p w14:paraId="29FF625F">
                  <w:pPr>
                    <w:pStyle w:val="2"/>
                    <w:jc w:val="center"/>
                    <w:rPr>
                      <w:rFonts w:hint="default"/>
                      <w:color w:val="auto"/>
                    </w:rPr>
                  </w:pPr>
                </w:p>
              </w:tc>
            </w:tr>
            <w:tr w14:paraId="36AD7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0" w:type="auto"/>
                  <w:vMerge w:val="continue"/>
                  <w:shd w:val="clear" w:color="auto" w:fill="auto"/>
                  <w:vAlign w:val="center"/>
                </w:tcPr>
                <w:p w14:paraId="23A72A97">
                  <w:pPr>
                    <w:pStyle w:val="2"/>
                    <w:jc w:val="center"/>
                    <w:rPr>
                      <w:rFonts w:hint="eastAsia"/>
                      <w:color w:val="auto"/>
                    </w:rPr>
                  </w:pPr>
                </w:p>
              </w:tc>
              <w:tc>
                <w:tcPr>
                  <w:tcW w:w="0" w:type="auto"/>
                  <w:vMerge w:val="continue"/>
                  <w:shd w:val="clear" w:color="auto" w:fill="auto"/>
                  <w:vAlign w:val="center"/>
                </w:tcPr>
                <w:p w14:paraId="0E711E79">
                  <w:pPr>
                    <w:pStyle w:val="2"/>
                    <w:jc w:val="center"/>
                    <w:rPr>
                      <w:rFonts w:hint="default"/>
                      <w:color w:val="auto"/>
                    </w:rPr>
                  </w:pPr>
                </w:p>
              </w:tc>
              <w:tc>
                <w:tcPr>
                  <w:tcW w:w="0" w:type="auto"/>
                  <w:shd w:val="clear" w:color="auto" w:fill="auto"/>
                  <w:vAlign w:val="center"/>
                </w:tcPr>
                <w:p w14:paraId="613A8DA8">
                  <w:pPr>
                    <w:pStyle w:val="2"/>
                    <w:jc w:val="center"/>
                    <w:rPr>
                      <w:rFonts w:hint="eastAsia"/>
                      <w:color w:val="auto"/>
                    </w:rPr>
                  </w:pPr>
                  <w:r>
                    <w:rPr>
                      <w:rFonts w:hint="eastAsia"/>
                      <w:color w:val="auto"/>
                      <w:lang w:val="en-US" w:eastAsia="zh-CN"/>
                    </w:rPr>
                    <w:t>石油</w:t>
                  </w:r>
                  <w:r>
                    <w:rPr>
                      <w:color w:val="auto"/>
                      <w:lang w:val="en-US" w:eastAsia="zh-CN"/>
                    </w:rPr>
                    <w:t>类</w:t>
                  </w:r>
                </w:p>
              </w:tc>
              <w:tc>
                <w:tcPr>
                  <w:tcW w:w="821" w:type="dxa"/>
                  <w:vMerge w:val="continue"/>
                  <w:shd w:val="clear" w:color="auto" w:fill="auto"/>
                  <w:vAlign w:val="center"/>
                </w:tcPr>
                <w:p w14:paraId="2A8A6D61">
                  <w:pPr>
                    <w:pStyle w:val="2"/>
                    <w:jc w:val="center"/>
                    <w:rPr>
                      <w:rFonts w:hint="default"/>
                      <w:color w:val="auto"/>
                    </w:rPr>
                  </w:pPr>
                </w:p>
              </w:tc>
              <w:tc>
                <w:tcPr>
                  <w:tcW w:w="849" w:type="dxa"/>
                  <w:vMerge w:val="continue"/>
                  <w:shd w:val="clear" w:color="auto" w:fill="auto"/>
                  <w:vAlign w:val="center"/>
                </w:tcPr>
                <w:p w14:paraId="7AD76438">
                  <w:pPr>
                    <w:pStyle w:val="2"/>
                    <w:jc w:val="center"/>
                    <w:rPr>
                      <w:rFonts w:hint="default"/>
                      <w:color w:val="auto"/>
                    </w:rPr>
                  </w:pPr>
                </w:p>
              </w:tc>
              <w:tc>
                <w:tcPr>
                  <w:tcW w:w="0" w:type="auto"/>
                  <w:shd w:val="clear" w:color="auto" w:fill="auto"/>
                  <w:vAlign w:val="center"/>
                </w:tcPr>
                <w:p w14:paraId="0E74AE06">
                  <w:pPr>
                    <w:pStyle w:val="2"/>
                    <w:jc w:val="center"/>
                    <w:rPr>
                      <w:rFonts w:hint="default"/>
                      <w:color w:val="auto"/>
                    </w:rPr>
                  </w:pPr>
                  <w:r>
                    <w:rPr>
                      <w:rFonts w:hint="default"/>
                      <w:color w:val="auto"/>
                      <w:lang w:val="en-US" w:eastAsia="zh-CN"/>
                    </w:rPr>
                    <w:t>18</w:t>
                  </w:r>
                </w:p>
              </w:tc>
              <w:tc>
                <w:tcPr>
                  <w:tcW w:w="0" w:type="auto"/>
                  <w:shd w:val="clear" w:color="auto" w:fill="auto"/>
                  <w:vAlign w:val="center"/>
                </w:tcPr>
                <w:p w14:paraId="37EC6976">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216</w:t>
                  </w:r>
                </w:p>
              </w:tc>
              <w:tc>
                <w:tcPr>
                  <w:tcW w:w="1689" w:type="dxa"/>
                  <w:vMerge w:val="continue"/>
                  <w:shd w:val="clear" w:color="auto" w:fill="auto"/>
                  <w:vAlign w:val="center"/>
                </w:tcPr>
                <w:p w14:paraId="43B0DA1E">
                  <w:pPr>
                    <w:pStyle w:val="2"/>
                    <w:jc w:val="center"/>
                    <w:rPr>
                      <w:rFonts w:hint="default"/>
                      <w:color w:val="auto"/>
                    </w:rPr>
                  </w:pPr>
                </w:p>
              </w:tc>
              <w:tc>
                <w:tcPr>
                  <w:tcW w:w="900" w:type="dxa"/>
                  <w:shd w:val="clear" w:color="auto" w:fill="auto"/>
                  <w:vAlign w:val="center"/>
                </w:tcPr>
                <w:p w14:paraId="15BC1332">
                  <w:pPr>
                    <w:pStyle w:val="2"/>
                    <w:jc w:val="center"/>
                    <w:rPr>
                      <w:rFonts w:hint="default"/>
                      <w:color w:val="auto"/>
                    </w:rPr>
                  </w:pPr>
                  <w:r>
                    <w:rPr>
                      <w:rFonts w:hint="default"/>
                      <w:color w:val="auto"/>
                      <w:lang w:val="en-US" w:eastAsia="zh-CN"/>
                    </w:rPr>
                    <w:t>50</w:t>
                  </w:r>
                </w:p>
              </w:tc>
              <w:tc>
                <w:tcPr>
                  <w:tcW w:w="857" w:type="dxa"/>
                  <w:vMerge w:val="continue"/>
                  <w:shd w:val="clear" w:color="auto" w:fill="auto"/>
                  <w:vAlign w:val="center"/>
                </w:tcPr>
                <w:p w14:paraId="60A3C4D2">
                  <w:pPr>
                    <w:pStyle w:val="2"/>
                    <w:jc w:val="center"/>
                    <w:rPr>
                      <w:rFonts w:hint="default"/>
                      <w:color w:val="auto"/>
                    </w:rPr>
                  </w:pPr>
                </w:p>
              </w:tc>
              <w:tc>
                <w:tcPr>
                  <w:tcW w:w="0" w:type="auto"/>
                  <w:vMerge w:val="continue"/>
                  <w:shd w:val="clear" w:color="auto" w:fill="auto"/>
                  <w:vAlign w:val="center"/>
                </w:tcPr>
                <w:p w14:paraId="0932072D">
                  <w:pPr>
                    <w:pStyle w:val="2"/>
                    <w:jc w:val="center"/>
                    <w:rPr>
                      <w:rFonts w:hint="default"/>
                      <w:color w:val="auto"/>
                    </w:rPr>
                  </w:pPr>
                </w:p>
              </w:tc>
              <w:tc>
                <w:tcPr>
                  <w:tcW w:w="0" w:type="auto"/>
                  <w:shd w:val="clear" w:color="auto" w:fill="auto"/>
                  <w:vAlign w:val="center"/>
                </w:tcPr>
                <w:p w14:paraId="28249AE9">
                  <w:pPr>
                    <w:pStyle w:val="2"/>
                    <w:jc w:val="center"/>
                    <w:rPr>
                      <w:rFonts w:hint="default"/>
                      <w:color w:val="auto"/>
                    </w:rPr>
                  </w:pPr>
                  <w:r>
                    <w:rPr>
                      <w:rFonts w:hint="default"/>
                      <w:color w:val="auto"/>
                      <w:lang w:val="en-US" w:eastAsia="zh-CN"/>
                    </w:rPr>
                    <w:t>9</w:t>
                  </w:r>
                </w:p>
              </w:tc>
              <w:tc>
                <w:tcPr>
                  <w:tcW w:w="0" w:type="auto"/>
                  <w:shd w:val="clear" w:color="auto" w:fill="auto"/>
                  <w:vAlign w:val="center"/>
                </w:tcPr>
                <w:p w14:paraId="73728A88">
                  <w:pPr>
                    <w:pStyle w:val="2"/>
                    <w:jc w:val="center"/>
                    <w:rPr>
                      <w:rFonts w:hint="default"/>
                      <w:color w:val="auto"/>
                    </w:rPr>
                  </w:pPr>
                  <w:r>
                    <w:rPr>
                      <w:rFonts w:hint="default"/>
                      <w:color w:val="auto"/>
                      <w:lang w:val="en-US" w:eastAsia="zh-CN"/>
                    </w:rPr>
                    <w:t>0.0</w:t>
                  </w:r>
                  <w:r>
                    <w:rPr>
                      <w:rFonts w:hint="eastAsia"/>
                      <w:color w:val="auto"/>
                      <w:lang w:val="en-US" w:eastAsia="zh-CN"/>
                    </w:rPr>
                    <w:t>0</w:t>
                  </w:r>
                  <w:r>
                    <w:rPr>
                      <w:rFonts w:hint="default"/>
                      <w:color w:val="auto"/>
                      <w:lang w:val="en-US" w:eastAsia="zh-CN"/>
                    </w:rPr>
                    <w:t>18</w:t>
                  </w:r>
                </w:p>
              </w:tc>
              <w:tc>
                <w:tcPr>
                  <w:tcW w:w="0" w:type="auto"/>
                  <w:vMerge w:val="continue"/>
                  <w:shd w:val="clear" w:color="auto" w:fill="auto"/>
                  <w:vAlign w:val="center"/>
                </w:tcPr>
                <w:p w14:paraId="2828EFF6">
                  <w:pPr>
                    <w:pStyle w:val="2"/>
                    <w:jc w:val="center"/>
                    <w:rPr>
                      <w:rFonts w:hint="default"/>
                      <w:color w:val="auto"/>
                    </w:rPr>
                  </w:pPr>
                </w:p>
              </w:tc>
            </w:tr>
            <w:tr w14:paraId="639B0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shd w:val="clear" w:color="auto" w:fill="auto"/>
                  <w:vAlign w:val="center"/>
                </w:tcPr>
                <w:p w14:paraId="7756EAA4">
                  <w:pPr>
                    <w:pStyle w:val="2"/>
                    <w:jc w:val="center"/>
                    <w:rPr>
                      <w:rFonts w:hint="eastAsia"/>
                      <w:color w:val="auto"/>
                    </w:rPr>
                  </w:pPr>
                </w:p>
              </w:tc>
              <w:tc>
                <w:tcPr>
                  <w:tcW w:w="0" w:type="auto"/>
                  <w:vMerge w:val="continue"/>
                  <w:shd w:val="clear" w:color="auto" w:fill="auto"/>
                  <w:vAlign w:val="center"/>
                </w:tcPr>
                <w:p w14:paraId="7266B6FF">
                  <w:pPr>
                    <w:pStyle w:val="2"/>
                    <w:jc w:val="center"/>
                    <w:rPr>
                      <w:rFonts w:hint="default"/>
                      <w:color w:val="auto"/>
                    </w:rPr>
                  </w:pPr>
                </w:p>
              </w:tc>
              <w:tc>
                <w:tcPr>
                  <w:tcW w:w="0" w:type="auto"/>
                  <w:shd w:val="clear" w:color="auto" w:fill="auto"/>
                  <w:vAlign w:val="center"/>
                </w:tcPr>
                <w:p w14:paraId="10ACD385">
                  <w:pPr>
                    <w:pStyle w:val="2"/>
                    <w:jc w:val="center"/>
                    <w:rPr>
                      <w:rFonts w:hint="eastAsia"/>
                      <w:color w:val="auto"/>
                    </w:rPr>
                  </w:pPr>
                  <w:r>
                    <w:rPr>
                      <w:rFonts w:hint="eastAsia"/>
                      <w:color w:val="auto"/>
                      <w:lang w:val="en-US" w:eastAsia="zh-CN"/>
                    </w:rPr>
                    <w:t>粪大</w:t>
                  </w:r>
                </w:p>
              </w:tc>
              <w:tc>
                <w:tcPr>
                  <w:tcW w:w="821" w:type="dxa"/>
                  <w:vMerge w:val="continue"/>
                  <w:shd w:val="clear" w:color="auto" w:fill="auto"/>
                  <w:vAlign w:val="center"/>
                </w:tcPr>
                <w:p w14:paraId="3B9B2C66">
                  <w:pPr>
                    <w:pStyle w:val="2"/>
                    <w:jc w:val="center"/>
                    <w:rPr>
                      <w:rFonts w:hint="default"/>
                      <w:color w:val="auto"/>
                    </w:rPr>
                  </w:pPr>
                </w:p>
              </w:tc>
              <w:tc>
                <w:tcPr>
                  <w:tcW w:w="849" w:type="dxa"/>
                  <w:vMerge w:val="continue"/>
                  <w:shd w:val="clear" w:color="auto" w:fill="auto"/>
                  <w:vAlign w:val="center"/>
                </w:tcPr>
                <w:p w14:paraId="63CD50B1">
                  <w:pPr>
                    <w:pStyle w:val="2"/>
                    <w:jc w:val="center"/>
                    <w:rPr>
                      <w:rFonts w:hint="default"/>
                      <w:color w:val="auto"/>
                    </w:rPr>
                  </w:pPr>
                </w:p>
              </w:tc>
              <w:tc>
                <w:tcPr>
                  <w:tcW w:w="0" w:type="auto"/>
                  <w:shd w:val="clear" w:color="auto" w:fill="auto"/>
                  <w:vAlign w:val="center"/>
                </w:tcPr>
                <w:p w14:paraId="43B47D00">
                  <w:pPr>
                    <w:pStyle w:val="2"/>
                    <w:jc w:val="center"/>
                    <w:rPr>
                      <w:rFonts w:hint="default"/>
                      <w:color w:val="auto"/>
                    </w:rPr>
                  </w:pPr>
                  <w:r>
                    <w:rPr>
                      <w:rFonts w:hint="default"/>
                      <w:color w:val="auto"/>
                      <w:lang w:val="en-US" w:eastAsia="zh-CN"/>
                    </w:rPr>
                    <w:t>2800</w:t>
                  </w:r>
                </w:p>
              </w:tc>
              <w:tc>
                <w:tcPr>
                  <w:tcW w:w="0" w:type="auto"/>
                  <w:vMerge w:val="restart"/>
                  <w:shd w:val="clear" w:color="auto" w:fill="auto"/>
                  <w:vAlign w:val="center"/>
                </w:tcPr>
                <w:p w14:paraId="7F9E0224">
                  <w:pPr>
                    <w:pStyle w:val="2"/>
                    <w:jc w:val="center"/>
                    <w:rPr>
                      <w:rFonts w:hint="default"/>
                      <w:color w:val="auto"/>
                    </w:rPr>
                  </w:pPr>
                  <w:r>
                    <w:rPr>
                      <w:rFonts w:hint="default"/>
                      <w:color w:val="auto"/>
                      <w:lang w:val="en-US" w:eastAsia="zh-CN"/>
                    </w:rPr>
                    <w:t>/</w:t>
                  </w:r>
                </w:p>
              </w:tc>
              <w:tc>
                <w:tcPr>
                  <w:tcW w:w="1689" w:type="dxa"/>
                  <w:vMerge w:val="continue"/>
                  <w:shd w:val="clear" w:color="auto" w:fill="auto"/>
                  <w:vAlign w:val="center"/>
                </w:tcPr>
                <w:p w14:paraId="2837BBF0">
                  <w:pPr>
                    <w:pStyle w:val="2"/>
                    <w:jc w:val="center"/>
                    <w:rPr>
                      <w:rFonts w:hint="default"/>
                      <w:color w:val="auto"/>
                    </w:rPr>
                  </w:pPr>
                </w:p>
              </w:tc>
              <w:tc>
                <w:tcPr>
                  <w:tcW w:w="900" w:type="dxa"/>
                  <w:vMerge w:val="restart"/>
                  <w:shd w:val="clear" w:color="auto" w:fill="auto"/>
                  <w:vAlign w:val="center"/>
                </w:tcPr>
                <w:p w14:paraId="5883204E">
                  <w:pPr>
                    <w:pStyle w:val="2"/>
                    <w:jc w:val="center"/>
                    <w:rPr>
                      <w:rFonts w:hint="default"/>
                      <w:color w:val="auto"/>
                    </w:rPr>
                  </w:pPr>
                  <w:r>
                    <w:rPr>
                      <w:rFonts w:hint="default"/>
                      <w:color w:val="auto"/>
                      <w:lang w:val="en-US" w:eastAsia="zh-CN"/>
                    </w:rPr>
                    <w:t>71</w:t>
                  </w:r>
                </w:p>
              </w:tc>
              <w:tc>
                <w:tcPr>
                  <w:tcW w:w="857" w:type="dxa"/>
                  <w:vMerge w:val="continue"/>
                  <w:shd w:val="clear" w:color="auto" w:fill="auto"/>
                  <w:vAlign w:val="center"/>
                </w:tcPr>
                <w:p w14:paraId="482E105F">
                  <w:pPr>
                    <w:pStyle w:val="2"/>
                    <w:jc w:val="center"/>
                    <w:rPr>
                      <w:rFonts w:hint="default"/>
                      <w:color w:val="auto"/>
                    </w:rPr>
                  </w:pPr>
                </w:p>
              </w:tc>
              <w:tc>
                <w:tcPr>
                  <w:tcW w:w="0" w:type="auto"/>
                  <w:vMerge w:val="continue"/>
                  <w:shd w:val="clear" w:color="auto" w:fill="auto"/>
                  <w:vAlign w:val="center"/>
                </w:tcPr>
                <w:p w14:paraId="020D3583">
                  <w:pPr>
                    <w:pStyle w:val="2"/>
                    <w:jc w:val="center"/>
                    <w:rPr>
                      <w:rFonts w:hint="default"/>
                      <w:color w:val="auto"/>
                    </w:rPr>
                  </w:pPr>
                </w:p>
              </w:tc>
              <w:tc>
                <w:tcPr>
                  <w:tcW w:w="0" w:type="auto"/>
                  <w:shd w:val="clear" w:color="auto" w:fill="auto"/>
                  <w:vAlign w:val="center"/>
                </w:tcPr>
                <w:p w14:paraId="0B71A95F">
                  <w:pPr>
                    <w:pStyle w:val="2"/>
                    <w:jc w:val="center"/>
                    <w:rPr>
                      <w:rFonts w:hint="default"/>
                      <w:color w:val="auto"/>
                    </w:rPr>
                  </w:pPr>
                  <w:r>
                    <w:rPr>
                      <w:rFonts w:hint="default"/>
                      <w:color w:val="auto"/>
                      <w:lang w:val="en-US" w:eastAsia="zh-CN"/>
                    </w:rPr>
                    <w:t>812</w:t>
                  </w:r>
                </w:p>
              </w:tc>
              <w:tc>
                <w:tcPr>
                  <w:tcW w:w="0" w:type="auto"/>
                  <w:vMerge w:val="restart"/>
                  <w:shd w:val="clear" w:color="auto" w:fill="auto"/>
                  <w:vAlign w:val="center"/>
                </w:tcPr>
                <w:p w14:paraId="0C77BFEC">
                  <w:pPr>
                    <w:pStyle w:val="2"/>
                    <w:jc w:val="center"/>
                    <w:rPr>
                      <w:rFonts w:hint="default"/>
                      <w:color w:val="auto"/>
                    </w:rPr>
                  </w:pPr>
                  <w:r>
                    <w:rPr>
                      <w:rFonts w:hint="default"/>
                      <w:color w:val="auto"/>
                      <w:lang w:val="en-US" w:eastAsia="zh-CN"/>
                    </w:rPr>
                    <w:t>/</w:t>
                  </w:r>
                </w:p>
              </w:tc>
              <w:tc>
                <w:tcPr>
                  <w:tcW w:w="0" w:type="auto"/>
                  <w:vMerge w:val="continue"/>
                  <w:shd w:val="clear" w:color="auto" w:fill="auto"/>
                  <w:vAlign w:val="center"/>
                </w:tcPr>
                <w:p w14:paraId="315F151F">
                  <w:pPr>
                    <w:pStyle w:val="2"/>
                    <w:jc w:val="center"/>
                    <w:rPr>
                      <w:rFonts w:hint="default"/>
                      <w:color w:val="auto"/>
                    </w:rPr>
                  </w:pPr>
                </w:p>
              </w:tc>
            </w:tr>
            <w:tr w14:paraId="22D2E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0" w:type="auto"/>
                  <w:vMerge w:val="continue"/>
                  <w:shd w:val="clear" w:color="auto" w:fill="auto"/>
                  <w:vAlign w:val="center"/>
                </w:tcPr>
                <w:p w14:paraId="04C1A288">
                  <w:pPr>
                    <w:pStyle w:val="2"/>
                    <w:jc w:val="center"/>
                    <w:rPr>
                      <w:rFonts w:hint="eastAsia"/>
                      <w:color w:val="auto"/>
                    </w:rPr>
                  </w:pPr>
                </w:p>
              </w:tc>
              <w:tc>
                <w:tcPr>
                  <w:tcW w:w="0" w:type="auto"/>
                  <w:vMerge w:val="continue"/>
                  <w:shd w:val="clear" w:color="auto" w:fill="auto"/>
                  <w:vAlign w:val="center"/>
                </w:tcPr>
                <w:p w14:paraId="5C02DCCC">
                  <w:pPr>
                    <w:pStyle w:val="2"/>
                    <w:jc w:val="center"/>
                    <w:rPr>
                      <w:rFonts w:hint="default"/>
                      <w:color w:val="auto"/>
                    </w:rPr>
                  </w:pPr>
                </w:p>
              </w:tc>
              <w:tc>
                <w:tcPr>
                  <w:tcW w:w="0" w:type="auto"/>
                  <w:shd w:val="clear" w:color="auto" w:fill="auto"/>
                  <w:vAlign w:val="center"/>
                </w:tcPr>
                <w:p w14:paraId="5E38E6AD">
                  <w:pPr>
                    <w:pStyle w:val="2"/>
                    <w:jc w:val="center"/>
                    <w:rPr>
                      <w:rFonts w:hint="eastAsia"/>
                      <w:color w:val="auto"/>
                    </w:rPr>
                  </w:pPr>
                  <w:r>
                    <w:rPr>
                      <w:rFonts w:hint="eastAsia"/>
                      <w:color w:val="auto"/>
                      <w:lang w:val="en-US" w:eastAsia="zh-CN"/>
                    </w:rPr>
                    <w:t>肠杆</w:t>
                  </w:r>
                </w:p>
              </w:tc>
              <w:tc>
                <w:tcPr>
                  <w:tcW w:w="821" w:type="dxa"/>
                  <w:vMerge w:val="continue"/>
                  <w:shd w:val="clear" w:color="auto" w:fill="auto"/>
                  <w:vAlign w:val="center"/>
                </w:tcPr>
                <w:p w14:paraId="3F669312">
                  <w:pPr>
                    <w:pStyle w:val="2"/>
                    <w:jc w:val="center"/>
                    <w:rPr>
                      <w:rFonts w:hint="default"/>
                      <w:color w:val="auto"/>
                    </w:rPr>
                  </w:pPr>
                </w:p>
              </w:tc>
              <w:tc>
                <w:tcPr>
                  <w:tcW w:w="849" w:type="dxa"/>
                  <w:vMerge w:val="continue"/>
                  <w:shd w:val="clear" w:color="auto" w:fill="auto"/>
                  <w:vAlign w:val="center"/>
                </w:tcPr>
                <w:p w14:paraId="12C5F889">
                  <w:pPr>
                    <w:pStyle w:val="2"/>
                    <w:jc w:val="center"/>
                    <w:rPr>
                      <w:rFonts w:hint="default"/>
                      <w:color w:val="auto"/>
                    </w:rPr>
                  </w:pPr>
                </w:p>
              </w:tc>
              <w:tc>
                <w:tcPr>
                  <w:tcW w:w="0" w:type="auto"/>
                  <w:shd w:val="clear" w:color="auto" w:fill="auto"/>
                  <w:vAlign w:val="center"/>
                </w:tcPr>
                <w:p w14:paraId="5AFEE878">
                  <w:pPr>
                    <w:pStyle w:val="2"/>
                    <w:jc w:val="center"/>
                    <w:rPr>
                      <w:rFonts w:hint="default"/>
                      <w:color w:val="auto"/>
                    </w:rPr>
                  </w:pPr>
                  <w:r>
                    <w:rPr>
                      <w:rFonts w:hint="default"/>
                      <w:color w:val="auto"/>
                      <w:lang w:val="en-US" w:eastAsia="zh-CN"/>
                    </w:rPr>
                    <w:t>MPN</w:t>
                  </w:r>
                </w:p>
              </w:tc>
              <w:tc>
                <w:tcPr>
                  <w:tcW w:w="0" w:type="auto"/>
                  <w:vMerge w:val="continue"/>
                  <w:shd w:val="clear" w:color="auto" w:fill="auto"/>
                  <w:vAlign w:val="center"/>
                </w:tcPr>
                <w:p w14:paraId="3045EB2A">
                  <w:pPr>
                    <w:pStyle w:val="2"/>
                    <w:jc w:val="center"/>
                    <w:rPr>
                      <w:rFonts w:hint="default"/>
                      <w:color w:val="auto"/>
                    </w:rPr>
                  </w:pPr>
                </w:p>
              </w:tc>
              <w:tc>
                <w:tcPr>
                  <w:tcW w:w="1689" w:type="dxa"/>
                  <w:vMerge w:val="continue"/>
                  <w:shd w:val="clear" w:color="auto" w:fill="auto"/>
                  <w:vAlign w:val="center"/>
                </w:tcPr>
                <w:p w14:paraId="4851397B">
                  <w:pPr>
                    <w:pStyle w:val="2"/>
                    <w:jc w:val="center"/>
                    <w:rPr>
                      <w:rFonts w:hint="default"/>
                      <w:color w:val="auto"/>
                    </w:rPr>
                  </w:pPr>
                </w:p>
              </w:tc>
              <w:tc>
                <w:tcPr>
                  <w:tcW w:w="900" w:type="dxa"/>
                  <w:vMerge w:val="continue"/>
                  <w:shd w:val="clear" w:color="auto" w:fill="auto"/>
                  <w:vAlign w:val="center"/>
                </w:tcPr>
                <w:p w14:paraId="34B07C12">
                  <w:pPr>
                    <w:pStyle w:val="2"/>
                    <w:jc w:val="center"/>
                    <w:rPr>
                      <w:rFonts w:hint="default"/>
                      <w:color w:val="auto"/>
                    </w:rPr>
                  </w:pPr>
                </w:p>
              </w:tc>
              <w:tc>
                <w:tcPr>
                  <w:tcW w:w="857" w:type="dxa"/>
                  <w:vMerge w:val="continue"/>
                  <w:shd w:val="clear" w:color="auto" w:fill="auto"/>
                  <w:vAlign w:val="center"/>
                </w:tcPr>
                <w:p w14:paraId="39A7D9B6">
                  <w:pPr>
                    <w:pStyle w:val="2"/>
                    <w:jc w:val="center"/>
                    <w:rPr>
                      <w:rFonts w:hint="default"/>
                      <w:color w:val="auto"/>
                    </w:rPr>
                  </w:pPr>
                </w:p>
              </w:tc>
              <w:tc>
                <w:tcPr>
                  <w:tcW w:w="0" w:type="auto"/>
                  <w:vMerge w:val="continue"/>
                  <w:shd w:val="clear" w:color="auto" w:fill="auto"/>
                  <w:vAlign w:val="center"/>
                </w:tcPr>
                <w:p w14:paraId="39543A4A">
                  <w:pPr>
                    <w:pStyle w:val="2"/>
                    <w:jc w:val="center"/>
                    <w:rPr>
                      <w:rFonts w:hint="default"/>
                      <w:color w:val="auto"/>
                    </w:rPr>
                  </w:pPr>
                </w:p>
              </w:tc>
              <w:tc>
                <w:tcPr>
                  <w:tcW w:w="0" w:type="auto"/>
                  <w:shd w:val="clear" w:color="auto" w:fill="auto"/>
                  <w:vAlign w:val="center"/>
                </w:tcPr>
                <w:p w14:paraId="31D4262F">
                  <w:pPr>
                    <w:pStyle w:val="2"/>
                    <w:jc w:val="center"/>
                    <w:rPr>
                      <w:rFonts w:hint="default"/>
                      <w:color w:val="auto"/>
                    </w:rPr>
                  </w:pPr>
                  <w:r>
                    <w:rPr>
                      <w:rFonts w:hint="default"/>
                      <w:color w:val="auto"/>
                      <w:lang w:val="en-US" w:eastAsia="zh-CN"/>
                    </w:rPr>
                    <w:t>MPN</w:t>
                  </w:r>
                </w:p>
              </w:tc>
              <w:tc>
                <w:tcPr>
                  <w:tcW w:w="0" w:type="auto"/>
                  <w:vMerge w:val="continue"/>
                  <w:shd w:val="clear" w:color="auto" w:fill="auto"/>
                  <w:vAlign w:val="center"/>
                </w:tcPr>
                <w:p w14:paraId="15C75963">
                  <w:pPr>
                    <w:pStyle w:val="2"/>
                    <w:jc w:val="center"/>
                    <w:rPr>
                      <w:rFonts w:hint="default"/>
                      <w:color w:val="auto"/>
                    </w:rPr>
                  </w:pPr>
                </w:p>
              </w:tc>
              <w:tc>
                <w:tcPr>
                  <w:tcW w:w="0" w:type="auto"/>
                  <w:vMerge w:val="continue"/>
                  <w:shd w:val="clear" w:color="auto" w:fill="auto"/>
                  <w:vAlign w:val="center"/>
                </w:tcPr>
                <w:p w14:paraId="1DBA61DA">
                  <w:pPr>
                    <w:pStyle w:val="2"/>
                    <w:jc w:val="center"/>
                    <w:rPr>
                      <w:rFonts w:hint="default"/>
                      <w:color w:val="auto"/>
                    </w:rPr>
                  </w:pPr>
                </w:p>
              </w:tc>
            </w:tr>
            <w:tr w14:paraId="376B6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0" w:type="auto"/>
                  <w:vMerge w:val="continue"/>
                  <w:shd w:val="clear" w:color="auto" w:fill="auto"/>
                  <w:vAlign w:val="center"/>
                </w:tcPr>
                <w:p w14:paraId="72CE8574">
                  <w:pPr>
                    <w:pStyle w:val="2"/>
                    <w:jc w:val="center"/>
                    <w:rPr>
                      <w:rFonts w:hint="eastAsia"/>
                      <w:color w:val="auto"/>
                    </w:rPr>
                  </w:pPr>
                </w:p>
              </w:tc>
              <w:tc>
                <w:tcPr>
                  <w:tcW w:w="0" w:type="auto"/>
                  <w:vMerge w:val="continue"/>
                  <w:shd w:val="clear" w:color="auto" w:fill="auto"/>
                  <w:vAlign w:val="center"/>
                </w:tcPr>
                <w:p w14:paraId="48EE8A32">
                  <w:pPr>
                    <w:pStyle w:val="2"/>
                    <w:jc w:val="center"/>
                    <w:rPr>
                      <w:rFonts w:hint="default"/>
                      <w:color w:val="auto"/>
                    </w:rPr>
                  </w:pPr>
                </w:p>
              </w:tc>
              <w:tc>
                <w:tcPr>
                  <w:tcW w:w="0" w:type="auto"/>
                  <w:shd w:val="clear" w:color="auto" w:fill="auto"/>
                  <w:vAlign w:val="center"/>
                </w:tcPr>
                <w:p w14:paraId="545C528B">
                  <w:pPr>
                    <w:pStyle w:val="2"/>
                    <w:jc w:val="center"/>
                    <w:rPr>
                      <w:rFonts w:hint="eastAsia"/>
                      <w:color w:val="auto"/>
                    </w:rPr>
                  </w:pPr>
                  <w:r>
                    <w:rPr>
                      <w:rFonts w:hint="eastAsia"/>
                      <w:color w:val="auto"/>
                      <w:lang w:val="en-US" w:eastAsia="zh-CN"/>
                    </w:rPr>
                    <w:t>菌数</w:t>
                  </w:r>
                </w:p>
              </w:tc>
              <w:tc>
                <w:tcPr>
                  <w:tcW w:w="821" w:type="dxa"/>
                  <w:vMerge w:val="continue"/>
                  <w:shd w:val="clear" w:color="auto" w:fill="auto"/>
                  <w:vAlign w:val="center"/>
                </w:tcPr>
                <w:p w14:paraId="7AFC0C47">
                  <w:pPr>
                    <w:pStyle w:val="2"/>
                    <w:jc w:val="center"/>
                    <w:rPr>
                      <w:rFonts w:hint="default"/>
                      <w:color w:val="auto"/>
                    </w:rPr>
                  </w:pPr>
                </w:p>
              </w:tc>
              <w:tc>
                <w:tcPr>
                  <w:tcW w:w="849" w:type="dxa"/>
                  <w:vMerge w:val="continue"/>
                  <w:shd w:val="clear" w:color="auto" w:fill="auto"/>
                  <w:vAlign w:val="center"/>
                </w:tcPr>
                <w:p w14:paraId="1850C6AF">
                  <w:pPr>
                    <w:pStyle w:val="2"/>
                    <w:jc w:val="center"/>
                    <w:rPr>
                      <w:rFonts w:hint="default"/>
                      <w:color w:val="auto"/>
                    </w:rPr>
                  </w:pPr>
                </w:p>
              </w:tc>
              <w:tc>
                <w:tcPr>
                  <w:tcW w:w="0" w:type="auto"/>
                  <w:shd w:val="clear" w:color="auto" w:fill="auto"/>
                  <w:vAlign w:val="center"/>
                </w:tcPr>
                <w:p w14:paraId="377AE502">
                  <w:pPr>
                    <w:pStyle w:val="2"/>
                    <w:jc w:val="center"/>
                    <w:rPr>
                      <w:rFonts w:hint="default"/>
                      <w:color w:val="auto"/>
                    </w:rPr>
                  </w:pPr>
                  <w:r>
                    <w:rPr>
                      <w:rFonts w:hint="default"/>
                      <w:color w:val="auto"/>
                      <w:lang w:val="en-US" w:eastAsia="zh-CN"/>
                    </w:rPr>
                    <w:t>/L</w:t>
                  </w:r>
                </w:p>
              </w:tc>
              <w:tc>
                <w:tcPr>
                  <w:tcW w:w="0" w:type="auto"/>
                  <w:vMerge w:val="continue"/>
                  <w:shd w:val="clear" w:color="auto" w:fill="auto"/>
                  <w:vAlign w:val="center"/>
                </w:tcPr>
                <w:p w14:paraId="2F2EE9FB">
                  <w:pPr>
                    <w:pStyle w:val="2"/>
                    <w:jc w:val="center"/>
                    <w:rPr>
                      <w:rFonts w:hint="default"/>
                      <w:color w:val="auto"/>
                    </w:rPr>
                  </w:pPr>
                </w:p>
              </w:tc>
              <w:tc>
                <w:tcPr>
                  <w:tcW w:w="1689" w:type="dxa"/>
                  <w:vMerge w:val="continue"/>
                  <w:shd w:val="clear" w:color="auto" w:fill="auto"/>
                  <w:vAlign w:val="center"/>
                </w:tcPr>
                <w:p w14:paraId="76B6201C">
                  <w:pPr>
                    <w:pStyle w:val="2"/>
                    <w:jc w:val="center"/>
                    <w:rPr>
                      <w:rFonts w:hint="default"/>
                      <w:color w:val="auto"/>
                    </w:rPr>
                  </w:pPr>
                </w:p>
              </w:tc>
              <w:tc>
                <w:tcPr>
                  <w:tcW w:w="900" w:type="dxa"/>
                  <w:vMerge w:val="continue"/>
                  <w:shd w:val="clear" w:color="auto" w:fill="auto"/>
                  <w:vAlign w:val="center"/>
                </w:tcPr>
                <w:p w14:paraId="1FDBD5EE">
                  <w:pPr>
                    <w:pStyle w:val="2"/>
                    <w:jc w:val="center"/>
                    <w:rPr>
                      <w:rFonts w:hint="default"/>
                      <w:color w:val="auto"/>
                    </w:rPr>
                  </w:pPr>
                </w:p>
              </w:tc>
              <w:tc>
                <w:tcPr>
                  <w:tcW w:w="857" w:type="dxa"/>
                  <w:vMerge w:val="continue"/>
                  <w:shd w:val="clear" w:color="auto" w:fill="auto"/>
                  <w:vAlign w:val="center"/>
                </w:tcPr>
                <w:p w14:paraId="5606F0E2">
                  <w:pPr>
                    <w:pStyle w:val="2"/>
                    <w:jc w:val="center"/>
                    <w:rPr>
                      <w:rFonts w:hint="default"/>
                      <w:color w:val="auto"/>
                    </w:rPr>
                  </w:pPr>
                </w:p>
              </w:tc>
              <w:tc>
                <w:tcPr>
                  <w:tcW w:w="0" w:type="auto"/>
                  <w:vMerge w:val="continue"/>
                  <w:shd w:val="clear" w:color="auto" w:fill="auto"/>
                  <w:vAlign w:val="center"/>
                </w:tcPr>
                <w:p w14:paraId="7185B38F">
                  <w:pPr>
                    <w:pStyle w:val="2"/>
                    <w:jc w:val="center"/>
                    <w:rPr>
                      <w:rFonts w:hint="default"/>
                      <w:color w:val="auto"/>
                    </w:rPr>
                  </w:pPr>
                </w:p>
              </w:tc>
              <w:tc>
                <w:tcPr>
                  <w:tcW w:w="0" w:type="auto"/>
                  <w:shd w:val="clear" w:color="auto" w:fill="auto"/>
                  <w:vAlign w:val="center"/>
                </w:tcPr>
                <w:p w14:paraId="776C6EF8">
                  <w:pPr>
                    <w:pStyle w:val="2"/>
                    <w:jc w:val="center"/>
                    <w:rPr>
                      <w:rFonts w:hint="default"/>
                      <w:color w:val="auto"/>
                    </w:rPr>
                  </w:pPr>
                  <w:r>
                    <w:rPr>
                      <w:rFonts w:hint="default"/>
                      <w:color w:val="auto"/>
                      <w:lang w:val="en-US" w:eastAsia="zh-CN"/>
                    </w:rPr>
                    <w:t>/L</w:t>
                  </w:r>
                </w:p>
              </w:tc>
              <w:tc>
                <w:tcPr>
                  <w:tcW w:w="0" w:type="auto"/>
                  <w:vMerge w:val="continue"/>
                  <w:shd w:val="clear" w:color="auto" w:fill="auto"/>
                  <w:vAlign w:val="center"/>
                </w:tcPr>
                <w:p w14:paraId="77504173">
                  <w:pPr>
                    <w:pStyle w:val="2"/>
                    <w:jc w:val="center"/>
                    <w:rPr>
                      <w:rFonts w:hint="default"/>
                      <w:color w:val="auto"/>
                    </w:rPr>
                  </w:pPr>
                </w:p>
              </w:tc>
              <w:tc>
                <w:tcPr>
                  <w:tcW w:w="0" w:type="auto"/>
                  <w:vMerge w:val="continue"/>
                  <w:shd w:val="clear" w:color="auto" w:fill="auto"/>
                  <w:vAlign w:val="center"/>
                </w:tcPr>
                <w:p w14:paraId="612FFF1D">
                  <w:pPr>
                    <w:pStyle w:val="2"/>
                    <w:jc w:val="center"/>
                    <w:rPr>
                      <w:rFonts w:hint="default"/>
                      <w:color w:val="auto"/>
                    </w:rPr>
                  </w:pPr>
                </w:p>
              </w:tc>
            </w:tr>
            <w:tr w14:paraId="04D7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0" w:type="auto"/>
                  <w:vMerge w:val="restart"/>
                  <w:shd w:val="clear" w:color="auto" w:fill="auto"/>
                  <w:vAlign w:val="center"/>
                </w:tcPr>
                <w:p w14:paraId="48268117">
                  <w:pPr>
                    <w:pStyle w:val="2"/>
                    <w:jc w:val="center"/>
                    <w:rPr>
                      <w:rFonts w:hint="eastAsia"/>
                      <w:color w:val="auto"/>
                      <w:lang w:val="en-US" w:eastAsia="zh-CN"/>
                    </w:rPr>
                  </w:pPr>
                  <w:r>
                    <w:rPr>
                      <w:rFonts w:hint="eastAsia"/>
                      <w:color w:val="auto"/>
                      <w:lang w:val="en-US" w:eastAsia="zh-CN"/>
                    </w:rPr>
                    <w:t>地面</w:t>
                  </w:r>
                </w:p>
                <w:p w14:paraId="433B05DE">
                  <w:pPr>
                    <w:pStyle w:val="2"/>
                    <w:jc w:val="center"/>
                    <w:rPr>
                      <w:rFonts w:hint="eastAsia"/>
                      <w:color w:val="auto"/>
                    </w:rPr>
                  </w:pPr>
                  <w:r>
                    <w:rPr>
                      <w:rFonts w:hint="eastAsia"/>
                      <w:color w:val="auto"/>
                      <w:lang w:val="en-US" w:eastAsia="zh-CN"/>
                    </w:rPr>
                    <w:t>清洗</w:t>
                  </w:r>
                </w:p>
                <w:p w14:paraId="64860CD3">
                  <w:pPr>
                    <w:pStyle w:val="2"/>
                    <w:jc w:val="center"/>
                    <w:rPr>
                      <w:rFonts w:hint="eastAsia"/>
                      <w:color w:val="auto"/>
                    </w:rPr>
                  </w:pPr>
                  <w:r>
                    <w:rPr>
                      <w:rFonts w:hint="eastAsia"/>
                      <w:color w:val="auto"/>
                      <w:lang w:val="en-US" w:eastAsia="zh-CN"/>
                    </w:rPr>
                    <w:t>废水</w:t>
                  </w:r>
                </w:p>
              </w:tc>
              <w:tc>
                <w:tcPr>
                  <w:tcW w:w="0" w:type="auto"/>
                  <w:vMerge w:val="continue"/>
                  <w:shd w:val="clear" w:color="auto" w:fill="auto"/>
                  <w:vAlign w:val="center"/>
                </w:tcPr>
                <w:p w14:paraId="35A9F167">
                  <w:pPr>
                    <w:pStyle w:val="2"/>
                    <w:jc w:val="center"/>
                    <w:rPr>
                      <w:rFonts w:hint="default"/>
                      <w:color w:val="auto"/>
                    </w:rPr>
                  </w:pPr>
                </w:p>
              </w:tc>
              <w:tc>
                <w:tcPr>
                  <w:tcW w:w="0" w:type="auto"/>
                  <w:shd w:val="clear" w:color="auto" w:fill="auto"/>
                  <w:vAlign w:val="center"/>
                </w:tcPr>
                <w:p w14:paraId="3A1B6382">
                  <w:pPr>
                    <w:pStyle w:val="2"/>
                    <w:jc w:val="center"/>
                    <w:rPr>
                      <w:rFonts w:hint="default"/>
                      <w:color w:val="auto"/>
                    </w:rPr>
                  </w:pPr>
                  <w:r>
                    <w:rPr>
                      <w:rFonts w:hint="default"/>
                      <w:color w:val="auto"/>
                      <w:lang w:val="en-US" w:eastAsia="zh-CN"/>
                    </w:rPr>
                    <w:t>COD</w:t>
                  </w:r>
                </w:p>
              </w:tc>
              <w:tc>
                <w:tcPr>
                  <w:tcW w:w="821" w:type="dxa"/>
                  <w:vMerge w:val="continue"/>
                  <w:shd w:val="clear" w:color="auto" w:fill="auto"/>
                  <w:vAlign w:val="center"/>
                </w:tcPr>
                <w:p w14:paraId="11EAC8F2">
                  <w:pPr>
                    <w:pStyle w:val="2"/>
                    <w:jc w:val="center"/>
                    <w:rPr>
                      <w:rFonts w:hint="default"/>
                      <w:color w:val="auto"/>
                    </w:rPr>
                  </w:pPr>
                </w:p>
              </w:tc>
              <w:tc>
                <w:tcPr>
                  <w:tcW w:w="849" w:type="dxa"/>
                  <w:vMerge w:val="restart"/>
                  <w:shd w:val="clear" w:color="auto" w:fill="auto"/>
                  <w:vAlign w:val="center"/>
                </w:tcPr>
                <w:p w14:paraId="4D3AB275">
                  <w:pPr>
                    <w:pStyle w:val="2"/>
                    <w:jc w:val="center"/>
                    <w:rPr>
                      <w:rFonts w:hint="default"/>
                      <w:color w:val="auto"/>
                      <w:lang w:val="en-US"/>
                    </w:rPr>
                  </w:pPr>
                  <w:r>
                    <w:rPr>
                      <w:rFonts w:hint="eastAsia"/>
                      <w:color w:val="auto"/>
                      <w:lang w:val="en-US" w:eastAsia="zh-CN"/>
                    </w:rPr>
                    <w:t>0.18</w:t>
                  </w:r>
                </w:p>
              </w:tc>
              <w:tc>
                <w:tcPr>
                  <w:tcW w:w="0" w:type="auto"/>
                  <w:shd w:val="clear" w:color="auto" w:fill="auto"/>
                  <w:vAlign w:val="center"/>
                </w:tcPr>
                <w:p w14:paraId="088606FB">
                  <w:pPr>
                    <w:pStyle w:val="2"/>
                    <w:jc w:val="center"/>
                    <w:rPr>
                      <w:rFonts w:hint="default"/>
                      <w:color w:val="auto"/>
                    </w:rPr>
                  </w:pPr>
                  <w:r>
                    <w:rPr>
                      <w:rFonts w:hint="default"/>
                      <w:color w:val="auto"/>
                      <w:lang w:val="en-US" w:eastAsia="zh-CN"/>
                    </w:rPr>
                    <w:t>40</w:t>
                  </w:r>
                </w:p>
              </w:tc>
              <w:tc>
                <w:tcPr>
                  <w:tcW w:w="0" w:type="auto"/>
                  <w:shd w:val="clear" w:color="auto" w:fill="auto"/>
                  <w:vAlign w:val="center"/>
                </w:tcPr>
                <w:p w14:paraId="168956B2">
                  <w:pPr>
                    <w:pStyle w:val="2"/>
                    <w:jc w:val="center"/>
                    <w:rPr>
                      <w:rFonts w:hint="default"/>
                      <w:color w:val="auto"/>
                      <w:lang w:val="en-US"/>
                    </w:rPr>
                  </w:pPr>
                  <w:r>
                    <w:rPr>
                      <w:rFonts w:hint="eastAsia"/>
                      <w:color w:val="auto"/>
                      <w:lang w:val="en-US" w:eastAsia="zh-CN"/>
                    </w:rPr>
                    <w:t>0.0072</w:t>
                  </w:r>
                </w:p>
              </w:tc>
              <w:tc>
                <w:tcPr>
                  <w:tcW w:w="1689" w:type="dxa"/>
                  <w:vMerge w:val="continue"/>
                  <w:shd w:val="clear" w:color="auto" w:fill="auto"/>
                  <w:vAlign w:val="center"/>
                </w:tcPr>
                <w:p w14:paraId="24D619E7">
                  <w:pPr>
                    <w:pStyle w:val="2"/>
                    <w:jc w:val="center"/>
                    <w:rPr>
                      <w:rFonts w:hint="default"/>
                      <w:color w:val="auto"/>
                    </w:rPr>
                  </w:pPr>
                </w:p>
              </w:tc>
              <w:tc>
                <w:tcPr>
                  <w:tcW w:w="900" w:type="dxa"/>
                  <w:shd w:val="clear" w:color="auto" w:fill="auto"/>
                  <w:vAlign w:val="center"/>
                </w:tcPr>
                <w:p w14:paraId="33084E48">
                  <w:pPr>
                    <w:pStyle w:val="2"/>
                    <w:jc w:val="center"/>
                    <w:rPr>
                      <w:rFonts w:hint="default"/>
                      <w:color w:val="auto"/>
                    </w:rPr>
                  </w:pPr>
                  <w:r>
                    <w:rPr>
                      <w:rFonts w:hint="default"/>
                      <w:color w:val="auto"/>
                      <w:lang w:val="en-US" w:eastAsia="zh-CN"/>
                    </w:rPr>
                    <w:t>68</w:t>
                  </w:r>
                </w:p>
              </w:tc>
              <w:tc>
                <w:tcPr>
                  <w:tcW w:w="857" w:type="dxa"/>
                  <w:vMerge w:val="continue"/>
                  <w:shd w:val="clear" w:color="auto" w:fill="auto"/>
                  <w:vAlign w:val="center"/>
                </w:tcPr>
                <w:p w14:paraId="3CCD2621">
                  <w:pPr>
                    <w:pStyle w:val="2"/>
                    <w:jc w:val="center"/>
                    <w:rPr>
                      <w:rFonts w:hint="default"/>
                      <w:color w:val="auto"/>
                    </w:rPr>
                  </w:pPr>
                </w:p>
              </w:tc>
              <w:tc>
                <w:tcPr>
                  <w:tcW w:w="0" w:type="auto"/>
                  <w:vMerge w:val="restart"/>
                  <w:shd w:val="clear" w:color="auto" w:fill="auto"/>
                  <w:vAlign w:val="center"/>
                </w:tcPr>
                <w:p w14:paraId="6516B758">
                  <w:pPr>
                    <w:pStyle w:val="2"/>
                    <w:jc w:val="center"/>
                    <w:rPr>
                      <w:rFonts w:hint="default"/>
                      <w:color w:val="auto"/>
                      <w:lang w:val="en-US"/>
                    </w:rPr>
                  </w:pPr>
                  <w:r>
                    <w:rPr>
                      <w:rFonts w:hint="eastAsia"/>
                      <w:color w:val="auto"/>
                      <w:lang w:val="en-US" w:eastAsia="zh-CN"/>
                    </w:rPr>
                    <w:t>0.18</w:t>
                  </w:r>
                </w:p>
              </w:tc>
              <w:tc>
                <w:tcPr>
                  <w:tcW w:w="0" w:type="auto"/>
                  <w:shd w:val="clear" w:color="auto" w:fill="auto"/>
                  <w:vAlign w:val="center"/>
                </w:tcPr>
                <w:p w14:paraId="5B45A035">
                  <w:pPr>
                    <w:pStyle w:val="2"/>
                    <w:jc w:val="center"/>
                    <w:rPr>
                      <w:rFonts w:hint="default"/>
                      <w:color w:val="auto"/>
                    </w:rPr>
                  </w:pPr>
                  <w:r>
                    <w:rPr>
                      <w:rFonts w:hint="default"/>
                      <w:color w:val="auto"/>
                      <w:lang w:val="en-US" w:eastAsia="zh-CN"/>
                    </w:rPr>
                    <w:t>12.8</w:t>
                  </w:r>
                </w:p>
              </w:tc>
              <w:tc>
                <w:tcPr>
                  <w:tcW w:w="0" w:type="auto"/>
                  <w:shd w:val="clear" w:color="auto" w:fill="auto"/>
                  <w:vAlign w:val="center"/>
                </w:tcPr>
                <w:p w14:paraId="04A81882">
                  <w:pPr>
                    <w:pStyle w:val="2"/>
                    <w:jc w:val="center"/>
                    <w:rPr>
                      <w:rFonts w:hint="default"/>
                      <w:color w:val="auto"/>
                      <w:lang w:val="en-US"/>
                    </w:rPr>
                  </w:pPr>
                  <w:r>
                    <w:rPr>
                      <w:rFonts w:hint="eastAsia"/>
                      <w:color w:val="auto"/>
                      <w:lang w:val="en-US" w:eastAsia="zh-CN"/>
                    </w:rPr>
                    <w:t>0.0023</w:t>
                  </w:r>
                </w:p>
              </w:tc>
              <w:tc>
                <w:tcPr>
                  <w:tcW w:w="0" w:type="auto"/>
                  <w:vMerge w:val="continue"/>
                  <w:shd w:val="clear" w:color="auto" w:fill="auto"/>
                  <w:vAlign w:val="center"/>
                </w:tcPr>
                <w:p w14:paraId="329CF39F">
                  <w:pPr>
                    <w:pStyle w:val="2"/>
                    <w:jc w:val="center"/>
                    <w:rPr>
                      <w:rFonts w:hint="default"/>
                      <w:color w:val="auto"/>
                    </w:rPr>
                  </w:pPr>
                </w:p>
              </w:tc>
            </w:tr>
            <w:tr w14:paraId="476E7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8" w:hRule="atLeast"/>
              </w:trPr>
              <w:tc>
                <w:tcPr>
                  <w:tcW w:w="0" w:type="auto"/>
                  <w:vMerge w:val="continue"/>
                  <w:shd w:val="clear" w:color="auto" w:fill="auto"/>
                  <w:vAlign w:val="center"/>
                </w:tcPr>
                <w:p w14:paraId="56D1A691">
                  <w:pPr>
                    <w:pStyle w:val="2"/>
                    <w:jc w:val="center"/>
                    <w:rPr>
                      <w:rFonts w:hint="default"/>
                      <w:color w:val="auto"/>
                    </w:rPr>
                  </w:pPr>
                </w:p>
              </w:tc>
              <w:tc>
                <w:tcPr>
                  <w:tcW w:w="0" w:type="auto"/>
                  <w:vMerge w:val="continue"/>
                  <w:shd w:val="clear" w:color="auto" w:fill="auto"/>
                  <w:vAlign w:val="center"/>
                </w:tcPr>
                <w:p w14:paraId="28A55CF2">
                  <w:pPr>
                    <w:pStyle w:val="2"/>
                    <w:jc w:val="center"/>
                    <w:rPr>
                      <w:rFonts w:hint="default"/>
                      <w:color w:val="auto"/>
                    </w:rPr>
                  </w:pPr>
                </w:p>
              </w:tc>
              <w:tc>
                <w:tcPr>
                  <w:tcW w:w="0" w:type="auto"/>
                  <w:shd w:val="clear" w:color="auto" w:fill="auto"/>
                  <w:vAlign w:val="center"/>
                </w:tcPr>
                <w:p w14:paraId="0788DE08">
                  <w:pPr>
                    <w:pStyle w:val="2"/>
                    <w:jc w:val="center"/>
                    <w:rPr>
                      <w:rFonts w:hint="default"/>
                      <w:color w:val="auto"/>
                    </w:rPr>
                  </w:pPr>
                  <w:r>
                    <w:rPr>
                      <w:rFonts w:hint="default"/>
                      <w:color w:val="auto"/>
                      <w:lang w:val="en-US" w:eastAsia="zh-CN"/>
                    </w:rPr>
                    <w:t>SS</w:t>
                  </w:r>
                </w:p>
              </w:tc>
              <w:tc>
                <w:tcPr>
                  <w:tcW w:w="821" w:type="dxa"/>
                  <w:vMerge w:val="continue"/>
                  <w:shd w:val="clear" w:color="auto" w:fill="auto"/>
                  <w:vAlign w:val="center"/>
                </w:tcPr>
                <w:p w14:paraId="0744655C">
                  <w:pPr>
                    <w:pStyle w:val="2"/>
                    <w:jc w:val="center"/>
                    <w:rPr>
                      <w:rFonts w:hint="default"/>
                      <w:color w:val="auto"/>
                    </w:rPr>
                  </w:pPr>
                </w:p>
              </w:tc>
              <w:tc>
                <w:tcPr>
                  <w:tcW w:w="849" w:type="dxa"/>
                  <w:vMerge w:val="continue"/>
                  <w:shd w:val="clear" w:color="auto" w:fill="auto"/>
                  <w:vAlign w:val="center"/>
                </w:tcPr>
                <w:p w14:paraId="3D963064">
                  <w:pPr>
                    <w:pStyle w:val="2"/>
                    <w:jc w:val="center"/>
                    <w:rPr>
                      <w:rFonts w:hint="default"/>
                      <w:color w:val="auto"/>
                    </w:rPr>
                  </w:pPr>
                </w:p>
              </w:tc>
              <w:tc>
                <w:tcPr>
                  <w:tcW w:w="0" w:type="auto"/>
                  <w:shd w:val="clear" w:color="auto" w:fill="auto"/>
                  <w:vAlign w:val="center"/>
                </w:tcPr>
                <w:p w14:paraId="6821C538">
                  <w:pPr>
                    <w:pStyle w:val="2"/>
                    <w:jc w:val="center"/>
                    <w:rPr>
                      <w:rFonts w:hint="default"/>
                      <w:color w:val="auto"/>
                    </w:rPr>
                  </w:pPr>
                  <w:r>
                    <w:rPr>
                      <w:rFonts w:hint="default"/>
                      <w:color w:val="auto"/>
                      <w:lang w:val="en-US" w:eastAsia="zh-CN"/>
                    </w:rPr>
                    <w:t>200</w:t>
                  </w:r>
                </w:p>
              </w:tc>
              <w:tc>
                <w:tcPr>
                  <w:tcW w:w="0" w:type="auto"/>
                  <w:shd w:val="clear" w:color="auto" w:fill="auto"/>
                  <w:vAlign w:val="center"/>
                </w:tcPr>
                <w:p w14:paraId="02AC39FC">
                  <w:pPr>
                    <w:pStyle w:val="2"/>
                    <w:jc w:val="center"/>
                    <w:rPr>
                      <w:rFonts w:hint="default"/>
                      <w:color w:val="auto"/>
                      <w:lang w:val="en-US"/>
                    </w:rPr>
                  </w:pPr>
                  <w:r>
                    <w:rPr>
                      <w:rFonts w:hint="eastAsia"/>
                      <w:color w:val="auto"/>
                      <w:lang w:val="en-US" w:eastAsia="zh-CN"/>
                    </w:rPr>
                    <w:t>0.036</w:t>
                  </w:r>
                </w:p>
              </w:tc>
              <w:tc>
                <w:tcPr>
                  <w:tcW w:w="1689" w:type="dxa"/>
                  <w:vMerge w:val="continue"/>
                  <w:shd w:val="clear" w:color="auto" w:fill="auto"/>
                  <w:vAlign w:val="center"/>
                </w:tcPr>
                <w:p w14:paraId="04DF2747">
                  <w:pPr>
                    <w:pStyle w:val="2"/>
                    <w:jc w:val="center"/>
                    <w:rPr>
                      <w:rFonts w:hint="default"/>
                      <w:color w:val="auto"/>
                    </w:rPr>
                  </w:pPr>
                </w:p>
              </w:tc>
              <w:tc>
                <w:tcPr>
                  <w:tcW w:w="900" w:type="dxa"/>
                  <w:shd w:val="clear" w:color="auto" w:fill="auto"/>
                  <w:vAlign w:val="center"/>
                </w:tcPr>
                <w:p w14:paraId="079B9E8B">
                  <w:pPr>
                    <w:pStyle w:val="2"/>
                    <w:jc w:val="center"/>
                    <w:rPr>
                      <w:rFonts w:hint="default"/>
                      <w:color w:val="auto"/>
                    </w:rPr>
                  </w:pPr>
                  <w:r>
                    <w:rPr>
                      <w:rFonts w:hint="default"/>
                      <w:color w:val="auto"/>
                      <w:lang w:val="en-US" w:eastAsia="zh-CN"/>
                    </w:rPr>
                    <w:t>33</w:t>
                  </w:r>
                </w:p>
              </w:tc>
              <w:tc>
                <w:tcPr>
                  <w:tcW w:w="857" w:type="dxa"/>
                  <w:vMerge w:val="continue"/>
                  <w:shd w:val="clear" w:color="auto" w:fill="auto"/>
                  <w:vAlign w:val="center"/>
                </w:tcPr>
                <w:p w14:paraId="52AEDEBD">
                  <w:pPr>
                    <w:pStyle w:val="2"/>
                    <w:jc w:val="center"/>
                    <w:rPr>
                      <w:rFonts w:hint="default"/>
                      <w:color w:val="auto"/>
                    </w:rPr>
                  </w:pPr>
                </w:p>
              </w:tc>
              <w:tc>
                <w:tcPr>
                  <w:tcW w:w="0" w:type="auto"/>
                  <w:vMerge w:val="continue"/>
                  <w:shd w:val="clear" w:color="auto" w:fill="auto"/>
                  <w:vAlign w:val="center"/>
                </w:tcPr>
                <w:p w14:paraId="1EB2A432">
                  <w:pPr>
                    <w:pStyle w:val="2"/>
                    <w:jc w:val="center"/>
                    <w:rPr>
                      <w:rFonts w:hint="default"/>
                      <w:color w:val="auto"/>
                    </w:rPr>
                  </w:pPr>
                </w:p>
              </w:tc>
              <w:tc>
                <w:tcPr>
                  <w:tcW w:w="0" w:type="auto"/>
                  <w:shd w:val="clear" w:color="auto" w:fill="auto"/>
                  <w:vAlign w:val="center"/>
                </w:tcPr>
                <w:p w14:paraId="17B78F27">
                  <w:pPr>
                    <w:pStyle w:val="2"/>
                    <w:jc w:val="center"/>
                    <w:rPr>
                      <w:rFonts w:hint="default"/>
                      <w:color w:val="auto"/>
                    </w:rPr>
                  </w:pPr>
                  <w:r>
                    <w:rPr>
                      <w:rFonts w:hint="default"/>
                      <w:color w:val="auto"/>
                      <w:lang w:val="en-US" w:eastAsia="zh-CN"/>
                    </w:rPr>
                    <w:t>134</w:t>
                  </w:r>
                </w:p>
              </w:tc>
              <w:tc>
                <w:tcPr>
                  <w:tcW w:w="0" w:type="auto"/>
                  <w:shd w:val="clear" w:color="auto" w:fill="auto"/>
                  <w:vAlign w:val="center"/>
                </w:tcPr>
                <w:p w14:paraId="00F1B587">
                  <w:pPr>
                    <w:pStyle w:val="2"/>
                    <w:jc w:val="center"/>
                    <w:rPr>
                      <w:rFonts w:hint="default" w:ascii="Times New Roman" w:hAnsi="Times New Roman" w:eastAsia="宋体" w:cs="Times New Roman"/>
                      <w:i w:val="0"/>
                      <w:iCs w:val="0"/>
                      <w:color w:val="auto"/>
                      <w:sz w:val="18"/>
                      <w:szCs w:val="18"/>
                      <w:u w:val="none"/>
                      <w:lang w:val="en-US"/>
                    </w:rPr>
                  </w:pPr>
                  <w:r>
                    <w:rPr>
                      <w:rFonts w:hint="eastAsia"/>
                      <w:color w:val="auto"/>
                      <w:lang w:val="en-US" w:eastAsia="zh-CN"/>
                    </w:rPr>
                    <w:t>0.0241</w:t>
                  </w:r>
                </w:p>
              </w:tc>
              <w:tc>
                <w:tcPr>
                  <w:tcW w:w="0" w:type="auto"/>
                  <w:vMerge w:val="continue"/>
                  <w:shd w:val="clear" w:color="auto" w:fill="auto"/>
                  <w:vAlign w:val="center"/>
                </w:tcPr>
                <w:p w14:paraId="5F40FF26">
                  <w:pPr>
                    <w:pStyle w:val="2"/>
                    <w:jc w:val="center"/>
                    <w:rPr>
                      <w:rFonts w:hint="default"/>
                      <w:color w:val="auto"/>
                    </w:rPr>
                  </w:pPr>
                </w:p>
              </w:tc>
            </w:tr>
          </w:tbl>
          <w:p w14:paraId="716DAF4D">
            <w:pPr>
              <w:pStyle w:val="38"/>
              <w:jc w:val="both"/>
              <w:rPr>
                <w:rFonts w:ascii="Times New Roman" w:hAnsi="Times New Roman" w:eastAsia="宋体"/>
                <w:b/>
                <w:bCs/>
                <w:color w:val="auto"/>
              </w:rPr>
            </w:pPr>
            <w:r>
              <w:rPr>
                <w:rFonts w:ascii="Times New Roman" w:hAnsi="Times New Roman" w:eastAsia="宋体"/>
                <w:b/>
                <w:bCs/>
                <w:color w:val="auto"/>
              </w:rPr>
              <w:t>注*：表中蒸汽冷凝水、制水浓水为回用水</w:t>
            </w:r>
          </w:p>
          <w:p w14:paraId="37E8C0D9">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8江川区医共体总院</w:t>
            </w:r>
            <w:r>
              <w:rPr>
                <w:rFonts w:ascii="Times New Roman" w:hAnsi="Times New Roman" w:eastAsia="宋体"/>
                <w:b/>
                <w:bCs/>
                <w:color w:val="auto"/>
              </w:rPr>
              <w:t>废水间接排放口基本情况表</w:t>
            </w:r>
          </w:p>
          <w:tbl>
            <w:tblPr>
              <w:tblStyle w:val="20"/>
              <w:tblW w:w="13366" w:type="dxa"/>
              <w:tblInd w:w="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048"/>
              <w:gridCol w:w="954"/>
              <w:gridCol w:w="3881"/>
              <w:gridCol w:w="1001"/>
              <w:gridCol w:w="977"/>
              <w:gridCol w:w="977"/>
              <w:gridCol w:w="977"/>
              <w:gridCol w:w="977"/>
              <w:gridCol w:w="1070"/>
              <w:gridCol w:w="1011"/>
            </w:tblGrid>
            <w:tr w14:paraId="5ED5B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527" w:type="dxa"/>
                  <w:vMerge w:val="restart"/>
                  <w:vAlign w:val="center"/>
                </w:tcPr>
                <w:p w14:paraId="182AE0C0">
                  <w:pPr>
                    <w:pStyle w:val="2"/>
                    <w:jc w:val="center"/>
                    <w:rPr>
                      <w:color w:val="auto"/>
                    </w:rPr>
                  </w:pPr>
                  <w:r>
                    <w:rPr>
                      <w:color w:val="auto"/>
                    </w:rPr>
                    <w:t>序号</w:t>
                  </w:r>
                </w:p>
              </w:tc>
              <w:tc>
                <w:tcPr>
                  <w:tcW w:w="1134" w:type="dxa"/>
                  <w:vMerge w:val="restart"/>
                  <w:vAlign w:val="center"/>
                </w:tcPr>
                <w:p w14:paraId="0508A04E">
                  <w:pPr>
                    <w:pStyle w:val="2"/>
                    <w:jc w:val="center"/>
                    <w:rPr>
                      <w:color w:val="auto"/>
                    </w:rPr>
                  </w:pPr>
                  <w:r>
                    <w:rPr>
                      <w:color w:val="auto"/>
                    </w:rPr>
                    <w:t>排放口编号及名称</w:t>
                  </w:r>
                </w:p>
              </w:tc>
              <w:tc>
                <w:tcPr>
                  <w:tcW w:w="1184" w:type="dxa"/>
                  <w:vMerge w:val="restart"/>
                  <w:vAlign w:val="center"/>
                </w:tcPr>
                <w:p w14:paraId="68BF9515">
                  <w:pPr>
                    <w:pStyle w:val="2"/>
                    <w:jc w:val="center"/>
                    <w:rPr>
                      <w:color w:val="auto"/>
                    </w:rPr>
                  </w:pPr>
                  <w:r>
                    <w:rPr>
                      <w:color w:val="auto"/>
                    </w:rPr>
                    <w:t>排放口类型</w:t>
                  </w:r>
                </w:p>
              </w:tc>
              <w:tc>
                <w:tcPr>
                  <w:tcW w:w="2060" w:type="dxa"/>
                  <w:vAlign w:val="center"/>
                </w:tcPr>
                <w:p w14:paraId="4F020008">
                  <w:pPr>
                    <w:pStyle w:val="2"/>
                    <w:jc w:val="center"/>
                    <w:rPr>
                      <w:color w:val="auto"/>
                    </w:rPr>
                  </w:pPr>
                  <w:r>
                    <w:rPr>
                      <w:color w:val="auto"/>
                    </w:rPr>
                    <w:t>排放口地理坐标</w:t>
                  </w:r>
                </w:p>
              </w:tc>
              <w:tc>
                <w:tcPr>
                  <w:tcW w:w="1165" w:type="dxa"/>
                  <w:vMerge w:val="restart"/>
                  <w:vAlign w:val="center"/>
                </w:tcPr>
                <w:p w14:paraId="4EBF6556">
                  <w:pPr>
                    <w:pStyle w:val="2"/>
                    <w:jc w:val="center"/>
                    <w:rPr>
                      <w:color w:val="auto"/>
                    </w:rPr>
                  </w:pPr>
                  <w:r>
                    <w:rPr>
                      <w:color w:val="auto"/>
                    </w:rPr>
                    <w:t>废水排放量（万t/a）</w:t>
                  </w:r>
                </w:p>
              </w:tc>
              <w:tc>
                <w:tcPr>
                  <w:tcW w:w="1216" w:type="dxa"/>
                  <w:vMerge w:val="restart"/>
                  <w:vAlign w:val="center"/>
                </w:tcPr>
                <w:p w14:paraId="3197558D">
                  <w:pPr>
                    <w:pStyle w:val="2"/>
                    <w:jc w:val="center"/>
                    <w:rPr>
                      <w:color w:val="auto"/>
                    </w:rPr>
                  </w:pPr>
                  <w:r>
                    <w:rPr>
                      <w:color w:val="auto"/>
                    </w:rPr>
                    <w:t>排放去向</w:t>
                  </w:r>
                </w:p>
              </w:tc>
              <w:tc>
                <w:tcPr>
                  <w:tcW w:w="1216" w:type="dxa"/>
                  <w:vMerge w:val="restart"/>
                  <w:vAlign w:val="center"/>
                </w:tcPr>
                <w:p w14:paraId="5A0DF68B">
                  <w:pPr>
                    <w:pStyle w:val="2"/>
                    <w:jc w:val="center"/>
                    <w:rPr>
                      <w:color w:val="auto"/>
                    </w:rPr>
                  </w:pPr>
                  <w:r>
                    <w:rPr>
                      <w:color w:val="auto"/>
                    </w:rPr>
                    <w:t>排放规律</w:t>
                  </w:r>
                </w:p>
              </w:tc>
              <w:tc>
                <w:tcPr>
                  <w:tcW w:w="1216" w:type="dxa"/>
                  <w:vMerge w:val="restart"/>
                  <w:vAlign w:val="center"/>
                </w:tcPr>
                <w:p w14:paraId="7E501A68">
                  <w:pPr>
                    <w:pStyle w:val="2"/>
                    <w:jc w:val="center"/>
                    <w:rPr>
                      <w:color w:val="auto"/>
                    </w:rPr>
                  </w:pPr>
                  <w:r>
                    <w:rPr>
                      <w:color w:val="auto"/>
                    </w:rPr>
                    <w:t>间歇排放时段</w:t>
                  </w:r>
                </w:p>
              </w:tc>
              <w:tc>
                <w:tcPr>
                  <w:tcW w:w="1216" w:type="dxa"/>
                  <w:vMerge w:val="restart"/>
                  <w:vAlign w:val="center"/>
                </w:tcPr>
                <w:p w14:paraId="67E68E82">
                  <w:pPr>
                    <w:pStyle w:val="2"/>
                    <w:jc w:val="center"/>
                    <w:rPr>
                      <w:color w:val="auto"/>
                    </w:rPr>
                  </w:pPr>
                  <w:r>
                    <w:rPr>
                      <w:color w:val="auto"/>
                    </w:rPr>
                    <w:t>名称</w:t>
                  </w:r>
                </w:p>
              </w:tc>
              <w:tc>
                <w:tcPr>
                  <w:tcW w:w="1216" w:type="dxa"/>
                  <w:vMerge w:val="restart"/>
                  <w:vAlign w:val="center"/>
                </w:tcPr>
                <w:p w14:paraId="2EB7C26A">
                  <w:pPr>
                    <w:pStyle w:val="2"/>
                    <w:jc w:val="center"/>
                    <w:rPr>
                      <w:color w:val="auto"/>
                    </w:rPr>
                  </w:pPr>
                  <w:r>
                    <w:rPr>
                      <w:color w:val="auto"/>
                    </w:rPr>
                    <w:t>污染物种类</w:t>
                  </w:r>
                </w:p>
              </w:tc>
              <w:tc>
                <w:tcPr>
                  <w:tcW w:w="1216" w:type="dxa"/>
                  <w:vMerge w:val="restart"/>
                  <w:vAlign w:val="center"/>
                </w:tcPr>
                <w:p w14:paraId="78AC623B">
                  <w:pPr>
                    <w:pStyle w:val="2"/>
                    <w:jc w:val="center"/>
                    <w:rPr>
                      <w:color w:val="auto"/>
                    </w:rPr>
                  </w:pPr>
                  <w:r>
                    <w:rPr>
                      <w:color w:val="auto"/>
                    </w:rPr>
                    <w:t>污染物排放限值</w:t>
                  </w:r>
                </w:p>
              </w:tc>
            </w:tr>
            <w:tr w14:paraId="5CB2A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27" w:type="dxa"/>
                  <w:vMerge w:val="continue"/>
                  <w:vAlign w:val="center"/>
                </w:tcPr>
                <w:p w14:paraId="5A117DEE">
                  <w:pPr>
                    <w:pStyle w:val="2"/>
                    <w:jc w:val="center"/>
                    <w:rPr>
                      <w:color w:val="auto"/>
                    </w:rPr>
                  </w:pPr>
                </w:p>
              </w:tc>
              <w:tc>
                <w:tcPr>
                  <w:tcW w:w="1134" w:type="dxa"/>
                  <w:vMerge w:val="continue"/>
                  <w:vAlign w:val="center"/>
                </w:tcPr>
                <w:p w14:paraId="0FD8190F">
                  <w:pPr>
                    <w:pStyle w:val="2"/>
                    <w:jc w:val="center"/>
                    <w:rPr>
                      <w:color w:val="auto"/>
                    </w:rPr>
                  </w:pPr>
                </w:p>
              </w:tc>
              <w:tc>
                <w:tcPr>
                  <w:tcW w:w="1184" w:type="dxa"/>
                  <w:vMerge w:val="continue"/>
                  <w:vAlign w:val="center"/>
                </w:tcPr>
                <w:p w14:paraId="5B350DF4">
                  <w:pPr>
                    <w:pStyle w:val="2"/>
                    <w:jc w:val="center"/>
                    <w:rPr>
                      <w:color w:val="auto"/>
                    </w:rPr>
                  </w:pPr>
                </w:p>
              </w:tc>
              <w:tc>
                <w:tcPr>
                  <w:tcW w:w="2060" w:type="dxa"/>
                  <w:vAlign w:val="center"/>
                </w:tcPr>
                <w:p w14:paraId="290CCD90">
                  <w:pPr>
                    <w:pStyle w:val="2"/>
                    <w:jc w:val="center"/>
                    <w:rPr>
                      <w:color w:val="auto"/>
                    </w:rPr>
                  </w:pPr>
                  <w:r>
                    <w:rPr>
                      <w:color w:val="auto"/>
                    </w:rPr>
                    <w:t>经纬度</w:t>
                  </w:r>
                </w:p>
              </w:tc>
              <w:tc>
                <w:tcPr>
                  <w:tcW w:w="1165" w:type="dxa"/>
                  <w:vMerge w:val="continue"/>
                  <w:vAlign w:val="center"/>
                </w:tcPr>
                <w:p w14:paraId="62085870">
                  <w:pPr>
                    <w:pStyle w:val="2"/>
                    <w:jc w:val="center"/>
                    <w:rPr>
                      <w:color w:val="auto"/>
                    </w:rPr>
                  </w:pPr>
                </w:p>
              </w:tc>
              <w:tc>
                <w:tcPr>
                  <w:tcW w:w="1216" w:type="dxa"/>
                  <w:vMerge w:val="continue"/>
                  <w:vAlign w:val="center"/>
                </w:tcPr>
                <w:p w14:paraId="6CCC0124">
                  <w:pPr>
                    <w:pStyle w:val="2"/>
                    <w:jc w:val="center"/>
                    <w:rPr>
                      <w:color w:val="auto"/>
                    </w:rPr>
                  </w:pPr>
                </w:p>
              </w:tc>
              <w:tc>
                <w:tcPr>
                  <w:tcW w:w="1216" w:type="dxa"/>
                  <w:vMerge w:val="continue"/>
                  <w:vAlign w:val="center"/>
                </w:tcPr>
                <w:p w14:paraId="52D6EB15">
                  <w:pPr>
                    <w:pStyle w:val="2"/>
                    <w:jc w:val="center"/>
                    <w:rPr>
                      <w:color w:val="auto"/>
                    </w:rPr>
                  </w:pPr>
                </w:p>
              </w:tc>
              <w:tc>
                <w:tcPr>
                  <w:tcW w:w="1216" w:type="dxa"/>
                  <w:vMerge w:val="continue"/>
                  <w:vAlign w:val="center"/>
                </w:tcPr>
                <w:p w14:paraId="2B7E37C4">
                  <w:pPr>
                    <w:pStyle w:val="2"/>
                    <w:jc w:val="center"/>
                    <w:rPr>
                      <w:color w:val="auto"/>
                    </w:rPr>
                  </w:pPr>
                </w:p>
              </w:tc>
              <w:tc>
                <w:tcPr>
                  <w:tcW w:w="1216" w:type="dxa"/>
                  <w:vMerge w:val="continue"/>
                  <w:vAlign w:val="center"/>
                </w:tcPr>
                <w:p w14:paraId="10F74036">
                  <w:pPr>
                    <w:pStyle w:val="2"/>
                    <w:jc w:val="center"/>
                    <w:rPr>
                      <w:color w:val="auto"/>
                    </w:rPr>
                  </w:pPr>
                </w:p>
              </w:tc>
              <w:tc>
                <w:tcPr>
                  <w:tcW w:w="1216" w:type="dxa"/>
                  <w:vMerge w:val="continue"/>
                  <w:vAlign w:val="center"/>
                </w:tcPr>
                <w:p w14:paraId="1B685C2C">
                  <w:pPr>
                    <w:pStyle w:val="2"/>
                    <w:jc w:val="center"/>
                    <w:rPr>
                      <w:color w:val="auto"/>
                    </w:rPr>
                  </w:pPr>
                </w:p>
              </w:tc>
              <w:tc>
                <w:tcPr>
                  <w:tcW w:w="1216" w:type="dxa"/>
                  <w:vMerge w:val="continue"/>
                  <w:vAlign w:val="center"/>
                </w:tcPr>
                <w:p w14:paraId="1C86F310">
                  <w:pPr>
                    <w:pStyle w:val="2"/>
                    <w:jc w:val="center"/>
                    <w:rPr>
                      <w:color w:val="auto"/>
                    </w:rPr>
                  </w:pPr>
                </w:p>
              </w:tc>
            </w:tr>
            <w:tr w14:paraId="0FDFA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restart"/>
                  <w:vAlign w:val="center"/>
                </w:tcPr>
                <w:p w14:paraId="6E06B48A">
                  <w:pPr>
                    <w:pStyle w:val="2"/>
                    <w:jc w:val="center"/>
                    <w:rPr>
                      <w:color w:val="auto"/>
                    </w:rPr>
                  </w:pPr>
                  <w:r>
                    <w:rPr>
                      <w:color w:val="auto"/>
                    </w:rPr>
                    <w:t>1</w:t>
                  </w:r>
                </w:p>
              </w:tc>
              <w:tc>
                <w:tcPr>
                  <w:tcW w:w="1134" w:type="dxa"/>
                  <w:vMerge w:val="restart"/>
                  <w:vAlign w:val="center"/>
                </w:tcPr>
                <w:p w14:paraId="220A98D4">
                  <w:pPr>
                    <w:pStyle w:val="2"/>
                    <w:jc w:val="center"/>
                    <w:rPr>
                      <w:color w:val="auto"/>
                    </w:rPr>
                  </w:pPr>
                  <w:r>
                    <w:rPr>
                      <w:rFonts w:hint="eastAsia"/>
                      <w:color w:val="auto"/>
                      <w:lang w:val="en-US" w:eastAsia="zh-CN"/>
                    </w:rPr>
                    <w:t>江川区医共体总院</w:t>
                  </w:r>
                  <w:r>
                    <w:rPr>
                      <w:color w:val="auto"/>
                    </w:rPr>
                    <w:t>DW001综合污水排放口</w:t>
                  </w:r>
                </w:p>
              </w:tc>
              <w:tc>
                <w:tcPr>
                  <w:tcW w:w="1184" w:type="dxa"/>
                  <w:vMerge w:val="restart"/>
                  <w:vAlign w:val="center"/>
                </w:tcPr>
                <w:p w14:paraId="3B9ABAA6">
                  <w:pPr>
                    <w:pStyle w:val="2"/>
                    <w:jc w:val="center"/>
                    <w:rPr>
                      <w:color w:val="auto"/>
                    </w:rPr>
                  </w:pPr>
                  <w:r>
                    <w:rPr>
                      <w:color w:val="auto"/>
                    </w:rPr>
                    <w:t>一般排放口</w:t>
                  </w:r>
                </w:p>
              </w:tc>
              <w:tc>
                <w:tcPr>
                  <w:tcW w:w="2060" w:type="dxa"/>
                  <w:vMerge w:val="restart"/>
                  <w:vAlign w:val="center"/>
                </w:tcPr>
                <w:p w14:paraId="360AEB18">
                  <w:pPr>
                    <w:pStyle w:val="2"/>
                    <w:jc w:val="center"/>
                    <w:rPr>
                      <w:color w:val="auto"/>
                    </w:rPr>
                  </w:pPr>
                  <w:r>
                    <w:rPr>
                      <w:rFonts w:hint="default" w:ascii="Times New Roman" w:hAnsi="Times New Roman" w:cs="Times New Roman"/>
                      <w:color w:val="auto"/>
                      <w:lang w:val="en-US" w:eastAsia="zh-CN"/>
                    </w:rPr>
                    <w:t>102°45′28.01649″,24°17′57.53945″,1727.552</w:t>
                  </w:r>
                </w:p>
              </w:tc>
              <w:tc>
                <w:tcPr>
                  <w:tcW w:w="1165" w:type="dxa"/>
                  <w:vMerge w:val="restart"/>
                  <w:vAlign w:val="center"/>
                </w:tcPr>
                <w:p w14:paraId="5CA393F7">
                  <w:pPr>
                    <w:pStyle w:val="2"/>
                    <w:jc w:val="center"/>
                    <w:rPr>
                      <w:rFonts w:hint="default" w:eastAsia="宋体"/>
                      <w:color w:val="auto"/>
                      <w:lang w:val="en-US" w:eastAsia="zh-CN"/>
                    </w:rPr>
                  </w:pPr>
                  <w:r>
                    <w:rPr>
                      <w:rFonts w:hint="eastAsia"/>
                      <w:color w:val="auto"/>
                      <w:lang w:val="en-US" w:eastAsia="zh-CN"/>
                    </w:rPr>
                    <w:t>0.5</w:t>
                  </w:r>
                </w:p>
              </w:tc>
              <w:tc>
                <w:tcPr>
                  <w:tcW w:w="1216" w:type="dxa"/>
                  <w:vMerge w:val="restart"/>
                  <w:vAlign w:val="center"/>
                </w:tcPr>
                <w:p w14:paraId="161B3F1F">
                  <w:pPr>
                    <w:pStyle w:val="2"/>
                    <w:jc w:val="center"/>
                    <w:rPr>
                      <w:color w:val="auto"/>
                    </w:rPr>
                  </w:pPr>
                  <w:r>
                    <w:rPr>
                      <w:color w:val="auto"/>
                    </w:rPr>
                    <w:t>市政污水处理厂</w:t>
                  </w:r>
                </w:p>
              </w:tc>
              <w:tc>
                <w:tcPr>
                  <w:tcW w:w="1216" w:type="dxa"/>
                  <w:vMerge w:val="restart"/>
                  <w:vAlign w:val="center"/>
                </w:tcPr>
                <w:p w14:paraId="2A0761A3">
                  <w:pPr>
                    <w:pStyle w:val="2"/>
                    <w:jc w:val="center"/>
                    <w:rPr>
                      <w:color w:val="auto"/>
                    </w:rPr>
                  </w:pPr>
                  <w:r>
                    <w:rPr>
                      <w:color w:val="auto"/>
                    </w:rPr>
                    <w:t>无规律</w:t>
                  </w:r>
                </w:p>
              </w:tc>
              <w:tc>
                <w:tcPr>
                  <w:tcW w:w="1216" w:type="dxa"/>
                  <w:vMerge w:val="restart"/>
                  <w:vAlign w:val="center"/>
                </w:tcPr>
                <w:p w14:paraId="5B846CF7">
                  <w:pPr>
                    <w:pStyle w:val="2"/>
                    <w:jc w:val="center"/>
                    <w:rPr>
                      <w:color w:val="auto"/>
                    </w:rPr>
                  </w:pPr>
                  <w:r>
                    <w:rPr>
                      <w:color w:val="auto"/>
                    </w:rPr>
                    <w:t>-</w:t>
                  </w:r>
                </w:p>
              </w:tc>
              <w:tc>
                <w:tcPr>
                  <w:tcW w:w="1216" w:type="dxa"/>
                  <w:vMerge w:val="restart"/>
                  <w:vAlign w:val="center"/>
                </w:tcPr>
                <w:p w14:paraId="14AC2F71">
                  <w:pPr>
                    <w:pStyle w:val="2"/>
                    <w:jc w:val="center"/>
                    <w:rPr>
                      <w:color w:val="auto"/>
                    </w:rPr>
                  </w:pPr>
                  <w:r>
                    <w:rPr>
                      <w:rFonts w:hint="eastAsia"/>
                      <w:color w:val="auto"/>
                      <w:lang w:val="en-US" w:eastAsia="zh-CN"/>
                    </w:rPr>
                    <w:t>星云湖南片区污水处理厂</w:t>
                  </w:r>
                </w:p>
              </w:tc>
              <w:tc>
                <w:tcPr>
                  <w:tcW w:w="1216" w:type="dxa"/>
                  <w:vAlign w:val="center"/>
                </w:tcPr>
                <w:p w14:paraId="4234FB70">
                  <w:pPr>
                    <w:pStyle w:val="2"/>
                    <w:jc w:val="center"/>
                    <w:rPr>
                      <w:color w:val="auto"/>
                    </w:rPr>
                  </w:pPr>
                  <w:r>
                    <w:rPr>
                      <w:color w:val="auto"/>
                      <w:sz w:val="21"/>
                      <w:szCs w:val="21"/>
                    </w:rPr>
                    <w:t>COD</w:t>
                  </w:r>
                </w:p>
              </w:tc>
              <w:tc>
                <w:tcPr>
                  <w:tcW w:w="1216" w:type="dxa"/>
                  <w:vAlign w:val="center"/>
                </w:tcPr>
                <w:p w14:paraId="4575480E">
                  <w:pPr>
                    <w:pStyle w:val="2"/>
                    <w:jc w:val="center"/>
                    <w:rPr>
                      <w:color w:val="auto"/>
                    </w:rPr>
                  </w:pPr>
                  <w:r>
                    <w:rPr>
                      <w:color w:val="auto"/>
                      <w:sz w:val="21"/>
                      <w:szCs w:val="21"/>
                    </w:rPr>
                    <w:t>250</w:t>
                  </w:r>
                </w:p>
              </w:tc>
            </w:tr>
            <w:tr w14:paraId="3A49B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248B8B2D">
                  <w:pPr>
                    <w:pStyle w:val="2"/>
                    <w:jc w:val="center"/>
                    <w:rPr>
                      <w:color w:val="auto"/>
                    </w:rPr>
                  </w:pPr>
                </w:p>
              </w:tc>
              <w:tc>
                <w:tcPr>
                  <w:tcW w:w="1134" w:type="dxa"/>
                  <w:vMerge w:val="continue"/>
                  <w:vAlign w:val="center"/>
                </w:tcPr>
                <w:p w14:paraId="057E07A5">
                  <w:pPr>
                    <w:pStyle w:val="2"/>
                    <w:jc w:val="center"/>
                    <w:rPr>
                      <w:color w:val="auto"/>
                    </w:rPr>
                  </w:pPr>
                </w:p>
              </w:tc>
              <w:tc>
                <w:tcPr>
                  <w:tcW w:w="1184" w:type="dxa"/>
                  <w:vMerge w:val="continue"/>
                  <w:vAlign w:val="center"/>
                </w:tcPr>
                <w:p w14:paraId="7A9D4793">
                  <w:pPr>
                    <w:pStyle w:val="2"/>
                    <w:jc w:val="center"/>
                    <w:rPr>
                      <w:color w:val="auto"/>
                    </w:rPr>
                  </w:pPr>
                </w:p>
              </w:tc>
              <w:tc>
                <w:tcPr>
                  <w:tcW w:w="2060" w:type="dxa"/>
                  <w:vMerge w:val="continue"/>
                  <w:vAlign w:val="center"/>
                </w:tcPr>
                <w:p w14:paraId="4CF404AB">
                  <w:pPr>
                    <w:pStyle w:val="2"/>
                    <w:jc w:val="center"/>
                    <w:rPr>
                      <w:color w:val="auto"/>
                    </w:rPr>
                  </w:pPr>
                </w:p>
              </w:tc>
              <w:tc>
                <w:tcPr>
                  <w:tcW w:w="1165" w:type="dxa"/>
                  <w:vMerge w:val="continue"/>
                  <w:vAlign w:val="center"/>
                </w:tcPr>
                <w:p w14:paraId="1558BD09">
                  <w:pPr>
                    <w:pStyle w:val="2"/>
                    <w:jc w:val="center"/>
                    <w:rPr>
                      <w:color w:val="auto"/>
                    </w:rPr>
                  </w:pPr>
                </w:p>
              </w:tc>
              <w:tc>
                <w:tcPr>
                  <w:tcW w:w="1216" w:type="dxa"/>
                  <w:vMerge w:val="continue"/>
                  <w:vAlign w:val="center"/>
                </w:tcPr>
                <w:p w14:paraId="764C9287">
                  <w:pPr>
                    <w:pStyle w:val="2"/>
                    <w:jc w:val="center"/>
                    <w:rPr>
                      <w:color w:val="auto"/>
                    </w:rPr>
                  </w:pPr>
                </w:p>
              </w:tc>
              <w:tc>
                <w:tcPr>
                  <w:tcW w:w="1216" w:type="dxa"/>
                  <w:vMerge w:val="continue"/>
                  <w:vAlign w:val="center"/>
                </w:tcPr>
                <w:p w14:paraId="0EB10C4D">
                  <w:pPr>
                    <w:pStyle w:val="2"/>
                    <w:jc w:val="center"/>
                    <w:rPr>
                      <w:color w:val="auto"/>
                    </w:rPr>
                  </w:pPr>
                </w:p>
              </w:tc>
              <w:tc>
                <w:tcPr>
                  <w:tcW w:w="1216" w:type="dxa"/>
                  <w:vMerge w:val="continue"/>
                  <w:vAlign w:val="center"/>
                </w:tcPr>
                <w:p w14:paraId="209F2A36">
                  <w:pPr>
                    <w:pStyle w:val="2"/>
                    <w:jc w:val="center"/>
                    <w:rPr>
                      <w:color w:val="auto"/>
                    </w:rPr>
                  </w:pPr>
                </w:p>
              </w:tc>
              <w:tc>
                <w:tcPr>
                  <w:tcW w:w="1216" w:type="dxa"/>
                  <w:vMerge w:val="continue"/>
                  <w:vAlign w:val="center"/>
                </w:tcPr>
                <w:p w14:paraId="7EB6A2A7">
                  <w:pPr>
                    <w:pStyle w:val="2"/>
                    <w:jc w:val="center"/>
                    <w:rPr>
                      <w:color w:val="auto"/>
                    </w:rPr>
                  </w:pPr>
                </w:p>
              </w:tc>
              <w:tc>
                <w:tcPr>
                  <w:tcW w:w="1216" w:type="dxa"/>
                  <w:vAlign w:val="center"/>
                </w:tcPr>
                <w:p w14:paraId="53CE8A44">
                  <w:pPr>
                    <w:pStyle w:val="2"/>
                    <w:jc w:val="center"/>
                    <w:rPr>
                      <w:color w:val="auto"/>
                      <w:sz w:val="21"/>
                      <w:szCs w:val="21"/>
                    </w:rPr>
                  </w:pPr>
                  <w:r>
                    <w:rPr>
                      <w:color w:val="auto"/>
                      <w:sz w:val="21"/>
                      <w:szCs w:val="21"/>
                    </w:rPr>
                    <w:t>BOD</w:t>
                  </w:r>
                  <w:r>
                    <w:rPr>
                      <w:color w:val="auto"/>
                      <w:sz w:val="21"/>
                      <w:szCs w:val="21"/>
                      <w:vertAlign w:val="subscript"/>
                    </w:rPr>
                    <w:t>5</w:t>
                  </w:r>
                </w:p>
              </w:tc>
              <w:tc>
                <w:tcPr>
                  <w:tcW w:w="1216" w:type="dxa"/>
                  <w:vAlign w:val="center"/>
                </w:tcPr>
                <w:p w14:paraId="4FD03E8A">
                  <w:pPr>
                    <w:pStyle w:val="2"/>
                    <w:jc w:val="center"/>
                    <w:rPr>
                      <w:color w:val="auto"/>
                    </w:rPr>
                  </w:pPr>
                  <w:r>
                    <w:rPr>
                      <w:color w:val="auto"/>
                      <w:sz w:val="21"/>
                      <w:szCs w:val="21"/>
                    </w:rPr>
                    <w:t>100</w:t>
                  </w:r>
                </w:p>
              </w:tc>
            </w:tr>
            <w:tr w14:paraId="2FBA2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37A8E624">
                  <w:pPr>
                    <w:pStyle w:val="2"/>
                    <w:jc w:val="center"/>
                    <w:rPr>
                      <w:color w:val="auto"/>
                    </w:rPr>
                  </w:pPr>
                </w:p>
              </w:tc>
              <w:tc>
                <w:tcPr>
                  <w:tcW w:w="1134" w:type="dxa"/>
                  <w:vMerge w:val="continue"/>
                  <w:vAlign w:val="center"/>
                </w:tcPr>
                <w:p w14:paraId="6A49ECB8">
                  <w:pPr>
                    <w:pStyle w:val="2"/>
                    <w:jc w:val="center"/>
                    <w:rPr>
                      <w:color w:val="auto"/>
                    </w:rPr>
                  </w:pPr>
                </w:p>
              </w:tc>
              <w:tc>
                <w:tcPr>
                  <w:tcW w:w="1184" w:type="dxa"/>
                  <w:vMerge w:val="continue"/>
                  <w:vAlign w:val="center"/>
                </w:tcPr>
                <w:p w14:paraId="28BAAAAF">
                  <w:pPr>
                    <w:pStyle w:val="2"/>
                    <w:jc w:val="center"/>
                    <w:rPr>
                      <w:color w:val="auto"/>
                    </w:rPr>
                  </w:pPr>
                </w:p>
              </w:tc>
              <w:tc>
                <w:tcPr>
                  <w:tcW w:w="2060" w:type="dxa"/>
                  <w:vMerge w:val="continue"/>
                  <w:vAlign w:val="center"/>
                </w:tcPr>
                <w:p w14:paraId="2D390E48">
                  <w:pPr>
                    <w:pStyle w:val="2"/>
                    <w:jc w:val="center"/>
                    <w:rPr>
                      <w:color w:val="auto"/>
                    </w:rPr>
                  </w:pPr>
                </w:p>
              </w:tc>
              <w:tc>
                <w:tcPr>
                  <w:tcW w:w="1165" w:type="dxa"/>
                  <w:vMerge w:val="continue"/>
                  <w:vAlign w:val="center"/>
                </w:tcPr>
                <w:p w14:paraId="23B2FCEE">
                  <w:pPr>
                    <w:pStyle w:val="2"/>
                    <w:jc w:val="center"/>
                    <w:rPr>
                      <w:color w:val="auto"/>
                    </w:rPr>
                  </w:pPr>
                </w:p>
              </w:tc>
              <w:tc>
                <w:tcPr>
                  <w:tcW w:w="1216" w:type="dxa"/>
                  <w:vMerge w:val="continue"/>
                  <w:vAlign w:val="center"/>
                </w:tcPr>
                <w:p w14:paraId="60450B8B">
                  <w:pPr>
                    <w:pStyle w:val="2"/>
                    <w:jc w:val="center"/>
                    <w:rPr>
                      <w:color w:val="auto"/>
                    </w:rPr>
                  </w:pPr>
                </w:p>
              </w:tc>
              <w:tc>
                <w:tcPr>
                  <w:tcW w:w="1216" w:type="dxa"/>
                  <w:vMerge w:val="continue"/>
                  <w:vAlign w:val="center"/>
                </w:tcPr>
                <w:p w14:paraId="03DBE04B">
                  <w:pPr>
                    <w:pStyle w:val="2"/>
                    <w:jc w:val="center"/>
                    <w:rPr>
                      <w:color w:val="auto"/>
                    </w:rPr>
                  </w:pPr>
                </w:p>
              </w:tc>
              <w:tc>
                <w:tcPr>
                  <w:tcW w:w="1216" w:type="dxa"/>
                  <w:vMerge w:val="continue"/>
                  <w:vAlign w:val="center"/>
                </w:tcPr>
                <w:p w14:paraId="6EBEA05C">
                  <w:pPr>
                    <w:pStyle w:val="2"/>
                    <w:jc w:val="center"/>
                    <w:rPr>
                      <w:color w:val="auto"/>
                    </w:rPr>
                  </w:pPr>
                </w:p>
              </w:tc>
              <w:tc>
                <w:tcPr>
                  <w:tcW w:w="1216" w:type="dxa"/>
                  <w:vMerge w:val="continue"/>
                  <w:vAlign w:val="center"/>
                </w:tcPr>
                <w:p w14:paraId="3D573AEA">
                  <w:pPr>
                    <w:pStyle w:val="2"/>
                    <w:jc w:val="center"/>
                    <w:rPr>
                      <w:color w:val="auto"/>
                    </w:rPr>
                  </w:pPr>
                </w:p>
              </w:tc>
              <w:tc>
                <w:tcPr>
                  <w:tcW w:w="1216" w:type="dxa"/>
                  <w:vAlign w:val="center"/>
                </w:tcPr>
                <w:p w14:paraId="4E9CA80E">
                  <w:pPr>
                    <w:pStyle w:val="2"/>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216" w:type="dxa"/>
                  <w:vAlign w:val="center"/>
                </w:tcPr>
                <w:p w14:paraId="20F28F5B">
                  <w:pPr>
                    <w:pStyle w:val="2"/>
                    <w:jc w:val="center"/>
                    <w:rPr>
                      <w:color w:val="auto"/>
                    </w:rPr>
                  </w:pPr>
                  <w:r>
                    <w:rPr>
                      <w:color w:val="auto"/>
                      <w:sz w:val="21"/>
                      <w:szCs w:val="21"/>
                    </w:rPr>
                    <w:t>-</w:t>
                  </w:r>
                </w:p>
              </w:tc>
            </w:tr>
            <w:tr w14:paraId="576A9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74841BB7">
                  <w:pPr>
                    <w:pStyle w:val="2"/>
                    <w:jc w:val="center"/>
                    <w:rPr>
                      <w:color w:val="auto"/>
                    </w:rPr>
                  </w:pPr>
                </w:p>
              </w:tc>
              <w:tc>
                <w:tcPr>
                  <w:tcW w:w="1134" w:type="dxa"/>
                  <w:vMerge w:val="continue"/>
                  <w:vAlign w:val="center"/>
                </w:tcPr>
                <w:p w14:paraId="7590959B">
                  <w:pPr>
                    <w:pStyle w:val="2"/>
                    <w:jc w:val="center"/>
                    <w:rPr>
                      <w:color w:val="auto"/>
                    </w:rPr>
                  </w:pPr>
                </w:p>
              </w:tc>
              <w:tc>
                <w:tcPr>
                  <w:tcW w:w="1184" w:type="dxa"/>
                  <w:vMerge w:val="continue"/>
                  <w:vAlign w:val="center"/>
                </w:tcPr>
                <w:p w14:paraId="02A53295">
                  <w:pPr>
                    <w:pStyle w:val="2"/>
                    <w:jc w:val="center"/>
                    <w:rPr>
                      <w:color w:val="auto"/>
                    </w:rPr>
                  </w:pPr>
                </w:p>
              </w:tc>
              <w:tc>
                <w:tcPr>
                  <w:tcW w:w="2060" w:type="dxa"/>
                  <w:vMerge w:val="continue"/>
                  <w:vAlign w:val="center"/>
                </w:tcPr>
                <w:p w14:paraId="7BFC9997">
                  <w:pPr>
                    <w:pStyle w:val="2"/>
                    <w:jc w:val="center"/>
                    <w:rPr>
                      <w:color w:val="auto"/>
                    </w:rPr>
                  </w:pPr>
                </w:p>
              </w:tc>
              <w:tc>
                <w:tcPr>
                  <w:tcW w:w="1165" w:type="dxa"/>
                  <w:vMerge w:val="continue"/>
                  <w:vAlign w:val="center"/>
                </w:tcPr>
                <w:p w14:paraId="64E41361">
                  <w:pPr>
                    <w:pStyle w:val="2"/>
                    <w:jc w:val="center"/>
                    <w:rPr>
                      <w:color w:val="auto"/>
                    </w:rPr>
                  </w:pPr>
                </w:p>
              </w:tc>
              <w:tc>
                <w:tcPr>
                  <w:tcW w:w="1216" w:type="dxa"/>
                  <w:vMerge w:val="continue"/>
                  <w:vAlign w:val="center"/>
                </w:tcPr>
                <w:p w14:paraId="3BBEB104">
                  <w:pPr>
                    <w:pStyle w:val="2"/>
                    <w:jc w:val="center"/>
                    <w:rPr>
                      <w:color w:val="auto"/>
                    </w:rPr>
                  </w:pPr>
                </w:p>
              </w:tc>
              <w:tc>
                <w:tcPr>
                  <w:tcW w:w="1216" w:type="dxa"/>
                  <w:vMerge w:val="continue"/>
                  <w:vAlign w:val="center"/>
                </w:tcPr>
                <w:p w14:paraId="33C343B2">
                  <w:pPr>
                    <w:pStyle w:val="2"/>
                    <w:jc w:val="center"/>
                    <w:rPr>
                      <w:color w:val="auto"/>
                    </w:rPr>
                  </w:pPr>
                </w:p>
              </w:tc>
              <w:tc>
                <w:tcPr>
                  <w:tcW w:w="1216" w:type="dxa"/>
                  <w:vMerge w:val="continue"/>
                  <w:vAlign w:val="center"/>
                </w:tcPr>
                <w:p w14:paraId="1B48C437">
                  <w:pPr>
                    <w:pStyle w:val="2"/>
                    <w:jc w:val="center"/>
                    <w:rPr>
                      <w:color w:val="auto"/>
                    </w:rPr>
                  </w:pPr>
                </w:p>
              </w:tc>
              <w:tc>
                <w:tcPr>
                  <w:tcW w:w="1216" w:type="dxa"/>
                  <w:vMerge w:val="continue"/>
                  <w:vAlign w:val="center"/>
                </w:tcPr>
                <w:p w14:paraId="43B096AF">
                  <w:pPr>
                    <w:pStyle w:val="2"/>
                    <w:jc w:val="center"/>
                    <w:rPr>
                      <w:color w:val="auto"/>
                    </w:rPr>
                  </w:pPr>
                </w:p>
              </w:tc>
              <w:tc>
                <w:tcPr>
                  <w:tcW w:w="1216" w:type="dxa"/>
                  <w:vAlign w:val="center"/>
                </w:tcPr>
                <w:p w14:paraId="01F0D5A9">
                  <w:pPr>
                    <w:pStyle w:val="2"/>
                    <w:jc w:val="center"/>
                    <w:rPr>
                      <w:color w:val="auto"/>
                      <w:sz w:val="21"/>
                      <w:szCs w:val="21"/>
                    </w:rPr>
                  </w:pPr>
                  <w:r>
                    <w:rPr>
                      <w:color w:val="auto"/>
                      <w:sz w:val="21"/>
                      <w:szCs w:val="21"/>
                    </w:rPr>
                    <w:t>SS</w:t>
                  </w:r>
                </w:p>
              </w:tc>
              <w:tc>
                <w:tcPr>
                  <w:tcW w:w="1216" w:type="dxa"/>
                  <w:vAlign w:val="center"/>
                </w:tcPr>
                <w:p w14:paraId="3359C7A5">
                  <w:pPr>
                    <w:pStyle w:val="2"/>
                    <w:jc w:val="center"/>
                    <w:rPr>
                      <w:color w:val="auto"/>
                    </w:rPr>
                  </w:pPr>
                  <w:r>
                    <w:rPr>
                      <w:color w:val="auto"/>
                      <w:sz w:val="21"/>
                      <w:szCs w:val="21"/>
                    </w:rPr>
                    <w:t>60</w:t>
                  </w:r>
                </w:p>
              </w:tc>
            </w:tr>
          </w:tbl>
          <w:p w14:paraId="010EB83E">
            <w:pPr>
              <w:pStyle w:val="40"/>
              <w:tabs>
                <w:tab w:val="left" w:pos="2040"/>
              </w:tabs>
              <w:spacing w:line="360" w:lineRule="auto"/>
              <w:ind w:firstLine="480"/>
              <w:jc w:val="left"/>
              <w:rPr>
                <w:rFonts w:hint="eastAsia"/>
                <w:b/>
                <w:bCs/>
                <w:color w:val="auto"/>
                <w:kern w:val="0"/>
                <w:szCs w:val="24"/>
                <w:lang w:val="en-US" w:eastAsia="zh-CN"/>
              </w:rPr>
            </w:pPr>
          </w:p>
          <w:p w14:paraId="6EBCC1A1">
            <w:pPr>
              <w:pStyle w:val="40"/>
              <w:tabs>
                <w:tab w:val="left" w:pos="2040"/>
              </w:tabs>
              <w:spacing w:line="360" w:lineRule="auto"/>
              <w:ind w:firstLine="480"/>
              <w:jc w:val="left"/>
              <w:rPr>
                <w:rFonts w:hint="default"/>
                <w:b/>
                <w:bCs/>
                <w:color w:val="auto"/>
                <w:kern w:val="0"/>
                <w:szCs w:val="24"/>
                <w:lang w:val="en-US" w:eastAsia="zh-CN"/>
              </w:rPr>
            </w:pPr>
            <w:r>
              <w:rPr>
                <w:rFonts w:hint="eastAsia"/>
                <w:b/>
                <w:bCs/>
                <w:color w:val="auto"/>
                <w:kern w:val="0"/>
                <w:szCs w:val="24"/>
                <w:lang w:val="en-US" w:eastAsia="zh-CN"/>
              </w:rPr>
              <w:t>江城卫生院：</w:t>
            </w:r>
          </w:p>
          <w:p w14:paraId="291A1485">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9江城卫生院</w:t>
            </w:r>
            <w:r>
              <w:rPr>
                <w:rFonts w:ascii="Times New Roman" w:hAnsi="Times New Roman" w:eastAsia="宋体"/>
                <w:b/>
                <w:bCs/>
                <w:color w:val="auto"/>
              </w:rPr>
              <w:t>污水处理站废水污染源源强核算结果及相关参数一览表</w:t>
            </w:r>
          </w:p>
          <w:tbl>
            <w:tblPr>
              <w:tblStyle w:val="19"/>
              <w:tblW w:w="14040" w:type="dxa"/>
              <w:tblInd w:w="-2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1080"/>
              <w:gridCol w:w="1080"/>
              <w:gridCol w:w="1080"/>
              <w:gridCol w:w="1080"/>
              <w:gridCol w:w="1080"/>
              <w:gridCol w:w="1080"/>
              <w:gridCol w:w="1080"/>
              <w:gridCol w:w="1080"/>
              <w:gridCol w:w="1080"/>
              <w:gridCol w:w="1080"/>
              <w:gridCol w:w="1080"/>
              <w:gridCol w:w="1080"/>
            </w:tblGrid>
            <w:tr w14:paraId="4ED6B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108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B42BCA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工序</w:t>
                  </w:r>
                </w:p>
              </w:tc>
              <w:tc>
                <w:tcPr>
                  <w:tcW w:w="108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40A85D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污染物</w:t>
                  </w:r>
                </w:p>
              </w:tc>
              <w:tc>
                <w:tcPr>
                  <w:tcW w:w="4320" w:type="dxa"/>
                  <w:gridSpan w:val="4"/>
                  <w:tcBorders>
                    <w:top w:val="single" w:color="000000" w:sz="8" w:space="0"/>
                    <w:left w:val="single" w:color="000000" w:sz="8" w:space="0"/>
                    <w:bottom w:val="single" w:color="000000" w:sz="8" w:space="0"/>
                    <w:right w:val="single" w:color="000000" w:sz="8" w:space="0"/>
                  </w:tcBorders>
                  <w:shd w:val="clear" w:color="auto" w:fill="auto"/>
                  <w:vAlign w:val="center"/>
                </w:tcPr>
                <w:p w14:paraId="08741F6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污染物产生量</w:t>
                  </w:r>
                </w:p>
              </w:tc>
              <w:tc>
                <w:tcPr>
                  <w:tcW w:w="2160"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54F0F2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治理措施</w:t>
                  </w:r>
                </w:p>
              </w:tc>
              <w:tc>
                <w:tcPr>
                  <w:tcW w:w="4320" w:type="dxa"/>
                  <w:gridSpan w:val="4"/>
                  <w:tcBorders>
                    <w:top w:val="single" w:color="000000" w:sz="8" w:space="0"/>
                    <w:left w:val="single" w:color="000000" w:sz="8" w:space="0"/>
                    <w:bottom w:val="single" w:color="000000" w:sz="8" w:space="0"/>
                    <w:right w:val="single" w:color="000000" w:sz="8" w:space="0"/>
                  </w:tcBorders>
                  <w:shd w:val="clear" w:color="auto" w:fill="auto"/>
                  <w:vAlign w:val="center"/>
                </w:tcPr>
                <w:p w14:paraId="45FAED2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污染物排放</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2260B6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排放时间（</w:t>
                  </w:r>
                  <w:r>
                    <w:rPr>
                      <w:rFonts w:hint="default" w:ascii="Times New Roman" w:hAnsi="Times New Roman" w:eastAsia="宋体" w:cs="Times New Roman"/>
                      <w:i w:val="0"/>
                      <w:iCs w:val="0"/>
                      <w:color w:val="auto"/>
                      <w:kern w:val="0"/>
                      <w:sz w:val="20"/>
                      <w:szCs w:val="20"/>
                      <w:u w:val="none"/>
                      <w:lang w:val="en-US" w:eastAsia="zh-CN" w:bidi="ar"/>
                    </w:rPr>
                    <w:t>h</w:t>
                  </w:r>
                  <w:r>
                    <w:rPr>
                      <w:rFonts w:hint="eastAsia" w:ascii="宋体" w:hAnsi="宋体" w:eastAsia="宋体" w:cs="宋体"/>
                      <w:i w:val="0"/>
                      <w:iCs w:val="0"/>
                      <w:color w:val="auto"/>
                      <w:kern w:val="0"/>
                      <w:sz w:val="20"/>
                      <w:szCs w:val="20"/>
                      <w:u w:val="none"/>
                      <w:lang w:val="en-US" w:eastAsia="zh-CN" w:bidi="ar"/>
                    </w:rPr>
                    <w:t>）</w:t>
                  </w:r>
                </w:p>
              </w:tc>
            </w:tr>
            <w:tr w14:paraId="76B14B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AC92DC6">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DC5E558">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5C7412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核算方法</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2BFD002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产生废水量（</w:t>
                  </w:r>
                  <w:r>
                    <w:rPr>
                      <w:rFonts w:hint="default" w:ascii="Times New Roman" w:hAnsi="Times New Roman" w:eastAsia="宋体" w:cs="Times New Roman"/>
                      <w:i w:val="0"/>
                      <w:iCs w:val="0"/>
                      <w:color w:val="auto"/>
                      <w:kern w:val="0"/>
                      <w:sz w:val="20"/>
                      <w:szCs w:val="20"/>
                      <w:u w:val="none"/>
                      <w:lang w:val="en-US" w:eastAsia="zh-CN" w:bidi="ar"/>
                    </w:rPr>
                    <w:t>m</w:t>
                  </w:r>
                  <w:r>
                    <w:rPr>
                      <w:rFonts w:hint="default" w:ascii="Times New Roman" w:hAnsi="Times New Roman" w:eastAsia="宋体" w:cs="Times New Roman"/>
                      <w:i w:val="0"/>
                      <w:iCs w:val="0"/>
                      <w:color w:val="auto"/>
                      <w:kern w:val="0"/>
                      <w:sz w:val="20"/>
                      <w:szCs w:val="20"/>
                      <w:u w:val="none"/>
                      <w:vertAlign w:val="superscript"/>
                      <w:lang w:val="en-US" w:eastAsia="zh-CN" w:bidi="ar"/>
                    </w:rPr>
                    <w:t>3</w:t>
                  </w:r>
                  <w:r>
                    <w:rPr>
                      <w:rFonts w:hint="default" w:ascii="Times New Roman" w:hAnsi="Times New Roman" w:eastAsia="宋体" w:cs="Times New Roman"/>
                      <w:i w:val="0"/>
                      <w:iCs w:val="0"/>
                      <w:color w:val="auto"/>
                      <w:kern w:val="0"/>
                      <w:sz w:val="20"/>
                      <w:szCs w:val="20"/>
                      <w:u w:val="none"/>
                      <w:lang w:val="en-US" w:eastAsia="zh-CN" w:bidi="ar"/>
                    </w:rPr>
                    <w:t>/h</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00FE38A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产生浓度（</w:t>
                  </w:r>
                  <w:r>
                    <w:rPr>
                      <w:rFonts w:hint="default" w:ascii="Times New Roman" w:hAnsi="Times New Roman" w:eastAsia="宋体" w:cs="Times New Roman"/>
                      <w:i w:val="0"/>
                      <w:iCs w:val="0"/>
                      <w:color w:val="auto"/>
                      <w:kern w:val="0"/>
                      <w:sz w:val="20"/>
                      <w:szCs w:val="20"/>
                      <w:u w:val="none"/>
                      <w:lang w:val="en-US" w:eastAsia="zh-CN" w:bidi="ar"/>
                    </w:rPr>
                    <w:t>mg/L</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5401B3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产生量（</w:t>
                  </w:r>
                  <w:r>
                    <w:rPr>
                      <w:rFonts w:hint="default" w:ascii="Times New Roman" w:hAnsi="Times New Roman" w:eastAsia="宋体" w:cs="Times New Roman"/>
                      <w:i w:val="0"/>
                      <w:iCs w:val="0"/>
                      <w:color w:val="auto"/>
                      <w:kern w:val="0"/>
                      <w:sz w:val="20"/>
                      <w:szCs w:val="20"/>
                      <w:u w:val="none"/>
                      <w:lang w:val="en-US" w:eastAsia="zh-CN" w:bidi="ar"/>
                    </w:rPr>
                    <w:t>kg/h</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3B4DD7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工艺</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767D4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综合处理效率（</w:t>
                  </w:r>
                  <w:r>
                    <w:rPr>
                      <w:rFonts w:hint="default" w:ascii="Times New Roman" w:hAnsi="Times New Roman" w:eastAsia="宋体" w:cs="Times New Roman"/>
                      <w:i w:val="0"/>
                      <w:iCs w:val="0"/>
                      <w:color w:val="auto"/>
                      <w:kern w:val="0"/>
                      <w:sz w:val="20"/>
                      <w:szCs w:val="20"/>
                      <w:u w:val="none"/>
                      <w:lang w:val="en-US" w:eastAsia="zh-CN" w:bidi="ar"/>
                    </w:rPr>
                    <w:t>%</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33D3F9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核算方法</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F1660E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产生废水量（</w:t>
                  </w:r>
                  <w:r>
                    <w:rPr>
                      <w:rFonts w:hint="default" w:ascii="Times New Roman" w:hAnsi="Times New Roman" w:eastAsia="宋体" w:cs="Times New Roman"/>
                      <w:i w:val="0"/>
                      <w:iCs w:val="0"/>
                      <w:color w:val="auto"/>
                      <w:kern w:val="0"/>
                      <w:sz w:val="20"/>
                      <w:szCs w:val="20"/>
                      <w:u w:val="none"/>
                      <w:lang w:val="en-US" w:eastAsia="zh-CN" w:bidi="ar"/>
                    </w:rPr>
                    <w:t>m</w:t>
                  </w:r>
                  <w:r>
                    <w:rPr>
                      <w:rFonts w:hint="default" w:ascii="Times New Roman" w:hAnsi="Times New Roman" w:eastAsia="宋体" w:cs="Times New Roman"/>
                      <w:i w:val="0"/>
                      <w:iCs w:val="0"/>
                      <w:color w:val="auto"/>
                      <w:kern w:val="0"/>
                      <w:sz w:val="20"/>
                      <w:szCs w:val="20"/>
                      <w:u w:val="none"/>
                      <w:vertAlign w:val="superscript"/>
                      <w:lang w:val="en-US" w:eastAsia="zh-CN" w:bidi="ar"/>
                    </w:rPr>
                    <w:t>3</w:t>
                  </w:r>
                  <w:r>
                    <w:rPr>
                      <w:rFonts w:hint="default" w:ascii="Times New Roman" w:hAnsi="Times New Roman" w:eastAsia="宋体" w:cs="Times New Roman"/>
                      <w:i w:val="0"/>
                      <w:iCs w:val="0"/>
                      <w:color w:val="auto"/>
                      <w:kern w:val="0"/>
                      <w:sz w:val="20"/>
                      <w:szCs w:val="20"/>
                      <w:u w:val="none"/>
                      <w:lang w:val="en-US" w:eastAsia="zh-CN" w:bidi="ar"/>
                    </w:rPr>
                    <w:t>/h</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34105A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排放浓度（</w:t>
                  </w:r>
                  <w:r>
                    <w:rPr>
                      <w:rFonts w:hint="default" w:ascii="Times New Roman" w:hAnsi="Times New Roman" w:eastAsia="宋体" w:cs="Times New Roman"/>
                      <w:i w:val="0"/>
                      <w:iCs w:val="0"/>
                      <w:color w:val="auto"/>
                      <w:kern w:val="0"/>
                      <w:sz w:val="20"/>
                      <w:szCs w:val="20"/>
                      <w:u w:val="none"/>
                      <w:lang w:val="en-US" w:eastAsia="zh-CN" w:bidi="ar"/>
                    </w:rPr>
                    <w:t>mg/L</w:t>
                  </w:r>
                  <w:r>
                    <w:rPr>
                      <w:rFonts w:hint="eastAsia" w:ascii="宋体" w:hAnsi="宋体" w:eastAsia="宋体" w:cs="宋体"/>
                      <w:i w:val="0"/>
                      <w:iCs w:val="0"/>
                      <w:color w:val="auto"/>
                      <w:kern w:val="0"/>
                      <w:sz w:val="20"/>
                      <w:szCs w:val="20"/>
                      <w:u w:val="none"/>
                      <w:lang w:val="en-US" w:eastAsia="zh-CN" w:bidi="ar"/>
                    </w:rPr>
                    <w:t>）</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953BC1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产生量（</w:t>
                  </w:r>
                  <w:r>
                    <w:rPr>
                      <w:rFonts w:hint="default" w:ascii="Times New Roman" w:hAnsi="Times New Roman" w:eastAsia="宋体" w:cs="Times New Roman"/>
                      <w:i w:val="0"/>
                      <w:iCs w:val="0"/>
                      <w:color w:val="auto"/>
                      <w:kern w:val="0"/>
                      <w:sz w:val="20"/>
                      <w:szCs w:val="20"/>
                      <w:u w:val="none"/>
                      <w:lang w:val="en-US" w:eastAsia="zh-CN" w:bidi="ar"/>
                    </w:rPr>
                    <w:t>kg/h</w:t>
                  </w:r>
                  <w:r>
                    <w:rPr>
                      <w:rFonts w:hint="eastAsia" w:ascii="宋体" w:hAnsi="宋体" w:eastAsia="宋体" w:cs="宋体"/>
                      <w:i w:val="0"/>
                      <w:iCs w:val="0"/>
                      <w:color w:val="auto"/>
                      <w:kern w:val="0"/>
                      <w:sz w:val="20"/>
                      <w:szCs w:val="20"/>
                      <w:u w:val="none"/>
                      <w:lang w:val="en-US" w:eastAsia="zh-CN" w:bidi="ar"/>
                    </w:rPr>
                    <w:t>）</w:t>
                  </w:r>
                </w:p>
              </w:tc>
              <w:tc>
                <w:tcPr>
                  <w:tcW w:w="108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AB2B37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8760</w:t>
                  </w:r>
                </w:p>
              </w:tc>
            </w:tr>
            <w:tr w14:paraId="295B75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1D01591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江城卫生院污水处理站</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079117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649A409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类比法</w:t>
                  </w:r>
                </w:p>
              </w:tc>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625D137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1.8</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0B7D232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300</w:t>
                  </w:r>
                </w:p>
              </w:tc>
              <w:tc>
                <w:tcPr>
                  <w:tcW w:w="1080" w:type="dxa"/>
                  <w:tcBorders>
                    <w:top w:val="nil"/>
                    <w:left w:val="nil"/>
                    <w:bottom w:val="single" w:color="000000" w:sz="8" w:space="0"/>
                    <w:right w:val="nil"/>
                  </w:tcBorders>
                  <w:shd w:val="clear" w:color="auto" w:fill="auto"/>
                  <w:vAlign w:val="bottom"/>
                </w:tcPr>
                <w:p w14:paraId="7BB9A55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bottom"/>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0.54</w:t>
                  </w:r>
                </w:p>
              </w:tc>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2EB5B9B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sz w:val="20"/>
                      <w:szCs w:val="20"/>
                      <w:u w:val="none"/>
                      <w:lang w:val="en-US" w:eastAsia="zh-CN"/>
                    </w:rPr>
                    <w:t>污水→格栅→调节池→沉淀→消毒→排放</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A27C75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51.67</w:t>
                  </w:r>
                </w:p>
              </w:tc>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49741C0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产污系数法</w:t>
                  </w:r>
                </w:p>
              </w:tc>
              <w:tc>
                <w:tcPr>
                  <w:tcW w:w="1080" w:type="dxa"/>
                  <w:vMerge w:val="restart"/>
                  <w:tcBorders>
                    <w:top w:val="nil"/>
                    <w:left w:val="single" w:color="000000" w:sz="8" w:space="0"/>
                    <w:bottom w:val="single" w:color="000000" w:sz="8" w:space="0"/>
                    <w:right w:val="single" w:color="000000" w:sz="8" w:space="0"/>
                  </w:tcBorders>
                  <w:shd w:val="clear" w:color="auto" w:fill="auto"/>
                  <w:vAlign w:val="center"/>
                </w:tcPr>
                <w:p w14:paraId="3C7F49E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1.8</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9B028C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145</w:t>
                  </w:r>
                </w:p>
              </w:tc>
              <w:tc>
                <w:tcPr>
                  <w:tcW w:w="1080" w:type="dxa"/>
                  <w:tcBorders>
                    <w:top w:val="nil"/>
                    <w:left w:val="nil"/>
                    <w:bottom w:val="single" w:color="000000" w:sz="8" w:space="0"/>
                    <w:right w:val="nil"/>
                  </w:tcBorders>
                  <w:shd w:val="clear" w:color="auto" w:fill="auto"/>
                  <w:vAlign w:val="center"/>
                </w:tcPr>
                <w:p w14:paraId="5D804AA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0.10585</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2BBB381">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0"/>
                      <w:szCs w:val="20"/>
                      <w:u w:val="none"/>
                    </w:rPr>
                  </w:pPr>
                </w:p>
              </w:tc>
            </w:tr>
            <w:tr w14:paraId="54587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487A880B">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75B1DDA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BOD</w:t>
                  </w:r>
                  <w:r>
                    <w:rPr>
                      <w:rStyle w:val="71"/>
                      <w:rFonts w:eastAsia="宋体"/>
                      <w:color w:val="auto"/>
                      <w:lang w:val="en-US" w:eastAsia="zh-CN" w:bidi="ar"/>
                    </w:rPr>
                    <w:t>5</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2709F920">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0483BAB1">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576EA2C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1080" w:type="dxa"/>
                  <w:tcBorders>
                    <w:top w:val="nil"/>
                    <w:left w:val="nil"/>
                    <w:bottom w:val="single" w:color="000000" w:sz="8" w:space="0"/>
                    <w:right w:val="nil"/>
                  </w:tcBorders>
                  <w:shd w:val="clear" w:color="auto" w:fill="auto"/>
                  <w:vAlign w:val="bottom"/>
                </w:tcPr>
                <w:p w14:paraId="755680E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bottom"/>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0.27</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42394419">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7586244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68</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4EABE99D">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2E7959B8">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9D5D8F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48</w:t>
                  </w:r>
                </w:p>
              </w:tc>
              <w:tc>
                <w:tcPr>
                  <w:tcW w:w="1080" w:type="dxa"/>
                  <w:tcBorders>
                    <w:top w:val="nil"/>
                    <w:left w:val="nil"/>
                    <w:bottom w:val="single" w:color="000000" w:sz="8" w:space="0"/>
                    <w:right w:val="nil"/>
                  </w:tcBorders>
                  <w:shd w:val="clear" w:color="auto" w:fill="auto"/>
                  <w:vAlign w:val="center"/>
                </w:tcPr>
                <w:p w14:paraId="005E9B2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0.03504</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76CA338">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0"/>
                      <w:szCs w:val="20"/>
                      <w:u w:val="none"/>
                    </w:rPr>
                  </w:pPr>
                </w:p>
              </w:tc>
            </w:tr>
            <w:tr w14:paraId="65C74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10C0F808">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3A7DC2C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NH</w:t>
                  </w:r>
                  <w:r>
                    <w:rPr>
                      <w:rStyle w:val="71"/>
                      <w:rFonts w:eastAsia="宋体"/>
                      <w:color w:val="auto"/>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-N</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475306BE">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6CBE5A21">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3F9CF98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w:t>
                  </w:r>
                </w:p>
              </w:tc>
              <w:tc>
                <w:tcPr>
                  <w:tcW w:w="1080" w:type="dxa"/>
                  <w:tcBorders>
                    <w:top w:val="nil"/>
                    <w:left w:val="nil"/>
                    <w:bottom w:val="single" w:color="000000" w:sz="8" w:space="0"/>
                    <w:right w:val="nil"/>
                  </w:tcBorders>
                  <w:shd w:val="clear" w:color="auto" w:fill="auto"/>
                  <w:vAlign w:val="bottom"/>
                </w:tcPr>
                <w:p w14:paraId="12C013D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bottom"/>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0.09</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37A8849B">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47F9717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365A86B5">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2AF3C64A">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7374CEE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w:t>
                  </w:r>
                </w:p>
              </w:tc>
              <w:tc>
                <w:tcPr>
                  <w:tcW w:w="1080" w:type="dxa"/>
                  <w:tcBorders>
                    <w:top w:val="nil"/>
                    <w:left w:val="nil"/>
                    <w:bottom w:val="single" w:color="000000" w:sz="8" w:space="0"/>
                    <w:right w:val="nil"/>
                  </w:tcBorders>
                  <w:shd w:val="clear" w:color="auto" w:fill="auto"/>
                  <w:vAlign w:val="center"/>
                </w:tcPr>
                <w:p w14:paraId="7E76B6A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0.09</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68051F3">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0"/>
                      <w:szCs w:val="20"/>
                      <w:u w:val="none"/>
                    </w:rPr>
                  </w:pPr>
                </w:p>
              </w:tc>
            </w:tr>
            <w:tr w14:paraId="642AD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6E1C4B49">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9BF61A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1BB9498C">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7E2FFDC7">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22EE1D5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080" w:type="dxa"/>
                  <w:tcBorders>
                    <w:top w:val="nil"/>
                    <w:left w:val="nil"/>
                    <w:bottom w:val="single" w:color="000000" w:sz="8" w:space="0"/>
                    <w:right w:val="nil"/>
                  </w:tcBorders>
                  <w:shd w:val="clear" w:color="auto" w:fill="auto"/>
                  <w:vAlign w:val="bottom"/>
                </w:tcPr>
                <w:p w14:paraId="6533EBE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bottom"/>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0.216</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1AD5B2CA">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000B110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88.33</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7E1B67A1">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46DCFC12">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248B50A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080" w:type="dxa"/>
                  <w:tcBorders>
                    <w:top w:val="nil"/>
                    <w:left w:val="nil"/>
                    <w:bottom w:val="single" w:color="000000" w:sz="8" w:space="0"/>
                    <w:right w:val="nil"/>
                  </w:tcBorders>
                  <w:shd w:val="clear" w:color="auto" w:fill="auto"/>
                  <w:vAlign w:val="bottom"/>
                </w:tcPr>
                <w:p w14:paraId="5CC008D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bottom"/>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252</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FF30D67">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0"/>
                      <w:szCs w:val="20"/>
                      <w:u w:val="none"/>
                    </w:rPr>
                  </w:pPr>
                </w:p>
              </w:tc>
            </w:tr>
            <w:tr w14:paraId="75741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695BD986">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40784D2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粪大肠菌群</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1F9F1411">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2936A4DF">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0488CC4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3.0×10</w:t>
                  </w:r>
                  <w:r>
                    <w:rPr>
                      <w:rFonts w:hint="default" w:ascii="Times New Roman" w:hAnsi="Times New Roman" w:eastAsia="宋体" w:cs="Times New Roman"/>
                      <w:i w:val="0"/>
                      <w:iCs w:val="0"/>
                      <w:color w:val="auto"/>
                      <w:kern w:val="0"/>
                      <w:sz w:val="21"/>
                      <w:szCs w:val="21"/>
                      <w:u w:val="none"/>
                      <w:vertAlign w:val="superscript"/>
                      <w:lang w:val="en-US" w:eastAsia="zh-CN" w:bidi="ar"/>
                    </w:rPr>
                    <w:t>8</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98A66D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6DD84DF6">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0"/>
                      <w:szCs w:val="20"/>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2288F2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w:t>
                  </w: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1619A8C0">
                  <w:pPr>
                    <w:keepNext w:val="0"/>
                    <w:keepLines w:val="0"/>
                    <w:pageBreakBefore w:val="0"/>
                    <w:widowControl/>
                    <w:kinsoku/>
                    <w:wordWrap/>
                    <w:overflowPunct/>
                    <w:topLinePunct w:val="0"/>
                    <w:autoSpaceDE/>
                    <w:autoSpaceDN/>
                    <w:bidi w:val="0"/>
                    <w:adjustRightInd/>
                    <w:snapToGrid/>
                    <w:ind w:firstLine="0" w:firstLineChars="0"/>
                    <w:jc w:val="center"/>
                    <w:rPr>
                      <w:rFonts w:hint="eastAsia" w:ascii="宋体" w:hAnsi="宋体" w:eastAsia="宋体" w:cs="宋体"/>
                      <w:i w:val="0"/>
                      <w:iCs w:val="0"/>
                      <w:color w:val="auto"/>
                      <w:sz w:val="21"/>
                      <w:szCs w:val="21"/>
                      <w:u w:val="none"/>
                    </w:rPr>
                  </w:pPr>
                </w:p>
              </w:tc>
              <w:tc>
                <w:tcPr>
                  <w:tcW w:w="1080" w:type="dxa"/>
                  <w:vMerge w:val="continue"/>
                  <w:tcBorders>
                    <w:top w:val="nil"/>
                    <w:left w:val="single" w:color="000000" w:sz="8" w:space="0"/>
                    <w:bottom w:val="single" w:color="000000" w:sz="8" w:space="0"/>
                    <w:right w:val="single" w:color="000000" w:sz="8" w:space="0"/>
                  </w:tcBorders>
                  <w:shd w:val="clear" w:color="auto" w:fill="auto"/>
                  <w:vAlign w:val="center"/>
                </w:tcPr>
                <w:p w14:paraId="6280430A">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1"/>
                      <w:szCs w:val="21"/>
                      <w:u w:val="none"/>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68A40E9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5000</w:t>
                  </w:r>
                  <w:r>
                    <w:rPr>
                      <w:rFonts w:hint="eastAsia" w:ascii="宋体" w:hAnsi="宋体" w:eastAsia="宋体" w:cs="宋体"/>
                      <w:i w:val="0"/>
                      <w:iCs w:val="0"/>
                      <w:color w:val="auto"/>
                      <w:kern w:val="0"/>
                      <w:sz w:val="21"/>
                      <w:szCs w:val="21"/>
                      <w:u w:val="none"/>
                      <w:lang w:val="en-US" w:eastAsia="zh-CN" w:bidi="ar"/>
                    </w:rPr>
                    <w:t>个</w:t>
                  </w:r>
                  <w:r>
                    <w:rPr>
                      <w:rFonts w:hint="default" w:ascii="Times New Roman" w:hAnsi="Times New Roman" w:eastAsia="宋体" w:cs="Times New Roman"/>
                      <w:i w:val="0"/>
                      <w:iCs w:val="0"/>
                      <w:color w:val="auto"/>
                      <w:kern w:val="0"/>
                      <w:sz w:val="21"/>
                      <w:szCs w:val="21"/>
                      <w:u w:val="none"/>
                      <w:lang w:val="en-US" w:eastAsia="zh-CN" w:bidi="ar"/>
                    </w:rPr>
                    <w:t>/L</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9C93F7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08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D94CBE6">
                  <w:pPr>
                    <w:keepNext w:val="0"/>
                    <w:keepLines w:val="0"/>
                    <w:pageBreakBefore w:val="0"/>
                    <w:widowControl/>
                    <w:kinsoku/>
                    <w:wordWrap/>
                    <w:overflowPunct/>
                    <w:topLinePunct w:val="0"/>
                    <w:autoSpaceDE/>
                    <w:autoSpaceDN/>
                    <w:bidi w:val="0"/>
                    <w:adjustRightInd/>
                    <w:snapToGrid/>
                    <w:ind w:firstLine="0" w:firstLineChars="0"/>
                    <w:jc w:val="center"/>
                    <w:rPr>
                      <w:rFonts w:hint="default" w:ascii="Times New Roman" w:hAnsi="Times New Roman" w:eastAsia="宋体" w:cs="Times New Roman"/>
                      <w:i w:val="0"/>
                      <w:iCs w:val="0"/>
                      <w:color w:val="auto"/>
                      <w:sz w:val="20"/>
                      <w:szCs w:val="20"/>
                      <w:u w:val="none"/>
                    </w:rPr>
                  </w:pPr>
                </w:p>
              </w:tc>
            </w:tr>
          </w:tbl>
          <w:p w14:paraId="76A37DF0">
            <w:pPr>
              <w:pStyle w:val="2"/>
              <w:jc w:val="both"/>
              <w:rPr>
                <w:rFonts w:ascii="Times New Roman" w:hAnsi="Times New Roman" w:eastAsia="宋体"/>
                <w:color w:val="auto"/>
              </w:rPr>
            </w:pPr>
            <w:r>
              <w:rPr>
                <w:rFonts w:ascii="Times New Roman" w:hAnsi="Times New Roman" w:eastAsia="宋体"/>
                <w:color w:val="auto"/>
              </w:rPr>
              <w:t>注：排放浓度参考《江川区人民医院</w:t>
            </w:r>
            <w:r>
              <w:rPr>
                <w:rFonts w:hint="eastAsia"/>
                <w:color w:val="auto"/>
                <w:highlight w:val="none"/>
                <w:lang w:val="en-US" w:eastAsia="zh-CN"/>
              </w:rPr>
              <w:t>2025</w:t>
            </w:r>
            <w:r>
              <w:rPr>
                <w:color w:val="auto"/>
                <w:highlight w:val="none"/>
              </w:rPr>
              <w:t>年自行监测（四季度）</w:t>
            </w:r>
            <w:r>
              <w:rPr>
                <w:rFonts w:ascii="Times New Roman" w:hAnsi="Times New Roman" w:eastAsia="宋体"/>
                <w:color w:val="auto"/>
              </w:rPr>
              <w:t>》</w:t>
            </w:r>
            <w:r>
              <w:rPr>
                <w:rFonts w:hint="eastAsia"/>
                <w:color w:val="auto"/>
                <w:lang w:eastAsia="zh-CN"/>
              </w:rPr>
              <w:t>、</w:t>
            </w:r>
            <w:r>
              <w:rPr>
                <w:rFonts w:hint="eastAsia"/>
                <w:color w:val="auto"/>
                <w:highlight w:val="none"/>
                <w:lang w:eastAsia="zh-CN"/>
              </w:rPr>
              <w:t>《</w:t>
            </w:r>
            <w:r>
              <w:rPr>
                <w:rFonts w:hint="eastAsia"/>
                <w:color w:val="auto"/>
                <w:lang w:val="en-US" w:eastAsia="zh-CN"/>
              </w:rPr>
              <w:t>玉溪市江川区人民医院2026年自行监测（2月））</w:t>
            </w:r>
            <w:r>
              <w:rPr>
                <w:rFonts w:hint="eastAsia"/>
                <w:color w:val="auto"/>
                <w:highlight w:val="none"/>
                <w:lang w:eastAsia="zh-CN"/>
              </w:rPr>
              <w:t>》</w:t>
            </w:r>
            <w:r>
              <w:rPr>
                <w:rFonts w:ascii="Times New Roman" w:hAnsi="Times New Roman" w:eastAsia="宋体"/>
                <w:color w:val="auto"/>
              </w:rPr>
              <w:t>检测结果。</w:t>
            </w:r>
          </w:p>
          <w:p w14:paraId="16A4FBB5">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10江城卫生院</w:t>
            </w:r>
            <w:r>
              <w:rPr>
                <w:rFonts w:ascii="Times New Roman" w:hAnsi="Times New Roman" w:eastAsia="宋体"/>
                <w:b/>
                <w:bCs/>
                <w:color w:val="auto"/>
              </w:rPr>
              <w:t>废水间接排放口基本情况表</w:t>
            </w:r>
          </w:p>
          <w:tbl>
            <w:tblPr>
              <w:tblStyle w:val="20"/>
              <w:tblW w:w="13366" w:type="dxa"/>
              <w:tblInd w:w="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1048"/>
              <w:gridCol w:w="954"/>
              <w:gridCol w:w="3881"/>
              <w:gridCol w:w="1001"/>
              <w:gridCol w:w="977"/>
              <w:gridCol w:w="977"/>
              <w:gridCol w:w="977"/>
              <w:gridCol w:w="977"/>
              <w:gridCol w:w="1070"/>
              <w:gridCol w:w="1011"/>
            </w:tblGrid>
            <w:tr w14:paraId="71EA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527" w:type="dxa"/>
                  <w:vMerge w:val="restart"/>
                  <w:vAlign w:val="center"/>
                </w:tcPr>
                <w:p w14:paraId="70238760">
                  <w:pPr>
                    <w:pStyle w:val="2"/>
                    <w:jc w:val="center"/>
                    <w:rPr>
                      <w:color w:val="auto"/>
                    </w:rPr>
                  </w:pPr>
                  <w:r>
                    <w:rPr>
                      <w:color w:val="auto"/>
                    </w:rPr>
                    <w:t>序号</w:t>
                  </w:r>
                </w:p>
              </w:tc>
              <w:tc>
                <w:tcPr>
                  <w:tcW w:w="1134" w:type="dxa"/>
                  <w:vMerge w:val="restart"/>
                  <w:vAlign w:val="center"/>
                </w:tcPr>
                <w:p w14:paraId="1CDAFE32">
                  <w:pPr>
                    <w:pStyle w:val="2"/>
                    <w:jc w:val="center"/>
                    <w:rPr>
                      <w:color w:val="auto"/>
                    </w:rPr>
                  </w:pPr>
                  <w:r>
                    <w:rPr>
                      <w:color w:val="auto"/>
                    </w:rPr>
                    <w:t>排放口编号及名称</w:t>
                  </w:r>
                </w:p>
              </w:tc>
              <w:tc>
                <w:tcPr>
                  <w:tcW w:w="1184" w:type="dxa"/>
                  <w:vMerge w:val="restart"/>
                  <w:vAlign w:val="center"/>
                </w:tcPr>
                <w:p w14:paraId="16A026F0">
                  <w:pPr>
                    <w:pStyle w:val="2"/>
                    <w:jc w:val="center"/>
                    <w:rPr>
                      <w:color w:val="auto"/>
                    </w:rPr>
                  </w:pPr>
                  <w:r>
                    <w:rPr>
                      <w:color w:val="auto"/>
                    </w:rPr>
                    <w:t>排放口类型</w:t>
                  </w:r>
                </w:p>
              </w:tc>
              <w:tc>
                <w:tcPr>
                  <w:tcW w:w="2060" w:type="dxa"/>
                  <w:vAlign w:val="center"/>
                </w:tcPr>
                <w:p w14:paraId="0DD337F4">
                  <w:pPr>
                    <w:pStyle w:val="2"/>
                    <w:jc w:val="center"/>
                    <w:rPr>
                      <w:color w:val="auto"/>
                    </w:rPr>
                  </w:pPr>
                  <w:r>
                    <w:rPr>
                      <w:color w:val="auto"/>
                    </w:rPr>
                    <w:t>排放口地理坐标</w:t>
                  </w:r>
                </w:p>
              </w:tc>
              <w:tc>
                <w:tcPr>
                  <w:tcW w:w="1165" w:type="dxa"/>
                  <w:vMerge w:val="restart"/>
                  <w:vAlign w:val="center"/>
                </w:tcPr>
                <w:p w14:paraId="493AF77D">
                  <w:pPr>
                    <w:pStyle w:val="2"/>
                    <w:jc w:val="center"/>
                    <w:rPr>
                      <w:color w:val="auto"/>
                    </w:rPr>
                  </w:pPr>
                  <w:r>
                    <w:rPr>
                      <w:color w:val="auto"/>
                    </w:rPr>
                    <w:t>废水排放量（万t/a）</w:t>
                  </w:r>
                </w:p>
              </w:tc>
              <w:tc>
                <w:tcPr>
                  <w:tcW w:w="1216" w:type="dxa"/>
                  <w:vMerge w:val="restart"/>
                  <w:vAlign w:val="center"/>
                </w:tcPr>
                <w:p w14:paraId="1B6B03B0">
                  <w:pPr>
                    <w:pStyle w:val="2"/>
                    <w:jc w:val="center"/>
                    <w:rPr>
                      <w:color w:val="auto"/>
                    </w:rPr>
                  </w:pPr>
                  <w:r>
                    <w:rPr>
                      <w:color w:val="auto"/>
                    </w:rPr>
                    <w:t>排放去向</w:t>
                  </w:r>
                </w:p>
              </w:tc>
              <w:tc>
                <w:tcPr>
                  <w:tcW w:w="1216" w:type="dxa"/>
                  <w:vMerge w:val="restart"/>
                  <w:vAlign w:val="center"/>
                </w:tcPr>
                <w:p w14:paraId="4C50F841">
                  <w:pPr>
                    <w:pStyle w:val="2"/>
                    <w:jc w:val="center"/>
                    <w:rPr>
                      <w:color w:val="auto"/>
                    </w:rPr>
                  </w:pPr>
                  <w:r>
                    <w:rPr>
                      <w:color w:val="auto"/>
                    </w:rPr>
                    <w:t>排放规律</w:t>
                  </w:r>
                </w:p>
              </w:tc>
              <w:tc>
                <w:tcPr>
                  <w:tcW w:w="1216" w:type="dxa"/>
                  <w:vMerge w:val="restart"/>
                  <w:vAlign w:val="center"/>
                </w:tcPr>
                <w:p w14:paraId="565046CB">
                  <w:pPr>
                    <w:pStyle w:val="2"/>
                    <w:jc w:val="center"/>
                    <w:rPr>
                      <w:color w:val="auto"/>
                    </w:rPr>
                  </w:pPr>
                  <w:r>
                    <w:rPr>
                      <w:color w:val="auto"/>
                    </w:rPr>
                    <w:t>间歇排放时段</w:t>
                  </w:r>
                </w:p>
              </w:tc>
              <w:tc>
                <w:tcPr>
                  <w:tcW w:w="1216" w:type="dxa"/>
                  <w:vMerge w:val="restart"/>
                  <w:vAlign w:val="center"/>
                </w:tcPr>
                <w:p w14:paraId="58D352C8">
                  <w:pPr>
                    <w:pStyle w:val="2"/>
                    <w:jc w:val="center"/>
                    <w:rPr>
                      <w:color w:val="auto"/>
                    </w:rPr>
                  </w:pPr>
                  <w:r>
                    <w:rPr>
                      <w:color w:val="auto"/>
                    </w:rPr>
                    <w:t>名称</w:t>
                  </w:r>
                </w:p>
              </w:tc>
              <w:tc>
                <w:tcPr>
                  <w:tcW w:w="1216" w:type="dxa"/>
                  <w:vMerge w:val="restart"/>
                  <w:vAlign w:val="center"/>
                </w:tcPr>
                <w:p w14:paraId="7733943B">
                  <w:pPr>
                    <w:pStyle w:val="2"/>
                    <w:jc w:val="center"/>
                    <w:rPr>
                      <w:color w:val="auto"/>
                    </w:rPr>
                  </w:pPr>
                  <w:r>
                    <w:rPr>
                      <w:color w:val="auto"/>
                    </w:rPr>
                    <w:t>污染物种类</w:t>
                  </w:r>
                </w:p>
              </w:tc>
              <w:tc>
                <w:tcPr>
                  <w:tcW w:w="1216" w:type="dxa"/>
                  <w:vMerge w:val="restart"/>
                  <w:vAlign w:val="center"/>
                </w:tcPr>
                <w:p w14:paraId="1DA35CC4">
                  <w:pPr>
                    <w:pStyle w:val="2"/>
                    <w:jc w:val="center"/>
                    <w:rPr>
                      <w:color w:val="auto"/>
                    </w:rPr>
                  </w:pPr>
                  <w:r>
                    <w:rPr>
                      <w:color w:val="auto"/>
                    </w:rPr>
                    <w:t>污染物排放限值</w:t>
                  </w:r>
                </w:p>
              </w:tc>
            </w:tr>
            <w:tr w14:paraId="240D7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27" w:type="dxa"/>
                  <w:vMerge w:val="continue"/>
                  <w:vAlign w:val="center"/>
                </w:tcPr>
                <w:p w14:paraId="41F5D0ED">
                  <w:pPr>
                    <w:pStyle w:val="2"/>
                    <w:jc w:val="center"/>
                    <w:rPr>
                      <w:color w:val="auto"/>
                    </w:rPr>
                  </w:pPr>
                </w:p>
              </w:tc>
              <w:tc>
                <w:tcPr>
                  <w:tcW w:w="1134" w:type="dxa"/>
                  <w:vMerge w:val="continue"/>
                  <w:vAlign w:val="center"/>
                </w:tcPr>
                <w:p w14:paraId="1D4CFF01">
                  <w:pPr>
                    <w:pStyle w:val="2"/>
                    <w:jc w:val="center"/>
                    <w:rPr>
                      <w:color w:val="auto"/>
                    </w:rPr>
                  </w:pPr>
                </w:p>
              </w:tc>
              <w:tc>
                <w:tcPr>
                  <w:tcW w:w="1184" w:type="dxa"/>
                  <w:vMerge w:val="continue"/>
                  <w:vAlign w:val="center"/>
                </w:tcPr>
                <w:p w14:paraId="1CFDA27B">
                  <w:pPr>
                    <w:pStyle w:val="2"/>
                    <w:jc w:val="center"/>
                    <w:rPr>
                      <w:color w:val="auto"/>
                    </w:rPr>
                  </w:pPr>
                </w:p>
              </w:tc>
              <w:tc>
                <w:tcPr>
                  <w:tcW w:w="2060" w:type="dxa"/>
                  <w:vAlign w:val="center"/>
                </w:tcPr>
                <w:p w14:paraId="6ED36D3C">
                  <w:pPr>
                    <w:pStyle w:val="2"/>
                    <w:jc w:val="center"/>
                    <w:rPr>
                      <w:color w:val="auto"/>
                    </w:rPr>
                  </w:pPr>
                  <w:r>
                    <w:rPr>
                      <w:color w:val="auto"/>
                    </w:rPr>
                    <w:t>经纬度</w:t>
                  </w:r>
                </w:p>
              </w:tc>
              <w:tc>
                <w:tcPr>
                  <w:tcW w:w="1165" w:type="dxa"/>
                  <w:vMerge w:val="continue"/>
                  <w:vAlign w:val="center"/>
                </w:tcPr>
                <w:p w14:paraId="003977AE">
                  <w:pPr>
                    <w:pStyle w:val="2"/>
                    <w:jc w:val="center"/>
                    <w:rPr>
                      <w:color w:val="auto"/>
                    </w:rPr>
                  </w:pPr>
                </w:p>
              </w:tc>
              <w:tc>
                <w:tcPr>
                  <w:tcW w:w="1216" w:type="dxa"/>
                  <w:vMerge w:val="continue"/>
                  <w:vAlign w:val="center"/>
                </w:tcPr>
                <w:p w14:paraId="27780C91">
                  <w:pPr>
                    <w:pStyle w:val="2"/>
                    <w:jc w:val="center"/>
                    <w:rPr>
                      <w:color w:val="auto"/>
                    </w:rPr>
                  </w:pPr>
                </w:p>
              </w:tc>
              <w:tc>
                <w:tcPr>
                  <w:tcW w:w="1216" w:type="dxa"/>
                  <w:vMerge w:val="continue"/>
                  <w:vAlign w:val="center"/>
                </w:tcPr>
                <w:p w14:paraId="4319921E">
                  <w:pPr>
                    <w:pStyle w:val="2"/>
                    <w:jc w:val="center"/>
                    <w:rPr>
                      <w:color w:val="auto"/>
                    </w:rPr>
                  </w:pPr>
                </w:p>
              </w:tc>
              <w:tc>
                <w:tcPr>
                  <w:tcW w:w="1216" w:type="dxa"/>
                  <w:vMerge w:val="continue"/>
                  <w:vAlign w:val="center"/>
                </w:tcPr>
                <w:p w14:paraId="4A90205C">
                  <w:pPr>
                    <w:pStyle w:val="2"/>
                    <w:jc w:val="center"/>
                    <w:rPr>
                      <w:color w:val="auto"/>
                    </w:rPr>
                  </w:pPr>
                </w:p>
              </w:tc>
              <w:tc>
                <w:tcPr>
                  <w:tcW w:w="1216" w:type="dxa"/>
                  <w:vMerge w:val="continue"/>
                  <w:vAlign w:val="center"/>
                </w:tcPr>
                <w:p w14:paraId="04A5A467">
                  <w:pPr>
                    <w:pStyle w:val="2"/>
                    <w:jc w:val="center"/>
                    <w:rPr>
                      <w:color w:val="auto"/>
                    </w:rPr>
                  </w:pPr>
                </w:p>
              </w:tc>
              <w:tc>
                <w:tcPr>
                  <w:tcW w:w="1216" w:type="dxa"/>
                  <w:vMerge w:val="continue"/>
                  <w:vAlign w:val="center"/>
                </w:tcPr>
                <w:p w14:paraId="2ACA3E97">
                  <w:pPr>
                    <w:pStyle w:val="2"/>
                    <w:jc w:val="center"/>
                    <w:rPr>
                      <w:color w:val="auto"/>
                    </w:rPr>
                  </w:pPr>
                </w:p>
              </w:tc>
              <w:tc>
                <w:tcPr>
                  <w:tcW w:w="1216" w:type="dxa"/>
                  <w:vMerge w:val="continue"/>
                  <w:vAlign w:val="center"/>
                </w:tcPr>
                <w:p w14:paraId="246D30E9">
                  <w:pPr>
                    <w:pStyle w:val="2"/>
                    <w:jc w:val="center"/>
                    <w:rPr>
                      <w:color w:val="auto"/>
                    </w:rPr>
                  </w:pPr>
                </w:p>
              </w:tc>
            </w:tr>
            <w:tr w14:paraId="58C55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restart"/>
                  <w:vAlign w:val="center"/>
                </w:tcPr>
                <w:p w14:paraId="6C09122B">
                  <w:pPr>
                    <w:pStyle w:val="2"/>
                    <w:jc w:val="center"/>
                    <w:rPr>
                      <w:color w:val="auto"/>
                    </w:rPr>
                  </w:pPr>
                  <w:r>
                    <w:rPr>
                      <w:color w:val="auto"/>
                    </w:rPr>
                    <w:t>1</w:t>
                  </w:r>
                </w:p>
              </w:tc>
              <w:tc>
                <w:tcPr>
                  <w:tcW w:w="1134" w:type="dxa"/>
                  <w:vMerge w:val="restart"/>
                  <w:vAlign w:val="center"/>
                </w:tcPr>
                <w:p w14:paraId="21D59148">
                  <w:pPr>
                    <w:pStyle w:val="2"/>
                    <w:jc w:val="center"/>
                    <w:rPr>
                      <w:color w:val="auto"/>
                    </w:rPr>
                  </w:pPr>
                  <w:r>
                    <w:rPr>
                      <w:rFonts w:hint="eastAsia"/>
                      <w:color w:val="auto"/>
                      <w:lang w:val="en-US" w:eastAsia="zh-CN"/>
                    </w:rPr>
                    <w:t>江城卫生院</w:t>
                  </w:r>
                  <w:r>
                    <w:rPr>
                      <w:color w:val="auto"/>
                    </w:rPr>
                    <w:t>DW001综合污水排放口</w:t>
                  </w:r>
                </w:p>
              </w:tc>
              <w:tc>
                <w:tcPr>
                  <w:tcW w:w="1184" w:type="dxa"/>
                  <w:vMerge w:val="restart"/>
                  <w:vAlign w:val="center"/>
                </w:tcPr>
                <w:p w14:paraId="6AC07212">
                  <w:pPr>
                    <w:pStyle w:val="2"/>
                    <w:jc w:val="center"/>
                    <w:rPr>
                      <w:color w:val="auto"/>
                    </w:rPr>
                  </w:pPr>
                  <w:r>
                    <w:rPr>
                      <w:color w:val="auto"/>
                    </w:rPr>
                    <w:t>一般排放口</w:t>
                  </w:r>
                </w:p>
              </w:tc>
              <w:tc>
                <w:tcPr>
                  <w:tcW w:w="2060" w:type="dxa"/>
                  <w:vMerge w:val="restart"/>
                  <w:vAlign w:val="center"/>
                </w:tcPr>
                <w:p w14:paraId="47289001">
                  <w:pPr>
                    <w:pStyle w:val="2"/>
                    <w:jc w:val="center"/>
                    <w:rPr>
                      <w:color w:val="auto"/>
                    </w:rPr>
                  </w:pPr>
                  <w:r>
                    <w:rPr>
                      <w:rFonts w:hint="default" w:ascii="Times New Roman" w:hAnsi="Times New Roman" w:cs="Times New Roman"/>
                      <w:color w:val="auto"/>
                      <w:lang w:val="en-US" w:eastAsia="zh-CN"/>
                    </w:rPr>
                    <w:t>102°48′18.48371″,24°25′44.22617″,1736.521</w:t>
                  </w:r>
                </w:p>
              </w:tc>
              <w:tc>
                <w:tcPr>
                  <w:tcW w:w="1165" w:type="dxa"/>
                  <w:vMerge w:val="restart"/>
                  <w:vAlign w:val="center"/>
                </w:tcPr>
                <w:p w14:paraId="79EE6383">
                  <w:pPr>
                    <w:pStyle w:val="2"/>
                    <w:jc w:val="center"/>
                    <w:rPr>
                      <w:rFonts w:hint="default" w:eastAsia="宋体"/>
                      <w:color w:val="auto"/>
                      <w:lang w:val="en-US" w:eastAsia="zh-CN"/>
                    </w:rPr>
                  </w:pPr>
                  <w:r>
                    <w:rPr>
                      <w:rFonts w:hint="eastAsia"/>
                      <w:color w:val="auto"/>
                      <w:lang w:val="en-US" w:eastAsia="zh-CN"/>
                    </w:rPr>
                    <w:t>0.5</w:t>
                  </w:r>
                </w:p>
              </w:tc>
              <w:tc>
                <w:tcPr>
                  <w:tcW w:w="1216" w:type="dxa"/>
                  <w:vMerge w:val="restart"/>
                  <w:vAlign w:val="center"/>
                </w:tcPr>
                <w:p w14:paraId="6B2EC62B">
                  <w:pPr>
                    <w:pStyle w:val="2"/>
                    <w:jc w:val="center"/>
                    <w:rPr>
                      <w:color w:val="auto"/>
                    </w:rPr>
                  </w:pPr>
                  <w:r>
                    <w:rPr>
                      <w:color w:val="auto"/>
                    </w:rPr>
                    <w:t>市政污水处理厂</w:t>
                  </w:r>
                </w:p>
              </w:tc>
              <w:tc>
                <w:tcPr>
                  <w:tcW w:w="1216" w:type="dxa"/>
                  <w:vMerge w:val="restart"/>
                  <w:vAlign w:val="center"/>
                </w:tcPr>
                <w:p w14:paraId="18A1BC00">
                  <w:pPr>
                    <w:pStyle w:val="2"/>
                    <w:jc w:val="center"/>
                    <w:rPr>
                      <w:color w:val="auto"/>
                    </w:rPr>
                  </w:pPr>
                  <w:r>
                    <w:rPr>
                      <w:color w:val="auto"/>
                    </w:rPr>
                    <w:t>无规律</w:t>
                  </w:r>
                </w:p>
              </w:tc>
              <w:tc>
                <w:tcPr>
                  <w:tcW w:w="1216" w:type="dxa"/>
                  <w:vMerge w:val="restart"/>
                  <w:vAlign w:val="center"/>
                </w:tcPr>
                <w:p w14:paraId="6239A7EB">
                  <w:pPr>
                    <w:pStyle w:val="2"/>
                    <w:jc w:val="center"/>
                    <w:rPr>
                      <w:color w:val="auto"/>
                    </w:rPr>
                  </w:pPr>
                  <w:r>
                    <w:rPr>
                      <w:color w:val="auto"/>
                    </w:rPr>
                    <w:t>-</w:t>
                  </w:r>
                </w:p>
              </w:tc>
              <w:tc>
                <w:tcPr>
                  <w:tcW w:w="1216" w:type="dxa"/>
                  <w:vMerge w:val="restart"/>
                  <w:vAlign w:val="center"/>
                </w:tcPr>
                <w:p w14:paraId="2FC22F87">
                  <w:pPr>
                    <w:pStyle w:val="2"/>
                    <w:jc w:val="center"/>
                    <w:rPr>
                      <w:color w:val="auto"/>
                    </w:rPr>
                  </w:pPr>
                  <w:r>
                    <w:rPr>
                      <w:rFonts w:hint="eastAsia"/>
                      <w:color w:val="auto"/>
                      <w:lang w:val="en-US" w:eastAsia="zh-CN"/>
                    </w:rPr>
                    <w:t>星云湖北片区污水处理厂</w:t>
                  </w:r>
                </w:p>
              </w:tc>
              <w:tc>
                <w:tcPr>
                  <w:tcW w:w="1216" w:type="dxa"/>
                  <w:vAlign w:val="center"/>
                </w:tcPr>
                <w:p w14:paraId="6958EE57">
                  <w:pPr>
                    <w:pStyle w:val="2"/>
                    <w:jc w:val="center"/>
                    <w:rPr>
                      <w:color w:val="auto"/>
                    </w:rPr>
                  </w:pPr>
                  <w:r>
                    <w:rPr>
                      <w:color w:val="auto"/>
                      <w:sz w:val="21"/>
                      <w:szCs w:val="21"/>
                    </w:rPr>
                    <w:t>COD</w:t>
                  </w:r>
                </w:p>
              </w:tc>
              <w:tc>
                <w:tcPr>
                  <w:tcW w:w="1216" w:type="dxa"/>
                  <w:vAlign w:val="center"/>
                </w:tcPr>
                <w:p w14:paraId="1D1A999A">
                  <w:pPr>
                    <w:pStyle w:val="2"/>
                    <w:jc w:val="center"/>
                    <w:rPr>
                      <w:color w:val="auto"/>
                    </w:rPr>
                  </w:pPr>
                  <w:r>
                    <w:rPr>
                      <w:color w:val="auto"/>
                      <w:sz w:val="21"/>
                      <w:szCs w:val="21"/>
                    </w:rPr>
                    <w:t>250</w:t>
                  </w:r>
                </w:p>
              </w:tc>
            </w:tr>
            <w:tr w14:paraId="58DB0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4E7A6AD0">
                  <w:pPr>
                    <w:pStyle w:val="2"/>
                    <w:jc w:val="center"/>
                    <w:rPr>
                      <w:color w:val="auto"/>
                    </w:rPr>
                  </w:pPr>
                </w:p>
              </w:tc>
              <w:tc>
                <w:tcPr>
                  <w:tcW w:w="1134" w:type="dxa"/>
                  <w:vMerge w:val="continue"/>
                  <w:vAlign w:val="center"/>
                </w:tcPr>
                <w:p w14:paraId="4BF66EB5">
                  <w:pPr>
                    <w:pStyle w:val="2"/>
                    <w:jc w:val="center"/>
                    <w:rPr>
                      <w:color w:val="auto"/>
                    </w:rPr>
                  </w:pPr>
                </w:p>
              </w:tc>
              <w:tc>
                <w:tcPr>
                  <w:tcW w:w="1184" w:type="dxa"/>
                  <w:vMerge w:val="continue"/>
                  <w:vAlign w:val="center"/>
                </w:tcPr>
                <w:p w14:paraId="08BADCED">
                  <w:pPr>
                    <w:pStyle w:val="2"/>
                    <w:jc w:val="center"/>
                    <w:rPr>
                      <w:color w:val="auto"/>
                    </w:rPr>
                  </w:pPr>
                </w:p>
              </w:tc>
              <w:tc>
                <w:tcPr>
                  <w:tcW w:w="2060" w:type="dxa"/>
                  <w:vMerge w:val="continue"/>
                  <w:vAlign w:val="center"/>
                </w:tcPr>
                <w:p w14:paraId="517DCFA6">
                  <w:pPr>
                    <w:pStyle w:val="2"/>
                    <w:jc w:val="center"/>
                    <w:rPr>
                      <w:color w:val="auto"/>
                    </w:rPr>
                  </w:pPr>
                </w:p>
              </w:tc>
              <w:tc>
                <w:tcPr>
                  <w:tcW w:w="1165" w:type="dxa"/>
                  <w:vMerge w:val="continue"/>
                  <w:vAlign w:val="center"/>
                </w:tcPr>
                <w:p w14:paraId="68995CF7">
                  <w:pPr>
                    <w:pStyle w:val="2"/>
                    <w:jc w:val="center"/>
                    <w:rPr>
                      <w:color w:val="auto"/>
                    </w:rPr>
                  </w:pPr>
                </w:p>
              </w:tc>
              <w:tc>
                <w:tcPr>
                  <w:tcW w:w="1216" w:type="dxa"/>
                  <w:vMerge w:val="continue"/>
                  <w:vAlign w:val="center"/>
                </w:tcPr>
                <w:p w14:paraId="0BFAAF64">
                  <w:pPr>
                    <w:pStyle w:val="2"/>
                    <w:jc w:val="center"/>
                    <w:rPr>
                      <w:color w:val="auto"/>
                    </w:rPr>
                  </w:pPr>
                </w:p>
              </w:tc>
              <w:tc>
                <w:tcPr>
                  <w:tcW w:w="1216" w:type="dxa"/>
                  <w:vMerge w:val="continue"/>
                  <w:vAlign w:val="center"/>
                </w:tcPr>
                <w:p w14:paraId="688216B0">
                  <w:pPr>
                    <w:pStyle w:val="2"/>
                    <w:jc w:val="center"/>
                    <w:rPr>
                      <w:color w:val="auto"/>
                    </w:rPr>
                  </w:pPr>
                </w:p>
              </w:tc>
              <w:tc>
                <w:tcPr>
                  <w:tcW w:w="1216" w:type="dxa"/>
                  <w:vMerge w:val="continue"/>
                  <w:vAlign w:val="center"/>
                </w:tcPr>
                <w:p w14:paraId="635C54B3">
                  <w:pPr>
                    <w:pStyle w:val="2"/>
                    <w:jc w:val="center"/>
                    <w:rPr>
                      <w:color w:val="auto"/>
                    </w:rPr>
                  </w:pPr>
                </w:p>
              </w:tc>
              <w:tc>
                <w:tcPr>
                  <w:tcW w:w="1216" w:type="dxa"/>
                  <w:vMerge w:val="continue"/>
                  <w:vAlign w:val="center"/>
                </w:tcPr>
                <w:p w14:paraId="658CE8C9">
                  <w:pPr>
                    <w:pStyle w:val="2"/>
                    <w:jc w:val="center"/>
                    <w:rPr>
                      <w:color w:val="auto"/>
                    </w:rPr>
                  </w:pPr>
                </w:p>
              </w:tc>
              <w:tc>
                <w:tcPr>
                  <w:tcW w:w="1216" w:type="dxa"/>
                  <w:vAlign w:val="center"/>
                </w:tcPr>
                <w:p w14:paraId="1E6462A0">
                  <w:pPr>
                    <w:pStyle w:val="2"/>
                    <w:jc w:val="center"/>
                    <w:rPr>
                      <w:color w:val="auto"/>
                      <w:sz w:val="21"/>
                      <w:szCs w:val="21"/>
                    </w:rPr>
                  </w:pPr>
                  <w:r>
                    <w:rPr>
                      <w:color w:val="auto"/>
                      <w:sz w:val="21"/>
                      <w:szCs w:val="21"/>
                    </w:rPr>
                    <w:t>BOD</w:t>
                  </w:r>
                  <w:r>
                    <w:rPr>
                      <w:color w:val="auto"/>
                      <w:sz w:val="21"/>
                      <w:szCs w:val="21"/>
                      <w:vertAlign w:val="subscript"/>
                    </w:rPr>
                    <w:t>5</w:t>
                  </w:r>
                </w:p>
              </w:tc>
              <w:tc>
                <w:tcPr>
                  <w:tcW w:w="1216" w:type="dxa"/>
                  <w:vAlign w:val="center"/>
                </w:tcPr>
                <w:p w14:paraId="7B95A2C2">
                  <w:pPr>
                    <w:pStyle w:val="2"/>
                    <w:jc w:val="center"/>
                    <w:rPr>
                      <w:color w:val="auto"/>
                    </w:rPr>
                  </w:pPr>
                  <w:r>
                    <w:rPr>
                      <w:color w:val="auto"/>
                      <w:sz w:val="21"/>
                      <w:szCs w:val="21"/>
                    </w:rPr>
                    <w:t>100</w:t>
                  </w:r>
                </w:p>
              </w:tc>
            </w:tr>
            <w:tr w14:paraId="55324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7C0B558E">
                  <w:pPr>
                    <w:pStyle w:val="2"/>
                    <w:jc w:val="center"/>
                    <w:rPr>
                      <w:color w:val="auto"/>
                    </w:rPr>
                  </w:pPr>
                </w:p>
              </w:tc>
              <w:tc>
                <w:tcPr>
                  <w:tcW w:w="1134" w:type="dxa"/>
                  <w:vMerge w:val="continue"/>
                  <w:vAlign w:val="center"/>
                </w:tcPr>
                <w:p w14:paraId="2D1CE066">
                  <w:pPr>
                    <w:pStyle w:val="2"/>
                    <w:jc w:val="center"/>
                    <w:rPr>
                      <w:color w:val="auto"/>
                    </w:rPr>
                  </w:pPr>
                </w:p>
              </w:tc>
              <w:tc>
                <w:tcPr>
                  <w:tcW w:w="1184" w:type="dxa"/>
                  <w:vMerge w:val="continue"/>
                  <w:vAlign w:val="center"/>
                </w:tcPr>
                <w:p w14:paraId="6F7F8909">
                  <w:pPr>
                    <w:pStyle w:val="2"/>
                    <w:jc w:val="center"/>
                    <w:rPr>
                      <w:color w:val="auto"/>
                    </w:rPr>
                  </w:pPr>
                </w:p>
              </w:tc>
              <w:tc>
                <w:tcPr>
                  <w:tcW w:w="2060" w:type="dxa"/>
                  <w:vMerge w:val="continue"/>
                  <w:vAlign w:val="center"/>
                </w:tcPr>
                <w:p w14:paraId="07410F57">
                  <w:pPr>
                    <w:pStyle w:val="2"/>
                    <w:jc w:val="center"/>
                    <w:rPr>
                      <w:color w:val="auto"/>
                    </w:rPr>
                  </w:pPr>
                </w:p>
              </w:tc>
              <w:tc>
                <w:tcPr>
                  <w:tcW w:w="1165" w:type="dxa"/>
                  <w:vMerge w:val="continue"/>
                  <w:vAlign w:val="center"/>
                </w:tcPr>
                <w:p w14:paraId="3BF7AE4F">
                  <w:pPr>
                    <w:pStyle w:val="2"/>
                    <w:jc w:val="center"/>
                    <w:rPr>
                      <w:color w:val="auto"/>
                    </w:rPr>
                  </w:pPr>
                </w:p>
              </w:tc>
              <w:tc>
                <w:tcPr>
                  <w:tcW w:w="1216" w:type="dxa"/>
                  <w:vMerge w:val="continue"/>
                  <w:vAlign w:val="center"/>
                </w:tcPr>
                <w:p w14:paraId="6047B138">
                  <w:pPr>
                    <w:pStyle w:val="2"/>
                    <w:jc w:val="center"/>
                    <w:rPr>
                      <w:color w:val="auto"/>
                    </w:rPr>
                  </w:pPr>
                </w:p>
              </w:tc>
              <w:tc>
                <w:tcPr>
                  <w:tcW w:w="1216" w:type="dxa"/>
                  <w:vMerge w:val="continue"/>
                  <w:vAlign w:val="center"/>
                </w:tcPr>
                <w:p w14:paraId="185C6842">
                  <w:pPr>
                    <w:pStyle w:val="2"/>
                    <w:jc w:val="center"/>
                    <w:rPr>
                      <w:color w:val="auto"/>
                    </w:rPr>
                  </w:pPr>
                </w:p>
              </w:tc>
              <w:tc>
                <w:tcPr>
                  <w:tcW w:w="1216" w:type="dxa"/>
                  <w:vMerge w:val="continue"/>
                  <w:vAlign w:val="center"/>
                </w:tcPr>
                <w:p w14:paraId="1E28FE96">
                  <w:pPr>
                    <w:pStyle w:val="2"/>
                    <w:jc w:val="center"/>
                    <w:rPr>
                      <w:color w:val="auto"/>
                    </w:rPr>
                  </w:pPr>
                </w:p>
              </w:tc>
              <w:tc>
                <w:tcPr>
                  <w:tcW w:w="1216" w:type="dxa"/>
                  <w:vMerge w:val="continue"/>
                  <w:vAlign w:val="center"/>
                </w:tcPr>
                <w:p w14:paraId="2E95A996">
                  <w:pPr>
                    <w:pStyle w:val="2"/>
                    <w:jc w:val="center"/>
                    <w:rPr>
                      <w:color w:val="auto"/>
                    </w:rPr>
                  </w:pPr>
                </w:p>
              </w:tc>
              <w:tc>
                <w:tcPr>
                  <w:tcW w:w="1216" w:type="dxa"/>
                  <w:vAlign w:val="center"/>
                </w:tcPr>
                <w:p w14:paraId="03C83821">
                  <w:pPr>
                    <w:pStyle w:val="2"/>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216" w:type="dxa"/>
                  <w:vAlign w:val="center"/>
                </w:tcPr>
                <w:p w14:paraId="484775AA">
                  <w:pPr>
                    <w:pStyle w:val="2"/>
                    <w:jc w:val="center"/>
                    <w:rPr>
                      <w:color w:val="auto"/>
                    </w:rPr>
                  </w:pPr>
                  <w:r>
                    <w:rPr>
                      <w:color w:val="auto"/>
                      <w:sz w:val="21"/>
                      <w:szCs w:val="21"/>
                    </w:rPr>
                    <w:t>-</w:t>
                  </w:r>
                </w:p>
              </w:tc>
            </w:tr>
            <w:tr w14:paraId="6E90E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27" w:type="dxa"/>
                  <w:vMerge w:val="continue"/>
                  <w:vAlign w:val="center"/>
                </w:tcPr>
                <w:p w14:paraId="582C66D7">
                  <w:pPr>
                    <w:pStyle w:val="2"/>
                    <w:jc w:val="center"/>
                    <w:rPr>
                      <w:color w:val="auto"/>
                    </w:rPr>
                  </w:pPr>
                </w:p>
              </w:tc>
              <w:tc>
                <w:tcPr>
                  <w:tcW w:w="1134" w:type="dxa"/>
                  <w:vMerge w:val="continue"/>
                  <w:vAlign w:val="center"/>
                </w:tcPr>
                <w:p w14:paraId="682631AE">
                  <w:pPr>
                    <w:pStyle w:val="2"/>
                    <w:jc w:val="center"/>
                    <w:rPr>
                      <w:color w:val="auto"/>
                    </w:rPr>
                  </w:pPr>
                </w:p>
              </w:tc>
              <w:tc>
                <w:tcPr>
                  <w:tcW w:w="1184" w:type="dxa"/>
                  <w:vMerge w:val="continue"/>
                  <w:vAlign w:val="center"/>
                </w:tcPr>
                <w:p w14:paraId="7FD8D221">
                  <w:pPr>
                    <w:pStyle w:val="2"/>
                    <w:jc w:val="center"/>
                    <w:rPr>
                      <w:color w:val="auto"/>
                    </w:rPr>
                  </w:pPr>
                </w:p>
              </w:tc>
              <w:tc>
                <w:tcPr>
                  <w:tcW w:w="2060" w:type="dxa"/>
                  <w:vMerge w:val="continue"/>
                  <w:vAlign w:val="center"/>
                </w:tcPr>
                <w:p w14:paraId="040B4C62">
                  <w:pPr>
                    <w:pStyle w:val="2"/>
                    <w:jc w:val="center"/>
                    <w:rPr>
                      <w:color w:val="auto"/>
                    </w:rPr>
                  </w:pPr>
                </w:p>
              </w:tc>
              <w:tc>
                <w:tcPr>
                  <w:tcW w:w="1165" w:type="dxa"/>
                  <w:vMerge w:val="continue"/>
                  <w:vAlign w:val="center"/>
                </w:tcPr>
                <w:p w14:paraId="324FFECB">
                  <w:pPr>
                    <w:pStyle w:val="2"/>
                    <w:jc w:val="center"/>
                    <w:rPr>
                      <w:color w:val="auto"/>
                    </w:rPr>
                  </w:pPr>
                </w:p>
              </w:tc>
              <w:tc>
                <w:tcPr>
                  <w:tcW w:w="1216" w:type="dxa"/>
                  <w:vMerge w:val="continue"/>
                  <w:vAlign w:val="center"/>
                </w:tcPr>
                <w:p w14:paraId="409C196A">
                  <w:pPr>
                    <w:pStyle w:val="2"/>
                    <w:jc w:val="center"/>
                    <w:rPr>
                      <w:color w:val="auto"/>
                    </w:rPr>
                  </w:pPr>
                </w:p>
              </w:tc>
              <w:tc>
                <w:tcPr>
                  <w:tcW w:w="1216" w:type="dxa"/>
                  <w:vMerge w:val="continue"/>
                  <w:vAlign w:val="center"/>
                </w:tcPr>
                <w:p w14:paraId="6C0D24E6">
                  <w:pPr>
                    <w:pStyle w:val="2"/>
                    <w:jc w:val="center"/>
                    <w:rPr>
                      <w:color w:val="auto"/>
                    </w:rPr>
                  </w:pPr>
                </w:p>
              </w:tc>
              <w:tc>
                <w:tcPr>
                  <w:tcW w:w="1216" w:type="dxa"/>
                  <w:vMerge w:val="continue"/>
                  <w:vAlign w:val="center"/>
                </w:tcPr>
                <w:p w14:paraId="1A03D20E">
                  <w:pPr>
                    <w:pStyle w:val="2"/>
                    <w:jc w:val="center"/>
                    <w:rPr>
                      <w:color w:val="auto"/>
                    </w:rPr>
                  </w:pPr>
                </w:p>
              </w:tc>
              <w:tc>
                <w:tcPr>
                  <w:tcW w:w="1216" w:type="dxa"/>
                  <w:vMerge w:val="continue"/>
                  <w:vAlign w:val="center"/>
                </w:tcPr>
                <w:p w14:paraId="25C9D0F7">
                  <w:pPr>
                    <w:pStyle w:val="2"/>
                    <w:jc w:val="center"/>
                    <w:rPr>
                      <w:color w:val="auto"/>
                    </w:rPr>
                  </w:pPr>
                </w:p>
              </w:tc>
              <w:tc>
                <w:tcPr>
                  <w:tcW w:w="1216" w:type="dxa"/>
                  <w:vAlign w:val="center"/>
                </w:tcPr>
                <w:p w14:paraId="60FFA1E7">
                  <w:pPr>
                    <w:pStyle w:val="2"/>
                    <w:jc w:val="center"/>
                    <w:rPr>
                      <w:color w:val="auto"/>
                      <w:sz w:val="21"/>
                      <w:szCs w:val="21"/>
                    </w:rPr>
                  </w:pPr>
                  <w:r>
                    <w:rPr>
                      <w:color w:val="auto"/>
                      <w:sz w:val="21"/>
                      <w:szCs w:val="21"/>
                    </w:rPr>
                    <w:t>SS</w:t>
                  </w:r>
                </w:p>
              </w:tc>
              <w:tc>
                <w:tcPr>
                  <w:tcW w:w="1216" w:type="dxa"/>
                  <w:vAlign w:val="center"/>
                </w:tcPr>
                <w:p w14:paraId="1FBDA95A">
                  <w:pPr>
                    <w:pStyle w:val="2"/>
                    <w:jc w:val="center"/>
                    <w:rPr>
                      <w:color w:val="auto"/>
                    </w:rPr>
                  </w:pPr>
                  <w:r>
                    <w:rPr>
                      <w:color w:val="auto"/>
                      <w:sz w:val="21"/>
                      <w:szCs w:val="21"/>
                    </w:rPr>
                    <w:t>60</w:t>
                  </w:r>
                </w:p>
              </w:tc>
            </w:tr>
          </w:tbl>
          <w:p w14:paraId="760A9F2F">
            <w:pPr>
              <w:pStyle w:val="2"/>
              <w:widowControl/>
              <w:jc w:val="left"/>
              <w:rPr>
                <w:rFonts w:hint="eastAsia" w:eastAsia="宋体"/>
                <w:b/>
                <w:bCs/>
                <w:color w:val="auto"/>
                <w:kern w:val="0"/>
                <w:sz w:val="28"/>
                <w:szCs w:val="28"/>
                <w:lang w:eastAsia="zh-CN" w:bidi="ar"/>
              </w:rPr>
            </w:pPr>
            <w:r>
              <w:rPr>
                <w:rFonts w:hint="eastAsia"/>
                <w:b/>
                <w:bCs/>
                <w:color w:val="auto"/>
                <w:sz w:val="28"/>
                <w:szCs w:val="28"/>
                <w:lang w:val="en-US" w:eastAsia="zh-CN"/>
              </w:rPr>
              <w:t>4、</w:t>
            </w:r>
            <w:r>
              <w:rPr>
                <w:rFonts w:hint="eastAsia"/>
                <w:b/>
                <w:bCs/>
                <w:color w:val="auto"/>
                <w:sz w:val="28"/>
                <w:szCs w:val="28"/>
              </w:rPr>
              <w:t>废水类型、污染物及污染治理设施信息</w:t>
            </w:r>
            <w:r>
              <w:rPr>
                <w:rFonts w:hint="eastAsia"/>
                <w:b/>
                <w:bCs/>
                <w:color w:val="auto"/>
                <w:sz w:val="28"/>
                <w:szCs w:val="28"/>
                <w:lang w:eastAsia="zh-CN"/>
              </w:rPr>
              <w:t>：</w:t>
            </w:r>
          </w:p>
          <w:p w14:paraId="6ABCC2A6">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11</w:t>
            </w:r>
            <w:r>
              <w:rPr>
                <w:rFonts w:ascii="Times New Roman" w:hAnsi="Times New Roman" w:eastAsia="宋体"/>
                <w:b/>
                <w:bCs/>
                <w:color w:val="auto"/>
              </w:rPr>
              <w:t>废水类型、污染物及污染治理设施信息表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134"/>
              <w:gridCol w:w="1134"/>
              <w:gridCol w:w="1134"/>
              <w:gridCol w:w="1418"/>
              <w:gridCol w:w="1417"/>
              <w:gridCol w:w="1276"/>
              <w:gridCol w:w="1276"/>
              <w:gridCol w:w="850"/>
              <w:gridCol w:w="1134"/>
              <w:gridCol w:w="1862"/>
            </w:tblGrid>
            <w:tr w14:paraId="5D941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744" w:type="dxa"/>
                  <w:vMerge w:val="restart"/>
                  <w:vAlign w:val="center"/>
                </w:tcPr>
                <w:p w14:paraId="626B5B3E">
                  <w:pPr>
                    <w:pStyle w:val="2"/>
                    <w:jc w:val="center"/>
                    <w:rPr>
                      <w:color w:val="auto"/>
                    </w:rPr>
                  </w:pPr>
                  <w:r>
                    <w:rPr>
                      <w:color w:val="auto"/>
                    </w:rPr>
                    <w:t>序号</w:t>
                  </w:r>
                </w:p>
              </w:tc>
              <w:tc>
                <w:tcPr>
                  <w:tcW w:w="1134" w:type="dxa"/>
                  <w:vMerge w:val="restart"/>
                  <w:vAlign w:val="center"/>
                </w:tcPr>
                <w:p w14:paraId="6BEDD6F6">
                  <w:pPr>
                    <w:pStyle w:val="2"/>
                    <w:jc w:val="center"/>
                    <w:rPr>
                      <w:color w:val="auto"/>
                    </w:rPr>
                  </w:pPr>
                  <w:r>
                    <w:rPr>
                      <w:color w:val="auto"/>
                    </w:rPr>
                    <w:t>废水类别</w:t>
                  </w:r>
                </w:p>
              </w:tc>
              <w:tc>
                <w:tcPr>
                  <w:tcW w:w="1134" w:type="dxa"/>
                  <w:vMerge w:val="restart"/>
                  <w:vAlign w:val="center"/>
                </w:tcPr>
                <w:p w14:paraId="44635E60">
                  <w:pPr>
                    <w:pStyle w:val="2"/>
                    <w:jc w:val="center"/>
                    <w:rPr>
                      <w:color w:val="auto"/>
                    </w:rPr>
                  </w:pPr>
                  <w:r>
                    <w:rPr>
                      <w:color w:val="auto"/>
                    </w:rPr>
                    <w:t>污染物种类</w:t>
                  </w:r>
                </w:p>
              </w:tc>
              <w:tc>
                <w:tcPr>
                  <w:tcW w:w="1134" w:type="dxa"/>
                  <w:vMerge w:val="restart"/>
                  <w:vAlign w:val="center"/>
                </w:tcPr>
                <w:p w14:paraId="58E99D6C">
                  <w:pPr>
                    <w:pStyle w:val="2"/>
                    <w:jc w:val="center"/>
                    <w:rPr>
                      <w:color w:val="auto"/>
                    </w:rPr>
                  </w:pPr>
                  <w:r>
                    <w:rPr>
                      <w:color w:val="auto"/>
                    </w:rPr>
                    <w:t>排放去向</w:t>
                  </w:r>
                </w:p>
              </w:tc>
              <w:tc>
                <w:tcPr>
                  <w:tcW w:w="1418" w:type="dxa"/>
                  <w:vMerge w:val="restart"/>
                  <w:vAlign w:val="center"/>
                </w:tcPr>
                <w:p w14:paraId="77318020">
                  <w:pPr>
                    <w:pStyle w:val="2"/>
                    <w:jc w:val="center"/>
                    <w:rPr>
                      <w:color w:val="auto"/>
                    </w:rPr>
                  </w:pPr>
                  <w:r>
                    <w:rPr>
                      <w:color w:val="auto"/>
                    </w:rPr>
                    <w:t>排放规律</w:t>
                  </w:r>
                </w:p>
              </w:tc>
              <w:tc>
                <w:tcPr>
                  <w:tcW w:w="3969" w:type="dxa"/>
                  <w:gridSpan w:val="3"/>
                  <w:vAlign w:val="center"/>
                </w:tcPr>
                <w:p w14:paraId="5FDF6034">
                  <w:pPr>
                    <w:pStyle w:val="2"/>
                    <w:jc w:val="center"/>
                    <w:rPr>
                      <w:color w:val="auto"/>
                    </w:rPr>
                  </w:pPr>
                  <w:r>
                    <w:rPr>
                      <w:color w:val="auto"/>
                    </w:rPr>
                    <w:t>污染治理设施</w:t>
                  </w:r>
                </w:p>
              </w:tc>
              <w:tc>
                <w:tcPr>
                  <w:tcW w:w="850" w:type="dxa"/>
                  <w:vMerge w:val="restart"/>
                  <w:vAlign w:val="center"/>
                </w:tcPr>
                <w:p w14:paraId="15851A0F">
                  <w:pPr>
                    <w:pStyle w:val="2"/>
                    <w:jc w:val="center"/>
                    <w:rPr>
                      <w:color w:val="auto"/>
                    </w:rPr>
                  </w:pPr>
                  <w:r>
                    <w:rPr>
                      <w:color w:val="auto"/>
                    </w:rPr>
                    <w:t>排放口编号</w:t>
                  </w:r>
                </w:p>
              </w:tc>
              <w:tc>
                <w:tcPr>
                  <w:tcW w:w="1134" w:type="dxa"/>
                  <w:vMerge w:val="restart"/>
                  <w:vAlign w:val="center"/>
                </w:tcPr>
                <w:p w14:paraId="7EAD01B2">
                  <w:pPr>
                    <w:pStyle w:val="2"/>
                    <w:jc w:val="center"/>
                    <w:rPr>
                      <w:color w:val="auto"/>
                    </w:rPr>
                  </w:pPr>
                  <w:r>
                    <w:rPr>
                      <w:color w:val="auto"/>
                    </w:rPr>
                    <w:t>排放口设施是否符合要求</w:t>
                  </w:r>
                </w:p>
              </w:tc>
              <w:tc>
                <w:tcPr>
                  <w:tcW w:w="1862" w:type="dxa"/>
                  <w:vMerge w:val="restart"/>
                  <w:vAlign w:val="center"/>
                </w:tcPr>
                <w:p w14:paraId="0A250E95">
                  <w:pPr>
                    <w:pStyle w:val="2"/>
                    <w:jc w:val="center"/>
                    <w:rPr>
                      <w:color w:val="auto"/>
                    </w:rPr>
                  </w:pPr>
                  <w:r>
                    <w:rPr>
                      <w:color w:val="auto"/>
                    </w:rPr>
                    <w:t>排放口类型</w:t>
                  </w:r>
                </w:p>
              </w:tc>
            </w:tr>
            <w:tr w14:paraId="0CD25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744" w:type="dxa"/>
                  <w:vMerge w:val="continue"/>
                  <w:vAlign w:val="center"/>
                </w:tcPr>
                <w:p w14:paraId="0BA6D447">
                  <w:pPr>
                    <w:pStyle w:val="2"/>
                    <w:jc w:val="center"/>
                    <w:rPr>
                      <w:color w:val="auto"/>
                    </w:rPr>
                  </w:pPr>
                </w:p>
              </w:tc>
              <w:tc>
                <w:tcPr>
                  <w:tcW w:w="1134" w:type="dxa"/>
                  <w:vMerge w:val="continue"/>
                  <w:vAlign w:val="center"/>
                </w:tcPr>
                <w:p w14:paraId="38C3525D">
                  <w:pPr>
                    <w:pStyle w:val="2"/>
                    <w:jc w:val="center"/>
                    <w:rPr>
                      <w:color w:val="auto"/>
                    </w:rPr>
                  </w:pPr>
                </w:p>
              </w:tc>
              <w:tc>
                <w:tcPr>
                  <w:tcW w:w="1134" w:type="dxa"/>
                  <w:vMerge w:val="continue"/>
                  <w:vAlign w:val="center"/>
                </w:tcPr>
                <w:p w14:paraId="06141004">
                  <w:pPr>
                    <w:pStyle w:val="2"/>
                    <w:jc w:val="center"/>
                    <w:rPr>
                      <w:color w:val="auto"/>
                    </w:rPr>
                  </w:pPr>
                </w:p>
              </w:tc>
              <w:tc>
                <w:tcPr>
                  <w:tcW w:w="1134" w:type="dxa"/>
                  <w:vMerge w:val="continue"/>
                  <w:vAlign w:val="center"/>
                </w:tcPr>
                <w:p w14:paraId="6ECC9EB7">
                  <w:pPr>
                    <w:pStyle w:val="2"/>
                    <w:jc w:val="center"/>
                    <w:rPr>
                      <w:color w:val="auto"/>
                    </w:rPr>
                  </w:pPr>
                </w:p>
              </w:tc>
              <w:tc>
                <w:tcPr>
                  <w:tcW w:w="1418" w:type="dxa"/>
                  <w:vMerge w:val="continue"/>
                  <w:vAlign w:val="center"/>
                </w:tcPr>
                <w:p w14:paraId="21E43069">
                  <w:pPr>
                    <w:pStyle w:val="2"/>
                    <w:jc w:val="center"/>
                    <w:rPr>
                      <w:color w:val="auto"/>
                    </w:rPr>
                  </w:pPr>
                </w:p>
              </w:tc>
              <w:tc>
                <w:tcPr>
                  <w:tcW w:w="1417" w:type="dxa"/>
                  <w:vAlign w:val="center"/>
                </w:tcPr>
                <w:p w14:paraId="651B8657">
                  <w:pPr>
                    <w:pStyle w:val="2"/>
                    <w:jc w:val="center"/>
                    <w:rPr>
                      <w:color w:val="auto"/>
                    </w:rPr>
                  </w:pPr>
                  <w:r>
                    <w:rPr>
                      <w:color w:val="auto"/>
                    </w:rPr>
                    <w:t>污染治理设施编号</w:t>
                  </w:r>
                </w:p>
              </w:tc>
              <w:tc>
                <w:tcPr>
                  <w:tcW w:w="1276" w:type="dxa"/>
                  <w:vAlign w:val="center"/>
                </w:tcPr>
                <w:p w14:paraId="72F2BE15">
                  <w:pPr>
                    <w:pStyle w:val="2"/>
                    <w:jc w:val="center"/>
                    <w:rPr>
                      <w:color w:val="auto"/>
                    </w:rPr>
                  </w:pPr>
                  <w:r>
                    <w:rPr>
                      <w:color w:val="auto"/>
                    </w:rPr>
                    <w:t>污染治理设施名称</w:t>
                  </w:r>
                </w:p>
              </w:tc>
              <w:tc>
                <w:tcPr>
                  <w:tcW w:w="1276" w:type="dxa"/>
                  <w:vAlign w:val="center"/>
                </w:tcPr>
                <w:p w14:paraId="19B323E5">
                  <w:pPr>
                    <w:pStyle w:val="2"/>
                    <w:jc w:val="center"/>
                    <w:rPr>
                      <w:color w:val="auto"/>
                    </w:rPr>
                  </w:pPr>
                  <w:r>
                    <w:rPr>
                      <w:color w:val="auto"/>
                    </w:rPr>
                    <w:t>污染治理设施工艺</w:t>
                  </w:r>
                </w:p>
              </w:tc>
              <w:tc>
                <w:tcPr>
                  <w:tcW w:w="850" w:type="dxa"/>
                  <w:vMerge w:val="continue"/>
                  <w:vAlign w:val="center"/>
                </w:tcPr>
                <w:p w14:paraId="3E3B91BF">
                  <w:pPr>
                    <w:pStyle w:val="2"/>
                    <w:jc w:val="center"/>
                    <w:rPr>
                      <w:color w:val="auto"/>
                    </w:rPr>
                  </w:pPr>
                </w:p>
              </w:tc>
              <w:tc>
                <w:tcPr>
                  <w:tcW w:w="1134" w:type="dxa"/>
                  <w:vMerge w:val="continue"/>
                  <w:vAlign w:val="center"/>
                </w:tcPr>
                <w:p w14:paraId="7285393F">
                  <w:pPr>
                    <w:pStyle w:val="2"/>
                    <w:jc w:val="center"/>
                    <w:rPr>
                      <w:color w:val="auto"/>
                    </w:rPr>
                  </w:pPr>
                </w:p>
              </w:tc>
              <w:tc>
                <w:tcPr>
                  <w:tcW w:w="1862" w:type="dxa"/>
                  <w:vMerge w:val="continue"/>
                  <w:vAlign w:val="center"/>
                </w:tcPr>
                <w:p w14:paraId="34592F17">
                  <w:pPr>
                    <w:pStyle w:val="2"/>
                    <w:jc w:val="center"/>
                    <w:rPr>
                      <w:color w:val="auto"/>
                    </w:rPr>
                  </w:pPr>
                </w:p>
              </w:tc>
            </w:tr>
            <w:tr w14:paraId="540D6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44" w:type="dxa"/>
                  <w:vAlign w:val="center"/>
                </w:tcPr>
                <w:p w14:paraId="72FFFB6F">
                  <w:pPr>
                    <w:pStyle w:val="2"/>
                    <w:jc w:val="center"/>
                    <w:rPr>
                      <w:color w:val="auto"/>
                      <w:highlight w:val="none"/>
                    </w:rPr>
                  </w:pPr>
                  <w:r>
                    <w:rPr>
                      <w:color w:val="auto"/>
                      <w:highlight w:val="none"/>
                    </w:rPr>
                    <w:t>1</w:t>
                  </w:r>
                </w:p>
              </w:tc>
              <w:tc>
                <w:tcPr>
                  <w:tcW w:w="1134" w:type="dxa"/>
                  <w:vAlign w:val="center"/>
                </w:tcPr>
                <w:p w14:paraId="13F98715">
                  <w:pPr>
                    <w:pStyle w:val="2"/>
                    <w:jc w:val="center"/>
                    <w:rPr>
                      <w:color w:val="auto"/>
                      <w:highlight w:val="none"/>
                    </w:rPr>
                  </w:pPr>
                  <w:r>
                    <w:rPr>
                      <w:color w:val="auto"/>
                      <w:highlight w:val="none"/>
                    </w:rPr>
                    <w:t>生活污水、医疗废水</w:t>
                  </w:r>
                </w:p>
              </w:tc>
              <w:tc>
                <w:tcPr>
                  <w:tcW w:w="1134" w:type="dxa"/>
                  <w:vAlign w:val="center"/>
                </w:tcPr>
                <w:p w14:paraId="6D1BE064">
                  <w:pPr>
                    <w:pStyle w:val="2"/>
                    <w:jc w:val="center"/>
                    <w:rPr>
                      <w:rFonts w:hint="eastAsia" w:eastAsia="宋体"/>
                      <w:color w:val="auto"/>
                      <w:highlight w:val="none"/>
                      <w:lang w:val="en-US" w:eastAsia="zh-CN"/>
                    </w:rPr>
                  </w:pPr>
                  <w:r>
                    <w:rPr>
                      <w:color w:val="auto"/>
                      <w:highlight w:val="none"/>
                    </w:rPr>
                    <w:t>COD、氨氮</w:t>
                  </w:r>
                  <w:r>
                    <w:rPr>
                      <w:rFonts w:hint="eastAsia"/>
                      <w:color w:val="auto"/>
                      <w:highlight w:val="none"/>
                      <w:lang w:val="en-US" w:eastAsia="zh-CN"/>
                    </w:rPr>
                    <w:t>等</w:t>
                  </w:r>
                </w:p>
              </w:tc>
              <w:tc>
                <w:tcPr>
                  <w:tcW w:w="1134" w:type="dxa"/>
                  <w:vAlign w:val="center"/>
                </w:tcPr>
                <w:p w14:paraId="7FF98AB3">
                  <w:pPr>
                    <w:pStyle w:val="2"/>
                    <w:jc w:val="center"/>
                    <w:rPr>
                      <w:rFonts w:hint="default" w:eastAsia="宋体"/>
                      <w:color w:val="auto"/>
                      <w:highlight w:val="none"/>
                      <w:lang w:val="en-US" w:eastAsia="zh-CN"/>
                    </w:rPr>
                  </w:pPr>
                  <w:r>
                    <w:rPr>
                      <w:rFonts w:hint="eastAsia"/>
                      <w:color w:val="auto"/>
                      <w:highlight w:val="none"/>
                      <w:lang w:val="en-US" w:eastAsia="zh-CN"/>
                    </w:rPr>
                    <w:t>星云湖南片区污水处理厂、星云湖北片区污水处理厂</w:t>
                  </w:r>
                </w:p>
              </w:tc>
              <w:tc>
                <w:tcPr>
                  <w:tcW w:w="1418" w:type="dxa"/>
                  <w:vAlign w:val="center"/>
                </w:tcPr>
                <w:p w14:paraId="02DFD069">
                  <w:pPr>
                    <w:pStyle w:val="2"/>
                    <w:jc w:val="center"/>
                    <w:rPr>
                      <w:color w:val="auto"/>
                      <w:highlight w:val="none"/>
                    </w:rPr>
                  </w:pPr>
                  <w:r>
                    <w:rPr>
                      <w:color w:val="auto"/>
                      <w:highlight w:val="none"/>
                    </w:rPr>
                    <w:t>间接排放，排放期间流量不稳定，无规律</w:t>
                  </w:r>
                </w:p>
              </w:tc>
              <w:tc>
                <w:tcPr>
                  <w:tcW w:w="1417" w:type="dxa"/>
                  <w:vAlign w:val="center"/>
                </w:tcPr>
                <w:p w14:paraId="492FC0B6">
                  <w:pPr>
                    <w:pStyle w:val="2"/>
                    <w:jc w:val="center"/>
                    <w:rPr>
                      <w:color w:val="auto"/>
                      <w:highlight w:val="none"/>
                    </w:rPr>
                  </w:pPr>
                  <w:r>
                    <w:rPr>
                      <w:rFonts w:hint="eastAsia"/>
                      <w:color w:val="auto"/>
                      <w:highlight w:val="none"/>
                      <w:lang w:val="en-US" w:eastAsia="zh-CN"/>
                    </w:rPr>
                    <w:t>江川区医共体总院</w:t>
                  </w:r>
                  <w:r>
                    <w:rPr>
                      <w:color w:val="auto"/>
                      <w:highlight w:val="none"/>
                    </w:rPr>
                    <w:t>TW001</w:t>
                  </w:r>
                  <w:r>
                    <w:rPr>
                      <w:rFonts w:hint="eastAsia"/>
                      <w:color w:val="auto"/>
                      <w:highlight w:val="none"/>
                      <w:lang w:val="en-US" w:eastAsia="zh-CN"/>
                    </w:rPr>
                    <w:t>江城镇卫生院</w:t>
                  </w:r>
                  <w:r>
                    <w:rPr>
                      <w:color w:val="auto"/>
                      <w:highlight w:val="none"/>
                    </w:rPr>
                    <w:t>TW001</w:t>
                  </w:r>
                </w:p>
                <w:p w14:paraId="03DDFC36">
                  <w:pPr>
                    <w:pStyle w:val="2"/>
                    <w:jc w:val="center"/>
                    <w:rPr>
                      <w:rFonts w:hint="default" w:eastAsia="宋体"/>
                      <w:color w:val="auto"/>
                      <w:highlight w:val="none"/>
                      <w:lang w:val="en-US" w:eastAsia="zh-CN"/>
                    </w:rPr>
                  </w:pPr>
                </w:p>
              </w:tc>
              <w:tc>
                <w:tcPr>
                  <w:tcW w:w="1276" w:type="dxa"/>
                  <w:vAlign w:val="center"/>
                </w:tcPr>
                <w:p w14:paraId="7E0D6429">
                  <w:pPr>
                    <w:pStyle w:val="2"/>
                    <w:jc w:val="center"/>
                    <w:rPr>
                      <w:color w:val="auto"/>
                      <w:highlight w:val="none"/>
                    </w:rPr>
                  </w:pPr>
                  <w:r>
                    <w:rPr>
                      <w:color w:val="auto"/>
                      <w:highlight w:val="none"/>
                    </w:rPr>
                    <w:t>污水处理站</w:t>
                  </w:r>
                </w:p>
              </w:tc>
              <w:tc>
                <w:tcPr>
                  <w:tcW w:w="1276" w:type="dxa"/>
                  <w:vAlign w:val="center"/>
                </w:tcPr>
                <w:p w14:paraId="72DED143">
                  <w:pPr>
                    <w:pStyle w:val="2"/>
                    <w:jc w:val="center"/>
                    <w:rPr>
                      <w:color w:val="auto"/>
                      <w:highlight w:val="none"/>
                    </w:rPr>
                  </w:pPr>
                  <w:r>
                    <w:rPr>
                      <w:color w:val="auto"/>
                      <w:highlight w:val="none"/>
                    </w:rPr>
                    <w:t>污水→格栅→调节池→沉淀→消毒→排放</w:t>
                  </w:r>
                </w:p>
              </w:tc>
              <w:tc>
                <w:tcPr>
                  <w:tcW w:w="850" w:type="dxa"/>
                  <w:vAlign w:val="center"/>
                </w:tcPr>
                <w:p w14:paraId="732DA99D">
                  <w:pPr>
                    <w:pStyle w:val="2"/>
                    <w:jc w:val="center"/>
                    <w:rPr>
                      <w:color w:val="auto"/>
                      <w:highlight w:val="none"/>
                    </w:rPr>
                  </w:pPr>
                  <w:r>
                    <w:rPr>
                      <w:rFonts w:hint="eastAsia"/>
                      <w:color w:val="auto"/>
                      <w:highlight w:val="none"/>
                      <w:lang w:val="en-US" w:eastAsia="zh-CN"/>
                    </w:rPr>
                    <w:t>江川区医共体总院</w:t>
                  </w:r>
                  <w:r>
                    <w:rPr>
                      <w:color w:val="auto"/>
                      <w:highlight w:val="none"/>
                    </w:rPr>
                    <w:t>DW001</w:t>
                  </w:r>
                  <w:r>
                    <w:rPr>
                      <w:rFonts w:hint="eastAsia"/>
                      <w:color w:val="auto"/>
                      <w:highlight w:val="none"/>
                      <w:lang w:val="en-US" w:eastAsia="zh-CN"/>
                    </w:rPr>
                    <w:t>江城镇卫生院</w:t>
                  </w:r>
                  <w:r>
                    <w:rPr>
                      <w:color w:val="auto"/>
                      <w:highlight w:val="none"/>
                    </w:rPr>
                    <w:t>DW001</w:t>
                  </w:r>
                </w:p>
              </w:tc>
              <w:tc>
                <w:tcPr>
                  <w:tcW w:w="1134" w:type="dxa"/>
                  <w:vAlign w:val="center"/>
                </w:tcPr>
                <w:p w14:paraId="5DA10C76">
                  <w:pPr>
                    <w:pStyle w:val="2"/>
                    <w:jc w:val="center"/>
                    <w:rPr>
                      <w:color w:val="auto"/>
                      <w:highlight w:val="none"/>
                    </w:rPr>
                  </w:pPr>
                  <w:r>
                    <w:rPr>
                      <w:rFonts w:ascii="Segoe UI Symbol" w:hAnsi="Segoe UI Symbol" w:cs="Segoe UI Symbol"/>
                      <w:color w:val="auto"/>
                      <w:highlight w:val="none"/>
                    </w:rPr>
                    <w:t>☑</w:t>
                  </w:r>
                  <w:r>
                    <w:rPr>
                      <w:color w:val="auto"/>
                      <w:highlight w:val="none"/>
                    </w:rPr>
                    <w:t>是</w:t>
                  </w:r>
                </w:p>
                <w:p w14:paraId="5B8CDEC0">
                  <w:pPr>
                    <w:pStyle w:val="2"/>
                    <w:jc w:val="center"/>
                    <w:rPr>
                      <w:color w:val="auto"/>
                      <w:highlight w:val="none"/>
                    </w:rPr>
                  </w:pPr>
                  <w:r>
                    <w:rPr>
                      <w:color w:val="auto"/>
                      <w:highlight w:val="none"/>
                    </w:rPr>
                    <w:t>□否</w:t>
                  </w:r>
                </w:p>
              </w:tc>
              <w:tc>
                <w:tcPr>
                  <w:tcW w:w="1862" w:type="dxa"/>
                  <w:vAlign w:val="center"/>
                </w:tcPr>
                <w:p w14:paraId="5B9330BE">
                  <w:pPr>
                    <w:pStyle w:val="2"/>
                    <w:snapToGrid w:val="0"/>
                    <w:jc w:val="left"/>
                    <w:rPr>
                      <w:color w:val="auto"/>
                      <w:highlight w:val="none"/>
                    </w:rPr>
                  </w:pPr>
                  <w:r>
                    <w:rPr>
                      <w:rFonts w:ascii="Segoe UI Symbol" w:hAnsi="Segoe UI Symbol" w:cs="Segoe UI Symbol"/>
                      <w:color w:val="auto"/>
                      <w:highlight w:val="none"/>
                    </w:rPr>
                    <w:t>☑</w:t>
                  </w:r>
                  <w:r>
                    <w:rPr>
                      <w:color w:val="auto"/>
                      <w:highlight w:val="none"/>
                    </w:rPr>
                    <w:t>企业总排</w:t>
                  </w:r>
                </w:p>
                <w:p w14:paraId="78AC203B">
                  <w:pPr>
                    <w:pStyle w:val="2"/>
                    <w:snapToGrid w:val="0"/>
                    <w:jc w:val="left"/>
                    <w:rPr>
                      <w:color w:val="auto"/>
                      <w:highlight w:val="none"/>
                    </w:rPr>
                  </w:pPr>
                  <w:r>
                    <w:rPr>
                      <w:color w:val="auto"/>
                      <w:highlight w:val="none"/>
                    </w:rPr>
                    <w:t>□雨水排放</w:t>
                  </w:r>
                </w:p>
                <w:p w14:paraId="0BFE6632">
                  <w:pPr>
                    <w:pStyle w:val="2"/>
                    <w:snapToGrid w:val="0"/>
                    <w:jc w:val="left"/>
                    <w:rPr>
                      <w:color w:val="auto"/>
                      <w:highlight w:val="none"/>
                    </w:rPr>
                  </w:pPr>
                  <w:r>
                    <w:rPr>
                      <w:color w:val="auto"/>
                      <w:highlight w:val="none"/>
                    </w:rPr>
                    <w:t>□清净下水排放</w:t>
                  </w:r>
                </w:p>
                <w:p w14:paraId="691872D0">
                  <w:pPr>
                    <w:pStyle w:val="2"/>
                    <w:snapToGrid w:val="0"/>
                    <w:jc w:val="left"/>
                    <w:rPr>
                      <w:color w:val="auto"/>
                      <w:highlight w:val="none"/>
                    </w:rPr>
                  </w:pPr>
                  <w:r>
                    <w:rPr>
                      <w:color w:val="auto"/>
                      <w:highlight w:val="none"/>
                    </w:rPr>
                    <w:t>□温排水排放</w:t>
                  </w:r>
                </w:p>
                <w:p w14:paraId="7AFDC04E">
                  <w:pPr>
                    <w:pStyle w:val="2"/>
                    <w:snapToGrid w:val="0"/>
                    <w:jc w:val="left"/>
                    <w:rPr>
                      <w:color w:val="auto"/>
                      <w:highlight w:val="none"/>
                    </w:rPr>
                  </w:pPr>
                  <w:r>
                    <w:rPr>
                      <w:color w:val="auto"/>
                      <w:highlight w:val="none"/>
                    </w:rPr>
                    <w:t>□车间或车间处理设施排放口</w:t>
                  </w:r>
                </w:p>
              </w:tc>
            </w:tr>
          </w:tbl>
          <w:p w14:paraId="2343FA5A">
            <w:pPr>
              <w:widowControl/>
              <w:ind w:left="0" w:leftChars="0" w:firstLine="0" w:firstLineChars="0"/>
              <w:jc w:val="left"/>
              <w:rPr>
                <w:rFonts w:hint="eastAsia"/>
                <w:color w:val="auto"/>
                <w:lang w:val="en-US" w:eastAsia="zh-CN"/>
              </w:rPr>
            </w:pPr>
          </w:p>
        </w:tc>
      </w:tr>
    </w:tbl>
    <w:p w14:paraId="73FD61D7">
      <w:pPr>
        <w:ind w:firstLine="0" w:firstLineChars="0"/>
        <w:jc w:val="center"/>
        <w:rPr>
          <w:color w:val="auto"/>
        </w:rPr>
        <w:sectPr>
          <w:pgSz w:w="16838" w:h="11906" w:orient="landscape"/>
          <w:pgMar w:top="1800" w:right="1440" w:bottom="1800" w:left="1440" w:header="851" w:footer="992" w:gutter="0"/>
          <w:pgNumType w:fmt="decimal"/>
          <w:cols w:space="720" w:num="1"/>
          <w:docGrid w:type="lines" w:linePitch="326" w:charSpace="0"/>
        </w:sectPr>
      </w:pPr>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2"/>
        <w:gridCol w:w="8300"/>
      </w:tblGrid>
      <w:tr w14:paraId="6E67E9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41" w:hRule="atLeast"/>
        </w:trPr>
        <w:tc>
          <w:tcPr>
            <w:tcW w:w="675" w:type="dxa"/>
            <w:vAlign w:val="center"/>
          </w:tcPr>
          <w:p w14:paraId="6C8E2D9B">
            <w:pPr>
              <w:ind w:firstLine="0" w:firstLineChars="0"/>
              <w:jc w:val="center"/>
              <w:rPr>
                <w:color w:val="auto"/>
              </w:rPr>
            </w:pPr>
          </w:p>
        </w:tc>
        <w:tc>
          <w:tcPr>
            <w:tcW w:w="7847" w:type="dxa"/>
            <w:vAlign w:val="center"/>
          </w:tcPr>
          <w:p w14:paraId="0220F3E5">
            <w:pPr>
              <w:pStyle w:val="2"/>
              <w:widowControl/>
              <w:jc w:val="left"/>
              <w:rPr>
                <w:rFonts w:hint="eastAsia"/>
                <w:b/>
                <w:bCs/>
                <w:color w:val="auto"/>
                <w:sz w:val="28"/>
                <w:szCs w:val="28"/>
              </w:rPr>
            </w:pPr>
            <w:r>
              <w:rPr>
                <w:rFonts w:hint="eastAsia"/>
                <w:b/>
                <w:bCs/>
                <w:color w:val="auto"/>
                <w:kern w:val="0"/>
                <w:sz w:val="28"/>
                <w:szCs w:val="28"/>
                <w:lang w:val="en-US" w:eastAsia="zh-CN" w:bidi="ar"/>
              </w:rPr>
              <w:t>5、</w:t>
            </w:r>
            <w:r>
              <w:rPr>
                <w:rFonts w:hint="eastAsia"/>
                <w:b/>
                <w:bCs/>
                <w:color w:val="auto"/>
                <w:kern w:val="0"/>
                <w:sz w:val="28"/>
                <w:szCs w:val="28"/>
                <w:lang w:bidi="ar"/>
              </w:rPr>
              <w:t>废水监测要求</w:t>
            </w:r>
            <w:r>
              <w:rPr>
                <w:rFonts w:hint="eastAsia"/>
                <w:b/>
                <w:bCs/>
                <w:color w:val="auto"/>
                <w:kern w:val="0"/>
                <w:sz w:val="28"/>
                <w:szCs w:val="28"/>
                <w:lang w:eastAsia="zh-CN" w:bidi="ar"/>
              </w:rPr>
              <w:t>：</w:t>
            </w:r>
          </w:p>
          <w:p w14:paraId="682E94EB">
            <w:pPr>
              <w:widowControl/>
              <w:ind w:firstLine="480"/>
              <w:jc w:val="left"/>
              <w:rPr>
                <w:color w:val="auto"/>
                <w:kern w:val="0"/>
                <w:szCs w:val="24"/>
                <w:lang w:bidi="ar"/>
              </w:rPr>
            </w:pPr>
            <w:r>
              <w:rPr>
                <w:color w:val="auto"/>
                <w:kern w:val="0"/>
                <w:szCs w:val="24"/>
                <w:lang w:bidi="ar"/>
              </w:rPr>
              <w:t>根据《固定污染源排污许可分类管理名录》（2019年版）、《排污单位自行监测技术指南医疗机构》（HJ1105-2020），本项目为简化管理排污单位，制定废水监测计划如下表</w:t>
            </w:r>
            <w:r>
              <w:rPr>
                <w:rFonts w:hint="eastAsia"/>
                <w:color w:val="auto"/>
                <w:kern w:val="0"/>
                <w:szCs w:val="24"/>
                <w:lang w:eastAsia="zh-CN" w:bidi="ar"/>
              </w:rPr>
              <w:t>，</w:t>
            </w:r>
            <w:r>
              <w:rPr>
                <w:rFonts w:hint="eastAsia"/>
                <w:color w:val="auto"/>
                <w:kern w:val="0"/>
                <w:szCs w:val="24"/>
                <w:lang w:val="en-US" w:eastAsia="zh-CN" w:bidi="ar"/>
              </w:rPr>
              <w:t>江川区医共体总院与江城卫生院监测计划一致</w:t>
            </w:r>
            <w:r>
              <w:rPr>
                <w:color w:val="auto"/>
                <w:kern w:val="0"/>
                <w:szCs w:val="24"/>
                <w:lang w:bidi="ar"/>
              </w:rPr>
              <w:t>。</w:t>
            </w:r>
          </w:p>
          <w:p w14:paraId="4F1E6231">
            <w:pPr>
              <w:pStyle w:val="38"/>
              <w:ind w:firstLine="514"/>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12</w:t>
            </w:r>
            <w:r>
              <w:rPr>
                <w:rFonts w:ascii="Times New Roman" w:hAnsi="Times New Roman" w:eastAsia="宋体"/>
                <w:b/>
                <w:bCs/>
                <w:color w:val="auto"/>
              </w:rPr>
              <w:t>运营期监测计划表</w:t>
            </w:r>
          </w:p>
          <w:tbl>
            <w:tblPr>
              <w:tblStyle w:val="20"/>
              <w:tblW w:w="7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1158"/>
              <w:gridCol w:w="2534"/>
              <w:gridCol w:w="1276"/>
              <w:gridCol w:w="1688"/>
            </w:tblGrid>
            <w:tr w14:paraId="25DC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873" w:type="dxa"/>
                  <w:vAlign w:val="center"/>
                </w:tcPr>
                <w:p w14:paraId="1E4B4B4E">
                  <w:pPr>
                    <w:pStyle w:val="2"/>
                    <w:jc w:val="center"/>
                    <w:rPr>
                      <w:b/>
                      <w:bCs/>
                      <w:color w:val="auto"/>
                      <w:sz w:val="21"/>
                      <w:szCs w:val="21"/>
                    </w:rPr>
                  </w:pPr>
                  <w:r>
                    <w:rPr>
                      <w:b/>
                      <w:bCs/>
                      <w:color w:val="auto"/>
                      <w:sz w:val="21"/>
                      <w:szCs w:val="21"/>
                    </w:rPr>
                    <w:t>类别</w:t>
                  </w:r>
                </w:p>
              </w:tc>
              <w:tc>
                <w:tcPr>
                  <w:tcW w:w="1158" w:type="dxa"/>
                  <w:vAlign w:val="center"/>
                </w:tcPr>
                <w:p w14:paraId="3B848F59">
                  <w:pPr>
                    <w:pStyle w:val="2"/>
                    <w:jc w:val="center"/>
                    <w:rPr>
                      <w:b/>
                      <w:bCs/>
                      <w:color w:val="auto"/>
                      <w:sz w:val="21"/>
                      <w:szCs w:val="21"/>
                    </w:rPr>
                  </w:pPr>
                  <w:r>
                    <w:rPr>
                      <w:b/>
                      <w:bCs/>
                      <w:color w:val="auto"/>
                      <w:sz w:val="21"/>
                      <w:szCs w:val="21"/>
                    </w:rPr>
                    <w:t>监测点位</w:t>
                  </w:r>
                </w:p>
              </w:tc>
              <w:tc>
                <w:tcPr>
                  <w:tcW w:w="2534" w:type="dxa"/>
                  <w:vAlign w:val="center"/>
                </w:tcPr>
                <w:p w14:paraId="6DFC8280">
                  <w:pPr>
                    <w:pStyle w:val="2"/>
                    <w:jc w:val="center"/>
                    <w:rPr>
                      <w:b/>
                      <w:bCs/>
                      <w:color w:val="auto"/>
                      <w:sz w:val="21"/>
                      <w:szCs w:val="21"/>
                    </w:rPr>
                  </w:pPr>
                  <w:r>
                    <w:rPr>
                      <w:b/>
                      <w:bCs/>
                      <w:color w:val="auto"/>
                      <w:sz w:val="21"/>
                      <w:szCs w:val="21"/>
                    </w:rPr>
                    <w:t>监测指标</w:t>
                  </w:r>
                </w:p>
              </w:tc>
              <w:tc>
                <w:tcPr>
                  <w:tcW w:w="1276" w:type="dxa"/>
                  <w:vAlign w:val="center"/>
                </w:tcPr>
                <w:p w14:paraId="63EEED41">
                  <w:pPr>
                    <w:pStyle w:val="2"/>
                    <w:jc w:val="center"/>
                    <w:rPr>
                      <w:b/>
                      <w:bCs/>
                      <w:color w:val="auto"/>
                      <w:sz w:val="21"/>
                      <w:szCs w:val="21"/>
                    </w:rPr>
                  </w:pPr>
                  <w:r>
                    <w:rPr>
                      <w:b/>
                      <w:bCs/>
                      <w:color w:val="auto"/>
                      <w:sz w:val="21"/>
                      <w:szCs w:val="21"/>
                    </w:rPr>
                    <w:t>监测频次</w:t>
                  </w:r>
                </w:p>
              </w:tc>
              <w:tc>
                <w:tcPr>
                  <w:tcW w:w="1688" w:type="dxa"/>
                  <w:vAlign w:val="center"/>
                </w:tcPr>
                <w:p w14:paraId="062ADDD4">
                  <w:pPr>
                    <w:pStyle w:val="2"/>
                    <w:jc w:val="center"/>
                    <w:rPr>
                      <w:b/>
                      <w:bCs/>
                      <w:color w:val="auto"/>
                      <w:sz w:val="21"/>
                      <w:szCs w:val="21"/>
                    </w:rPr>
                  </w:pPr>
                  <w:r>
                    <w:rPr>
                      <w:b/>
                      <w:bCs/>
                      <w:color w:val="auto"/>
                      <w:sz w:val="21"/>
                      <w:szCs w:val="21"/>
                    </w:rPr>
                    <w:t>执行标准</w:t>
                  </w:r>
                </w:p>
              </w:tc>
            </w:tr>
            <w:tr w14:paraId="5E39F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873" w:type="dxa"/>
                  <w:vMerge w:val="restart"/>
                  <w:vAlign w:val="center"/>
                </w:tcPr>
                <w:p w14:paraId="38C6307B">
                  <w:pPr>
                    <w:pStyle w:val="2"/>
                    <w:jc w:val="center"/>
                    <w:rPr>
                      <w:color w:val="auto"/>
                      <w:sz w:val="21"/>
                      <w:szCs w:val="21"/>
                    </w:rPr>
                  </w:pPr>
                  <w:r>
                    <w:rPr>
                      <w:color w:val="auto"/>
                      <w:sz w:val="21"/>
                      <w:szCs w:val="21"/>
                    </w:rPr>
                    <w:t>废水</w:t>
                  </w:r>
                </w:p>
              </w:tc>
              <w:tc>
                <w:tcPr>
                  <w:tcW w:w="1158" w:type="dxa"/>
                  <w:vMerge w:val="restart"/>
                  <w:vAlign w:val="center"/>
                </w:tcPr>
                <w:p w14:paraId="1E99767E">
                  <w:pPr>
                    <w:pStyle w:val="2"/>
                    <w:jc w:val="center"/>
                    <w:rPr>
                      <w:color w:val="auto"/>
                      <w:sz w:val="21"/>
                      <w:szCs w:val="21"/>
                    </w:rPr>
                  </w:pPr>
                  <w:r>
                    <w:rPr>
                      <w:color w:val="auto"/>
                      <w:sz w:val="21"/>
                      <w:szCs w:val="21"/>
                    </w:rPr>
                    <w:t>污水总排放口</w:t>
                  </w:r>
                </w:p>
              </w:tc>
              <w:tc>
                <w:tcPr>
                  <w:tcW w:w="2534" w:type="dxa"/>
                  <w:vAlign w:val="center"/>
                </w:tcPr>
                <w:p w14:paraId="1F970E8D">
                  <w:pPr>
                    <w:pStyle w:val="2"/>
                    <w:jc w:val="center"/>
                    <w:rPr>
                      <w:color w:val="auto"/>
                      <w:sz w:val="21"/>
                      <w:szCs w:val="21"/>
                    </w:rPr>
                  </w:pPr>
                  <w:r>
                    <w:rPr>
                      <w:color w:val="auto"/>
                      <w:sz w:val="21"/>
                      <w:szCs w:val="21"/>
                    </w:rPr>
                    <w:t>流量</w:t>
                  </w:r>
                </w:p>
              </w:tc>
              <w:tc>
                <w:tcPr>
                  <w:tcW w:w="1276" w:type="dxa"/>
                  <w:vAlign w:val="center"/>
                </w:tcPr>
                <w:p w14:paraId="2799F5D1">
                  <w:pPr>
                    <w:pStyle w:val="2"/>
                    <w:jc w:val="center"/>
                    <w:rPr>
                      <w:color w:val="auto"/>
                      <w:sz w:val="21"/>
                      <w:szCs w:val="21"/>
                    </w:rPr>
                  </w:pPr>
                  <w:r>
                    <w:rPr>
                      <w:color w:val="auto"/>
                      <w:sz w:val="21"/>
                      <w:szCs w:val="21"/>
                    </w:rPr>
                    <w:t>自动监测</w:t>
                  </w:r>
                </w:p>
              </w:tc>
              <w:tc>
                <w:tcPr>
                  <w:tcW w:w="1688" w:type="dxa"/>
                  <w:vMerge w:val="restart"/>
                  <w:vAlign w:val="center"/>
                </w:tcPr>
                <w:p w14:paraId="11FAFB42">
                  <w:pPr>
                    <w:pStyle w:val="2"/>
                    <w:rPr>
                      <w:color w:val="auto"/>
                      <w:sz w:val="21"/>
                      <w:szCs w:val="21"/>
                    </w:rPr>
                  </w:pPr>
                  <w:r>
                    <w:rPr>
                      <w:color w:val="auto"/>
                      <w:sz w:val="21"/>
                      <w:szCs w:val="21"/>
                    </w:rPr>
                    <w:t>《医疗机构水污染物排放标准》(GB18466-2005)的综合医疗机构和其他医疗机构水污染物预处理标准</w:t>
                  </w:r>
                </w:p>
              </w:tc>
            </w:tr>
            <w:tr w14:paraId="53A71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873" w:type="dxa"/>
                  <w:vMerge w:val="continue"/>
                  <w:vAlign w:val="center"/>
                </w:tcPr>
                <w:p w14:paraId="5F110316">
                  <w:pPr>
                    <w:pStyle w:val="2"/>
                    <w:jc w:val="center"/>
                    <w:rPr>
                      <w:color w:val="auto"/>
                      <w:sz w:val="21"/>
                      <w:szCs w:val="21"/>
                    </w:rPr>
                  </w:pPr>
                </w:p>
              </w:tc>
              <w:tc>
                <w:tcPr>
                  <w:tcW w:w="1158" w:type="dxa"/>
                  <w:vMerge w:val="continue"/>
                  <w:vAlign w:val="center"/>
                </w:tcPr>
                <w:p w14:paraId="02FC09DA">
                  <w:pPr>
                    <w:pStyle w:val="2"/>
                    <w:jc w:val="center"/>
                    <w:rPr>
                      <w:color w:val="auto"/>
                      <w:sz w:val="21"/>
                      <w:szCs w:val="21"/>
                    </w:rPr>
                  </w:pPr>
                </w:p>
              </w:tc>
              <w:tc>
                <w:tcPr>
                  <w:tcW w:w="2534" w:type="dxa"/>
                  <w:vAlign w:val="center"/>
                </w:tcPr>
                <w:p w14:paraId="0B670720">
                  <w:pPr>
                    <w:pStyle w:val="2"/>
                    <w:jc w:val="center"/>
                    <w:rPr>
                      <w:rFonts w:hint="eastAsia" w:eastAsia="宋体"/>
                      <w:color w:val="auto"/>
                      <w:sz w:val="21"/>
                      <w:szCs w:val="21"/>
                      <w:lang w:eastAsia="zh-CN"/>
                    </w:rPr>
                  </w:pPr>
                  <w:r>
                    <w:rPr>
                      <w:color w:val="auto"/>
                      <w:sz w:val="21"/>
                      <w:szCs w:val="21"/>
                    </w:rPr>
                    <w:t>pH值</w:t>
                  </w:r>
                  <w:r>
                    <w:rPr>
                      <w:rFonts w:hint="eastAsia"/>
                      <w:color w:val="auto"/>
                      <w:sz w:val="21"/>
                      <w:szCs w:val="21"/>
                      <w:lang w:eastAsia="zh-CN"/>
                    </w:rPr>
                    <w:t>、总余氯</w:t>
                  </w:r>
                </w:p>
              </w:tc>
              <w:tc>
                <w:tcPr>
                  <w:tcW w:w="1276" w:type="dxa"/>
                  <w:vAlign w:val="center"/>
                </w:tcPr>
                <w:p w14:paraId="2E07F2CC">
                  <w:pPr>
                    <w:pStyle w:val="2"/>
                    <w:jc w:val="center"/>
                    <w:rPr>
                      <w:color w:val="auto"/>
                      <w:sz w:val="21"/>
                      <w:szCs w:val="21"/>
                    </w:rPr>
                  </w:pPr>
                  <w:r>
                    <w:rPr>
                      <w:color w:val="auto"/>
                      <w:sz w:val="21"/>
                      <w:szCs w:val="21"/>
                    </w:rPr>
                    <w:t>12小时</w:t>
                  </w:r>
                </w:p>
              </w:tc>
              <w:tc>
                <w:tcPr>
                  <w:tcW w:w="1688" w:type="dxa"/>
                  <w:vMerge w:val="continue"/>
                  <w:vAlign w:val="center"/>
                </w:tcPr>
                <w:p w14:paraId="4C78E401">
                  <w:pPr>
                    <w:pStyle w:val="2"/>
                    <w:rPr>
                      <w:color w:val="auto"/>
                      <w:sz w:val="21"/>
                      <w:szCs w:val="21"/>
                    </w:rPr>
                  </w:pPr>
                </w:p>
              </w:tc>
            </w:tr>
            <w:tr w14:paraId="4BDF3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873" w:type="dxa"/>
                  <w:vMerge w:val="continue"/>
                  <w:vAlign w:val="center"/>
                </w:tcPr>
                <w:p w14:paraId="66D96F98">
                  <w:pPr>
                    <w:pStyle w:val="2"/>
                    <w:jc w:val="center"/>
                    <w:rPr>
                      <w:color w:val="auto"/>
                      <w:sz w:val="21"/>
                      <w:szCs w:val="21"/>
                    </w:rPr>
                  </w:pPr>
                </w:p>
              </w:tc>
              <w:tc>
                <w:tcPr>
                  <w:tcW w:w="1158" w:type="dxa"/>
                  <w:vMerge w:val="continue"/>
                  <w:vAlign w:val="center"/>
                </w:tcPr>
                <w:p w14:paraId="70E7AD7E">
                  <w:pPr>
                    <w:pStyle w:val="2"/>
                    <w:jc w:val="center"/>
                    <w:rPr>
                      <w:color w:val="auto"/>
                      <w:sz w:val="21"/>
                      <w:szCs w:val="21"/>
                    </w:rPr>
                  </w:pPr>
                </w:p>
              </w:tc>
              <w:tc>
                <w:tcPr>
                  <w:tcW w:w="2534" w:type="dxa"/>
                  <w:vAlign w:val="center"/>
                </w:tcPr>
                <w:p w14:paraId="7646609D">
                  <w:pPr>
                    <w:pStyle w:val="2"/>
                    <w:jc w:val="center"/>
                    <w:rPr>
                      <w:color w:val="auto"/>
                      <w:sz w:val="21"/>
                      <w:szCs w:val="21"/>
                    </w:rPr>
                  </w:pPr>
                  <w:r>
                    <w:rPr>
                      <w:color w:val="auto"/>
                      <w:sz w:val="21"/>
                      <w:szCs w:val="21"/>
                    </w:rPr>
                    <w:t>化学需氧量</w:t>
                  </w:r>
                  <w:r>
                    <w:rPr>
                      <w:color w:val="auto"/>
                      <w:sz w:val="21"/>
                      <w:szCs w:val="21"/>
                      <w:vertAlign w:val="superscript"/>
                    </w:rPr>
                    <w:t>b</w:t>
                  </w:r>
                  <w:r>
                    <w:rPr>
                      <w:color w:val="auto"/>
                      <w:sz w:val="21"/>
                      <w:szCs w:val="21"/>
                    </w:rPr>
                    <w:t>、悬浮物</w:t>
                  </w:r>
                </w:p>
              </w:tc>
              <w:tc>
                <w:tcPr>
                  <w:tcW w:w="1276" w:type="dxa"/>
                  <w:vAlign w:val="center"/>
                </w:tcPr>
                <w:p w14:paraId="3A92404A">
                  <w:pPr>
                    <w:pStyle w:val="2"/>
                    <w:jc w:val="center"/>
                    <w:rPr>
                      <w:color w:val="auto"/>
                      <w:sz w:val="21"/>
                      <w:szCs w:val="21"/>
                    </w:rPr>
                  </w:pPr>
                  <w:r>
                    <w:rPr>
                      <w:color w:val="auto"/>
                      <w:sz w:val="21"/>
                      <w:szCs w:val="21"/>
                    </w:rPr>
                    <w:t>周</w:t>
                  </w:r>
                </w:p>
              </w:tc>
              <w:tc>
                <w:tcPr>
                  <w:tcW w:w="1688" w:type="dxa"/>
                  <w:vMerge w:val="continue"/>
                  <w:vAlign w:val="center"/>
                </w:tcPr>
                <w:p w14:paraId="5AD9FB02">
                  <w:pPr>
                    <w:pStyle w:val="2"/>
                    <w:rPr>
                      <w:color w:val="auto"/>
                      <w:sz w:val="21"/>
                      <w:szCs w:val="21"/>
                    </w:rPr>
                  </w:pPr>
                </w:p>
              </w:tc>
            </w:tr>
            <w:tr w14:paraId="7E770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873" w:type="dxa"/>
                  <w:vMerge w:val="continue"/>
                  <w:vAlign w:val="center"/>
                </w:tcPr>
                <w:p w14:paraId="5A4F0990">
                  <w:pPr>
                    <w:pStyle w:val="2"/>
                    <w:jc w:val="center"/>
                    <w:rPr>
                      <w:color w:val="auto"/>
                      <w:sz w:val="21"/>
                      <w:szCs w:val="21"/>
                    </w:rPr>
                  </w:pPr>
                </w:p>
              </w:tc>
              <w:tc>
                <w:tcPr>
                  <w:tcW w:w="1158" w:type="dxa"/>
                  <w:vMerge w:val="continue"/>
                  <w:vAlign w:val="center"/>
                </w:tcPr>
                <w:p w14:paraId="5B210834">
                  <w:pPr>
                    <w:pStyle w:val="2"/>
                    <w:jc w:val="center"/>
                    <w:rPr>
                      <w:color w:val="auto"/>
                      <w:sz w:val="21"/>
                      <w:szCs w:val="21"/>
                    </w:rPr>
                  </w:pPr>
                </w:p>
              </w:tc>
              <w:tc>
                <w:tcPr>
                  <w:tcW w:w="2534" w:type="dxa"/>
                  <w:vAlign w:val="center"/>
                </w:tcPr>
                <w:p w14:paraId="7A9CE76F">
                  <w:pPr>
                    <w:pStyle w:val="2"/>
                    <w:jc w:val="center"/>
                    <w:rPr>
                      <w:color w:val="auto"/>
                      <w:sz w:val="21"/>
                      <w:szCs w:val="21"/>
                    </w:rPr>
                  </w:pPr>
                  <w:r>
                    <w:rPr>
                      <w:color w:val="auto"/>
                      <w:sz w:val="21"/>
                      <w:szCs w:val="21"/>
                    </w:rPr>
                    <w:t>粪大肠菌群数</w:t>
                  </w:r>
                </w:p>
              </w:tc>
              <w:tc>
                <w:tcPr>
                  <w:tcW w:w="1276" w:type="dxa"/>
                  <w:vAlign w:val="center"/>
                </w:tcPr>
                <w:p w14:paraId="610361E5">
                  <w:pPr>
                    <w:pStyle w:val="2"/>
                    <w:jc w:val="center"/>
                    <w:rPr>
                      <w:color w:val="auto"/>
                      <w:sz w:val="21"/>
                      <w:szCs w:val="21"/>
                    </w:rPr>
                  </w:pPr>
                  <w:r>
                    <w:rPr>
                      <w:color w:val="auto"/>
                      <w:sz w:val="21"/>
                      <w:szCs w:val="21"/>
                    </w:rPr>
                    <w:t>月</w:t>
                  </w:r>
                </w:p>
              </w:tc>
              <w:tc>
                <w:tcPr>
                  <w:tcW w:w="1688" w:type="dxa"/>
                  <w:vMerge w:val="continue"/>
                  <w:vAlign w:val="center"/>
                </w:tcPr>
                <w:p w14:paraId="53D290E9">
                  <w:pPr>
                    <w:pStyle w:val="2"/>
                    <w:rPr>
                      <w:color w:val="auto"/>
                      <w:sz w:val="21"/>
                      <w:szCs w:val="21"/>
                    </w:rPr>
                  </w:pPr>
                </w:p>
              </w:tc>
            </w:tr>
            <w:tr w14:paraId="35F44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73" w:type="dxa"/>
                  <w:vMerge w:val="continue"/>
                  <w:vAlign w:val="center"/>
                </w:tcPr>
                <w:p w14:paraId="5DAD16D5">
                  <w:pPr>
                    <w:pStyle w:val="2"/>
                    <w:jc w:val="center"/>
                    <w:rPr>
                      <w:color w:val="auto"/>
                      <w:sz w:val="21"/>
                      <w:szCs w:val="21"/>
                    </w:rPr>
                  </w:pPr>
                </w:p>
              </w:tc>
              <w:tc>
                <w:tcPr>
                  <w:tcW w:w="1158" w:type="dxa"/>
                  <w:vMerge w:val="continue"/>
                  <w:vAlign w:val="center"/>
                </w:tcPr>
                <w:p w14:paraId="10D33182">
                  <w:pPr>
                    <w:pStyle w:val="2"/>
                    <w:jc w:val="center"/>
                    <w:rPr>
                      <w:color w:val="auto"/>
                      <w:sz w:val="21"/>
                      <w:szCs w:val="21"/>
                    </w:rPr>
                  </w:pPr>
                </w:p>
              </w:tc>
              <w:tc>
                <w:tcPr>
                  <w:tcW w:w="2534" w:type="dxa"/>
                  <w:vAlign w:val="center"/>
                </w:tcPr>
                <w:p w14:paraId="47726CAF">
                  <w:pPr>
                    <w:pStyle w:val="2"/>
                    <w:jc w:val="center"/>
                    <w:rPr>
                      <w:color w:val="auto"/>
                      <w:sz w:val="21"/>
                      <w:szCs w:val="21"/>
                    </w:rPr>
                  </w:pPr>
                  <w:r>
                    <w:rPr>
                      <w:rFonts w:hint="eastAsia"/>
                      <w:color w:val="auto"/>
                      <w:sz w:val="21"/>
                      <w:szCs w:val="21"/>
                      <w:lang w:eastAsia="zh-CN"/>
                    </w:rPr>
                    <w:t>生物毒性、肠道致病菌、</w:t>
                  </w:r>
                  <w:r>
                    <w:rPr>
                      <w:color w:val="auto"/>
                      <w:sz w:val="21"/>
                      <w:szCs w:val="21"/>
                    </w:rPr>
                    <w:t>结核杆菌</w:t>
                  </w:r>
                  <w:r>
                    <w:rPr>
                      <w:color w:val="auto"/>
                      <w:sz w:val="21"/>
                      <w:szCs w:val="21"/>
                      <w:vertAlign w:val="superscript"/>
                    </w:rPr>
                    <w:t>c</w:t>
                  </w:r>
                  <w:r>
                    <w:rPr>
                      <w:color w:val="auto"/>
                      <w:sz w:val="21"/>
                      <w:szCs w:val="21"/>
                    </w:rPr>
                    <w:t>、五日生化需氧量、石油类、挥发酚、动植物油、阴离子表面活性剂、总氰化物</w:t>
                  </w:r>
                </w:p>
              </w:tc>
              <w:tc>
                <w:tcPr>
                  <w:tcW w:w="1276" w:type="dxa"/>
                  <w:vAlign w:val="center"/>
                </w:tcPr>
                <w:p w14:paraId="30C22E62">
                  <w:pPr>
                    <w:pStyle w:val="2"/>
                    <w:jc w:val="center"/>
                    <w:rPr>
                      <w:color w:val="auto"/>
                      <w:sz w:val="21"/>
                      <w:szCs w:val="21"/>
                    </w:rPr>
                  </w:pPr>
                  <w:r>
                    <w:rPr>
                      <w:color w:val="auto"/>
                      <w:sz w:val="21"/>
                      <w:szCs w:val="21"/>
                    </w:rPr>
                    <w:t>1次/季度</w:t>
                  </w:r>
                </w:p>
              </w:tc>
              <w:tc>
                <w:tcPr>
                  <w:tcW w:w="1688" w:type="dxa"/>
                  <w:vMerge w:val="continue"/>
                  <w:vAlign w:val="center"/>
                </w:tcPr>
                <w:p w14:paraId="7EA8E057">
                  <w:pPr>
                    <w:pStyle w:val="2"/>
                    <w:rPr>
                      <w:color w:val="auto"/>
                      <w:sz w:val="21"/>
                      <w:szCs w:val="21"/>
                    </w:rPr>
                  </w:pPr>
                </w:p>
              </w:tc>
            </w:tr>
            <w:tr w14:paraId="141FD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7529" w:type="dxa"/>
                  <w:gridSpan w:val="5"/>
                  <w:vAlign w:val="center"/>
                </w:tcPr>
                <w:p w14:paraId="387852EC">
                  <w:pPr>
                    <w:pStyle w:val="2"/>
                    <w:rPr>
                      <w:color w:val="auto"/>
                      <w:sz w:val="21"/>
                      <w:szCs w:val="21"/>
                    </w:rPr>
                  </w:pPr>
                  <w:r>
                    <w:rPr>
                      <w:color w:val="auto"/>
                      <w:sz w:val="21"/>
                      <w:szCs w:val="21"/>
                    </w:rPr>
                    <w:t>b设区的市级及以上生态环境主管部门明确要求安装在线监测设备的，须采取在线监测；</w:t>
                  </w:r>
                </w:p>
                <w:p w14:paraId="00D9B8A0">
                  <w:pPr>
                    <w:pStyle w:val="2"/>
                    <w:rPr>
                      <w:color w:val="auto"/>
                      <w:sz w:val="21"/>
                      <w:szCs w:val="21"/>
                    </w:rPr>
                  </w:pPr>
                  <w:r>
                    <w:rPr>
                      <w:color w:val="auto"/>
                      <w:sz w:val="21"/>
                      <w:szCs w:val="21"/>
                    </w:rPr>
                    <w:t>c结核病、传染病专科医疗机构需按频次监测结核杆菌；</w:t>
                  </w:r>
                </w:p>
              </w:tc>
            </w:tr>
          </w:tbl>
          <w:p w14:paraId="797C1301">
            <w:pPr>
              <w:widowControl/>
              <w:ind w:firstLine="482"/>
              <w:jc w:val="left"/>
              <w:rPr>
                <w:b/>
                <w:bCs/>
                <w:color w:val="auto"/>
              </w:rPr>
            </w:pPr>
            <w:r>
              <w:rPr>
                <w:b/>
                <w:bCs/>
                <w:color w:val="auto"/>
              </w:rPr>
              <w:t>三、噪声</w:t>
            </w:r>
          </w:p>
          <w:p w14:paraId="02C05DFC">
            <w:pPr>
              <w:widowControl/>
              <w:ind w:firstLine="482"/>
              <w:jc w:val="left"/>
              <w:rPr>
                <w:color w:val="auto"/>
              </w:rPr>
            </w:pPr>
            <w:r>
              <w:rPr>
                <w:b/>
                <w:bCs/>
                <w:color w:val="auto"/>
                <w:kern w:val="0"/>
                <w:szCs w:val="24"/>
                <w:lang w:bidi="ar"/>
              </w:rPr>
              <w:t>1、噪声源强分析</w:t>
            </w:r>
          </w:p>
          <w:p w14:paraId="4049B0CC">
            <w:pPr>
              <w:widowControl/>
              <w:ind w:firstLine="480"/>
              <w:jc w:val="left"/>
              <w:rPr>
                <w:rFonts w:hint="eastAsia"/>
                <w:color w:val="auto"/>
                <w:lang w:val="en-US" w:eastAsia="zh-CN"/>
              </w:rPr>
            </w:pPr>
            <w:r>
              <w:rPr>
                <w:color w:val="auto"/>
                <w:kern w:val="0"/>
                <w:szCs w:val="24"/>
                <w:lang w:bidi="ar"/>
              </w:rPr>
              <w:t>本次扩建新增噪声源主要为诊疗设备产生的机械噪声以及来自门诊病人和住院部探访人员产生的生活噪声。设备运行噪声值为70～85dB（A）。生活类噪声主要来源于医院人员活动中产生的噪声，其噪声值为60～65dB(A)，此类噪声属于非连续性，夜间消失。总体来说项目噪声源强不大，噪声对周围环境影响较小。</w:t>
            </w:r>
            <w:r>
              <w:rPr>
                <w:rFonts w:hint="eastAsia"/>
                <w:color w:val="auto"/>
                <w:lang w:val="en-US" w:eastAsia="zh-CN"/>
              </w:rPr>
              <w:t>噪声源强表如下：</w:t>
            </w:r>
          </w:p>
          <w:p w14:paraId="6F625807">
            <w:pPr>
              <w:pStyle w:val="38"/>
              <w:ind w:firstLine="514"/>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4-13扩建后江川区医共体总院噪声源强一览表</w:t>
            </w:r>
          </w:p>
          <w:tbl>
            <w:tblPr>
              <w:tblStyle w:val="19"/>
              <w:tblW w:w="4998" w:type="pct"/>
              <w:jc w:val="center"/>
              <w:tblLayout w:type="autofit"/>
              <w:tblCellMar>
                <w:top w:w="0" w:type="dxa"/>
                <w:left w:w="108" w:type="dxa"/>
                <w:bottom w:w="0" w:type="dxa"/>
                <w:right w:w="108" w:type="dxa"/>
              </w:tblCellMar>
            </w:tblPr>
            <w:tblGrid>
              <w:gridCol w:w="521"/>
              <w:gridCol w:w="2132"/>
              <w:gridCol w:w="1155"/>
              <w:gridCol w:w="862"/>
              <w:gridCol w:w="1034"/>
              <w:gridCol w:w="1554"/>
              <w:gridCol w:w="823"/>
            </w:tblGrid>
            <w:tr w14:paraId="682BB558">
              <w:tblPrEx>
                <w:tblCellMar>
                  <w:top w:w="0" w:type="dxa"/>
                  <w:left w:w="108" w:type="dxa"/>
                  <w:bottom w:w="0" w:type="dxa"/>
                  <w:right w:w="108" w:type="dxa"/>
                </w:tblCellMar>
              </w:tblPrEx>
              <w:trPr>
                <w:trHeight w:val="510"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9FC4947">
                  <w:pPr>
                    <w:pStyle w:val="2"/>
                    <w:jc w:val="center"/>
                    <w:rPr>
                      <w:b/>
                      <w:bCs/>
                      <w:color w:val="auto"/>
                      <w:sz w:val="21"/>
                      <w:szCs w:val="21"/>
                    </w:rPr>
                  </w:pPr>
                  <w:r>
                    <w:rPr>
                      <w:b/>
                      <w:bCs/>
                      <w:color w:val="auto"/>
                      <w:sz w:val="21"/>
                      <w:szCs w:val="21"/>
                    </w:rPr>
                    <w:t>序号</w:t>
                  </w:r>
                </w:p>
              </w:tc>
              <w:tc>
                <w:tcPr>
                  <w:tcW w:w="1318" w:type="pct"/>
                  <w:tcBorders>
                    <w:top w:val="single" w:color="auto" w:sz="4" w:space="0"/>
                    <w:left w:val="nil"/>
                    <w:bottom w:val="single" w:color="auto" w:sz="4" w:space="0"/>
                    <w:right w:val="single" w:color="auto" w:sz="4" w:space="0"/>
                  </w:tcBorders>
                  <w:shd w:val="clear" w:color="auto" w:fill="auto"/>
                  <w:noWrap w:val="0"/>
                  <w:vAlign w:val="center"/>
                </w:tcPr>
                <w:p w14:paraId="6D95E101">
                  <w:pPr>
                    <w:pStyle w:val="2"/>
                    <w:jc w:val="center"/>
                    <w:rPr>
                      <w:b/>
                      <w:bCs/>
                      <w:color w:val="auto"/>
                      <w:sz w:val="21"/>
                      <w:szCs w:val="21"/>
                    </w:rPr>
                  </w:pPr>
                  <w:r>
                    <w:rPr>
                      <w:b/>
                      <w:bCs/>
                      <w:color w:val="auto"/>
                      <w:sz w:val="21"/>
                      <w:szCs w:val="21"/>
                    </w:rPr>
                    <w:t>噪声源</w:t>
                  </w:r>
                </w:p>
              </w:tc>
              <w:tc>
                <w:tcPr>
                  <w:tcW w:w="714" w:type="pct"/>
                  <w:tcBorders>
                    <w:top w:val="single" w:color="auto" w:sz="4" w:space="0"/>
                    <w:left w:val="nil"/>
                    <w:bottom w:val="single" w:color="auto" w:sz="4" w:space="0"/>
                    <w:right w:val="single" w:color="auto" w:sz="4" w:space="0"/>
                  </w:tcBorders>
                  <w:shd w:val="clear" w:color="auto" w:fill="auto"/>
                  <w:noWrap w:val="0"/>
                  <w:vAlign w:val="center"/>
                </w:tcPr>
                <w:p w14:paraId="29C46B1C">
                  <w:pPr>
                    <w:pStyle w:val="2"/>
                    <w:jc w:val="center"/>
                    <w:rPr>
                      <w:b/>
                      <w:bCs/>
                      <w:color w:val="auto"/>
                      <w:sz w:val="21"/>
                      <w:szCs w:val="21"/>
                    </w:rPr>
                  </w:pPr>
                  <w:r>
                    <w:rPr>
                      <w:b/>
                      <w:bCs/>
                      <w:color w:val="auto"/>
                      <w:sz w:val="21"/>
                      <w:szCs w:val="21"/>
                    </w:rPr>
                    <w:t>位置</w:t>
                  </w:r>
                </w:p>
              </w:tc>
              <w:tc>
                <w:tcPr>
                  <w:tcW w:w="533" w:type="pct"/>
                  <w:tcBorders>
                    <w:top w:val="single" w:color="auto" w:sz="4" w:space="0"/>
                    <w:left w:val="nil"/>
                    <w:bottom w:val="single" w:color="auto" w:sz="4" w:space="0"/>
                    <w:right w:val="single" w:color="auto" w:sz="4" w:space="0"/>
                  </w:tcBorders>
                  <w:shd w:val="clear" w:color="auto" w:fill="auto"/>
                  <w:noWrap w:val="0"/>
                  <w:vAlign w:val="center"/>
                </w:tcPr>
                <w:p w14:paraId="0A3FC5FA">
                  <w:pPr>
                    <w:pStyle w:val="2"/>
                    <w:jc w:val="center"/>
                    <w:rPr>
                      <w:rFonts w:hint="eastAsia"/>
                      <w:b/>
                      <w:bCs/>
                      <w:color w:val="auto"/>
                      <w:sz w:val="21"/>
                      <w:szCs w:val="21"/>
                    </w:rPr>
                  </w:pPr>
                  <w:r>
                    <w:rPr>
                      <w:b/>
                      <w:bCs/>
                      <w:color w:val="auto"/>
                      <w:sz w:val="21"/>
                      <w:szCs w:val="21"/>
                    </w:rPr>
                    <w:t>运行</w:t>
                  </w:r>
                </w:p>
                <w:p w14:paraId="52347C92">
                  <w:pPr>
                    <w:pStyle w:val="2"/>
                    <w:jc w:val="center"/>
                    <w:rPr>
                      <w:b/>
                      <w:bCs/>
                      <w:color w:val="auto"/>
                      <w:sz w:val="21"/>
                      <w:szCs w:val="21"/>
                    </w:rPr>
                  </w:pPr>
                  <w:r>
                    <w:rPr>
                      <w:b/>
                      <w:bCs/>
                      <w:color w:val="auto"/>
                      <w:sz w:val="21"/>
                      <w:szCs w:val="21"/>
                    </w:rPr>
                    <w:t>方式</w:t>
                  </w:r>
                </w:p>
              </w:tc>
              <w:tc>
                <w:tcPr>
                  <w:tcW w:w="639" w:type="pct"/>
                  <w:tcBorders>
                    <w:top w:val="single" w:color="auto" w:sz="4" w:space="0"/>
                    <w:left w:val="nil"/>
                    <w:bottom w:val="single" w:color="auto" w:sz="4" w:space="0"/>
                    <w:right w:val="single" w:color="auto" w:sz="4" w:space="0"/>
                  </w:tcBorders>
                  <w:shd w:val="clear" w:color="auto" w:fill="auto"/>
                  <w:noWrap w:val="0"/>
                  <w:vAlign w:val="center"/>
                </w:tcPr>
                <w:p w14:paraId="33660B74">
                  <w:pPr>
                    <w:pStyle w:val="2"/>
                    <w:jc w:val="center"/>
                    <w:rPr>
                      <w:b/>
                      <w:bCs/>
                      <w:color w:val="auto"/>
                      <w:sz w:val="21"/>
                      <w:szCs w:val="21"/>
                    </w:rPr>
                  </w:pPr>
                  <w:r>
                    <w:rPr>
                      <w:b/>
                      <w:bCs/>
                      <w:color w:val="auto"/>
                      <w:sz w:val="21"/>
                      <w:szCs w:val="21"/>
                    </w:rPr>
                    <w:t>噪声值</w:t>
                  </w:r>
                </w:p>
              </w:tc>
              <w:tc>
                <w:tcPr>
                  <w:tcW w:w="961" w:type="pct"/>
                  <w:tcBorders>
                    <w:top w:val="single" w:color="auto" w:sz="4" w:space="0"/>
                    <w:left w:val="nil"/>
                    <w:bottom w:val="single" w:color="auto" w:sz="4" w:space="0"/>
                    <w:right w:val="single" w:color="auto" w:sz="4" w:space="0"/>
                  </w:tcBorders>
                  <w:shd w:val="clear" w:color="auto" w:fill="auto"/>
                  <w:noWrap w:val="0"/>
                  <w:vAlign w:val="center"/>
                </w:tcPr>
                <w:p w14:paraId="66C72813">
                  <w:pPr>
                    <w:pStyle w:val="2"/>
                    <w:jc w:val="center"/>
                    <w:rPr>
                      <w:b/>
                      <w:bCs/>
                      <w:color w:val="auto"/>
                      <w:sz w:val="21"/>
                      <w:szCs w:val="21"/>
                    </w:rPr>
                  </w:pPr>
                  <w:r>
                    <w:rPr>
                      <w:b/>
                      <w:bCs/>
                      <w:color w:val="auto"/>
                      <w:sz w:val="21"/>
                      <w:szCs w:val="21"/>
                    </w:rPr>
                    <w:t>采取降噪措施</w:t>
                  </w:r>
                </w:p>
              </w:tc>
              <w:tc>
                <w:tcPr>
                  <w:tcW w:w="509" w:type="pct"/>
                  <w:tcBorders>
                    <w:top w:val="single" w:color="auto" w:sz="4" w:space="0"/>
                    <w:left w:val="nil"/>
                    <w:bottom w:val="single" w:color="auto" w:sz="4" w:space="0"/>
                    <w:right w:val="single" w:color="auto" w:sz="4" w:space="0"/>
                  </w:tcBorders>
                  <w:shd w:val="clear" w:color="auto" w:fill="auto"/>
                  <w:noWrap w:val="0"/>
                  <w:vAlign w:val="center"/>
                </w:tcPr>
                <w:p w14:paraId="4077BAE4">
                  <w:pPr>
                    <w:pStyle w:val="2"/>
                    <w:jc w:val="center"/>
                    <w:rPr>
                      <w:b/>
                      <w:bCs/>
                      <w:color w:val="auto"/>
                      <w:sz w:val="21"/>
                      <w:szCs w:val="21"/>
                    </w:rPr>
                  </w:pPr>
                  <w:r>
                    <w:rPr>
                      <w:b/>
                      <w:bCs/>
                      <w:color w:val="auto"/>
                      <w:sz w:val="21"/>
                      <w:szCs w:val="21"/>
                    </w:rPr>
                    <w:t>降噪后噪声级</w:t>
                  </w:r>
                </w:p>
              </w:tc>
            </w:tr>
            <w:tr w14:paraId="7BF09583">
              <w:tblPrEx>
                <w:tblCellMar>
                  <w:top w:w="0" w:type="dxa"/>
                  <w:left w:w="108" w:type="dxa"/>
                  <w:bottom w:w="0" w:type="dxa"/>
                  <w:right w:w="108" w:type="dxa"/>
                </w:tblCellMar>
              </w:tblPrEx>
              <w:trPr>
                <w:trHeight w:val="713"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F428885">
                  <w:pPr>
                    <w:pStyle w:val="2"/>
                    <w:jc w:val="center"/>
                    <w:rPr>
                      <w:b w:val="0"/>
                      <w:bCs w:val="0"/>
                      <w:color w:val="auto"/>
                      <w:sz w:val="21"/>
                      <w:szCs w:val="21"/>
                    </w:rPr>
                  </w:pPr>
                  <w:r>
                    <w:rPr>
                      <w:b w:val="0"/>
                      <w:bCs w:val="0"/>
                      <w:color w:val="auto"/>
                      <w:sz w:val="21"/>
                      <w:szCs w:val="21"/>
                    </w:rPr>
                    <w:t>1</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9B53C65">
                  <w:pPr>
                    <w:pStyle w:val="2"/>
                    <w:jc w:val="center"/>
                    <w:rPr>
                      <w:b w:val="0"/>
                      <w:bCs w:val="0"/>
                      <w:color w:val="auto"/>
                      <w:sz w:val="21"/>
                      <w:szCs w:val="21"/>
                      <w:highlight w:val="red"/>
                    </w:rPr>
                  </w:pPr>
                  <w:r>
                    <w:rPr>
                      <w:rFonts w:hint="eastAsia" w:ascii="宋体" w:hAnsi="宋体" w:eastAsia="宋体" w:cs="宋体"/>
                      <w:color w:val="auto"/>
                      <w:sz w:val="21"/>
                      <w:szCs w:val="21"/>
                      <w:lang w:val="en-US" w:eastAsia="zh-CN"/>
                    </w:rPr>
                    <w:t>高效全自动清洗消毒器</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63BC398">
                  <w:pPr>
                    <w:pStyle w:val="2"/>
                    <w:jc w:val="center"/>
                    <w:rPr>
                      <w:rFonts w:hint="eastAsia" w:eastAsia="宋体"/>
                      <w:b w:val="0"/>
                      <w:bCs w:val="0"/>
                      <w:color w:val="auto"/>
                      <w:sz w:val="21"/>
                      <w:szCs w:val="21"/>
                      <w:lang w:eastAsia="zh-CN"/>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D16DE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522725C">
                  <w:pPr>
                    <w:pStyle w:val="2"/>
                    <w:jc w:val="center"/>
                    <w:rPr>
                      <w:color w:val="auto"/>
                      <w:sz w:val="21"/>
                      <w:szCs w:val="21"/>
                    </w:rPr>
                  </w:pPr>
                  <w:r>
                    <w:rPr>
                      <w:color w:val="auto"/>
                      <w:sz w:val="21"/>
                      <w:szCs w:val="21"/>
                    </w:rPr>
                    <w:t>75</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7734D05">
                  <w:pPr>
                    <w:pStyle w:val="2"/>
                    <w:jc w:val="center"/>
                    <w:rPr>
                      <w:rFonts w:hint="eastAsia"/>
                      <w:color w:val="auto"/>
                      <w:sz w:val="21"/>
                      <w:szCs w:val="21"/>
                    </w:rPr>
                  </w:pPr>
                  <w:r>
                    <w:rPr>
                      <w:rFonts w:hint="eastAsia"/>
                      <w:color w:val="auto"/>
                      <w:sz w:val="21"/>
                      <w:szCs w:val="21"/>
                    </w:rPr>
                    <w:t>基础减震、厂房隔音</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DCB5245">
                  <w:pPr>
                    <w:pStyle w:val="2"/>
                    <w:jc w:val="center"/>
                    <w:rPr>
                      <w:color w:val="auto"/>
                      <w:sz w:val="21"/>
                      <w:szCs w:val="21"/>
                    </w:rPr>
                  </w:pPr>
                  <w:r>
                    <w:rPr>
                      <w:color w:val="auto"/>
                      <w:sz w:val="21"/>
                      <w:szCs w:val="21"/>
                    </w:rPr>
                    <w:t>60</w:t>
                  </w:r>
                </w:p>
              </w:tc>
            </w:tr>
            <w:tr w14:paraId="31FC1C0F">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F9CEAAB">
                  <w:pPr>
                    <w:pStyle w:val="2"/>
                    <w:jc w:val="center"/>
                    <w:rPr>
                      <w:rFonts w:hint="eastAsia" w:eastAsia="宋体"/>
                      <w:b w:val="0"/>
                      <w:bCs w:val="0"/>
                      <w:color w:val="auto"/>
                      <w:sz w:val="21"/>
                      <w:szCs w:val="21"/>
                      <w:lang w:eastAsia="zh-CN"/>
                    </w:rPr>
                  </w:pPr>
                  <w:r>
                    <w:rPr>
                      <w:rFonts w:hint="eastAsia"/>
                      <w:b w:val="0"/>
                      <w:bCs w:val="0"/>
                      <w:color w:val="auto"/>
                      <w:sz w:val="21"/>
                      <w:szCs w:val="21"/>
                      <w:lang w:val="en-US" w:eastAsia="zh-CN"/>
                    </w:rPr>
                    <w:t>2</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76365BE">
                  <w:pPr>
                    <w:pStyle w:val="2"/>
                    <w:jc w:val="center"/>
                    <w:rPr>
                      <w:b w:val="0"/>
                      <w:bCs w:val="0"/>
                      <w:color w:val="auto"/>
                      <w:sz w:val="21"/>
                      <w:szCs w:val="21"/>
                      <w:highlight w:val="red"/>
                    </w:rPr>
                  </w:pPr>
                  <w:r>
                    <w:rPr>
                      <w:rFonts w:hint="eastAsia" w:ascii="宋体" w:hAnsi="宋体" w:eastAsia="宋体" w:cs="宋体"/>
                      <w:color w:val="auto"/>
                      <w:sz w:val="21"/>
                      <w:szCs w:val="21"/>
                      <w:lang w:val="en-US" w:eastAsia="zh-CN"/>
                    </w:rPr>
                    <w:t>脉动真空灭菌器</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7BF49D1">
                  <w:pPr>
                    <w:pStyle w:val="2"/>
                    <w:jc w:val="center"/>
                    <w:rPr>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64773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A163C15">
                  <w:pPr>
                    <w:pStyle w:val="2"/>
                    <w:jc w:val="center"/>
                    <w:rPr>
                      <w:rFonts w:hint="eastAsia"/>
                      <w:color w:val="auto"/>
                      <w:sz w:val="21"/>
                      <w:szCs w:val="21"/>
                    </w:rPr>
                  </w:pPr>
                  <w:r>
                    <w:rPr>
                      <w:color w:val="auto"/>
                      <w:sz w:val="21"/>
                      <w:szCs w:val="21"/>
                    </w:rPr>
                    <w:t>75</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BC2EA32">
                  <w:pPr>
                    <w:pStyle w:val="2"/>
                    <w:jc w:val="center"/>
                    <w:rPr>
                      <w:rFonts w:hint="eastAsia"/>
                      <w:color w:val="auto"/>
                      <w:sz w:val="21"/>
                      <w:szCs w:val="21"/>
                    </w:rPr>
                  </w:pPr>
                  <w:r>
                    <w:rPr>
                      <w:rFonts w:hint="eastAsia"/>
                      <w:color w:val="auto"/>
                      <w:sz w:val="21"/>
                      <w:szCs w:val="21"/>
                    </w:rPr>
                    <w:t>基础减震、厂房隔音</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8EDD00">
                  <w:pPr>
                    <w:pStyle w:val="2"/>
                    <w:jc w:val="center"/>
                    <w:rPr>
                      <w:color w:val="auto"/>
                      <w:sz w:val="21"/>
                      <w:szCs w:val="21"/>
                    </w:rPr>
                  </w:pPr>
                  <w:r>
                    <w:rPr>
                      <w:color w:val="auto"/>
                      <w:sz w:val="21"/>
                      <w:szCs w:val="21"/>
                    </w:rPr>
                    <w:t>60</w:t>
                  </w:r>
                </w:p>
              </w:tc>
            </w:tr>
            <w:tr w14:paraId="178700AB">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96B9A2B">
                  <w:pPr>
                    <w:pStyle w:val="2"/>
                    <w:jc w:val="center"/>
                    <w:rPr>
                      <w:rFonts w:hint="eastAsia" w:eastAsia="宋体"/>
                      <w:b w:val="0"/>
                      <w:bCs w:val="0"/>
                      <w:color w:val="auto"/>
                      <w:sz w:val="21"/>
                      <w:szCs w:val="21"/>
                      <w:lang w:eastAsia="zh-CN"/>
                    </w:rPr>
                  </w:pPr>
                  <w:r>
                    <w:rPr>
                      <w:rFonts w:hint="eastAsia"/>
                      <w:b w:val="0"/>
                      <w:bCs w:val="0"/>
                      <w:color w:val="auto"/>
                      <w:sz w:val="21"/>
                      <w:szCs w:val="21"/>
                      <w:lang w:val="en-US" w:eastAsia="zh-CN"/>
                    </w:rPr>
                    <w:t>3</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A552482">
                  <w:pPr>
                    <w:pStyle w:val="2"/>
                    <w:jc w:val="center"/>
                    <w:rPr>
                      <w:rFonts w:hint="eastAsia"/>
                      <w:b w:val="0"/>
                      <w:bCs w:val="0"/>
                      <w:color w:val="auto"/>
                      <w:sz w:val="21"/>
                      <w:szCs w:val="21"/>
                      <w:highlight w:val="red"/>
                    </w:rPr>
                  </w:pPr>
                  <w:r>
                    <w:rPr>
                      <w:b w:val="0"/>
                      <w:bCs w:val="0"/>
                      <w:color w:val="auto"/>
                      <w:sz w:val="21"/>
                      <w:szCs w:val="21"/>
                      <w:highlight w:val="none"/>
                    </w:rPr>
                    <w:t>医用真空干燥柜</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C45ED3D">
                  <w:pPr>
                    <w:pStyle w:val="2"/>
                    <w:jc w:val="center"/>
                    <w:rPr>
                      <w:rFonts w:hint="eastAsia"/>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4C452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B398634">
                  <w:pPr>
                    <w:pStyle w:val="2"/>
                    <w:jc w:val="center"/>
                    <w:rPr>
                      <w:color w:val="auto"/>
                      <w:sz w:val="21"/>
                      <w:szCs w:val="21"/>
                    </w:rPr>
                  </w:pPr>
                  <w:r>
                    <w:rPr>
                      <w:color w:val="auto"/>
                      <w:sz w:val="21"/>
                      <w:szCs w:val="21"/>
                    </w:rPr>
                    <w:t>80</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9FA76B0">
                  <w:pPr>
                    <w:pStyle w:val="2"/>
                    <w:jc w:val="center"/>
                    <w:rPr>
                      <w:rFonts w:hint="eastAsia"/>
                      <w:color w:val="auto"/>
                      <w:sz w:val="21"/>
                      <w:szCs w:val="21"/>
                    </w:rPr>
                  </w:pPr>
                  <w:r>
                    <w:rPr>
                      <w:rFonts w:hint="eastAsia"/>
                      <w:color w:val="auto"/>
                      <w:sz w:val="21"/>
                      <w:szCs w:val="21"/>
                    </w:rPr>
                    <w:t>基础减震、厂房隔音</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D36F03B">
                  <w:pPr>
                    <w:pStyle w:val="2"/>
                    <w:jc w:val="center"/>
                    <w:rPr>
                      <w:rFonts w:hint="eastAsia"/>
                      <w:color w:val="auto"/>
                      <w:sz w:val="21"/>
                      <w:szCs w:val="21"/>
                    </w:rPr>
                  </w:pPr>
                  <w:r>
                    <w:rPr>
                      <w:color w:val="auto"/>
                      <w:sz w:val="21"/>
                      <w:szCs w:val="21"/>
                    </w:rPr>
                    <w:t>65</w:t>
                  </w:r>
                </w:p>
              </w:tc>
            </w:tr>
            <w:tr w14:paraId="0618203D">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2DB0D87">
                  <w:pPr>
                    <w:pStyle w:val="2"/>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4</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627C65A">
                  <w:pPr>
                    <w:pStyle w:val="2"/>
                    <w:jc w:val="center"/>
                    <w:rPr>
                      <w:b w:val="0"/>
                      <w:bCs w:val="0"/>
                      <w:color w:val="auto"/>
                      <w:sz w:val="21"/>
                      <w:szCs w:val="21"/>
                    </w:rPr>
                  </w:pPr>
                  <w:r>
                    <w:rPr>
                      <w:rFonts w:hint="eastAsia" w:ascii="宋体" w:hAnsi="宋体" w:eastAsia="宋体" w:cs="宋体"/>
                      <w:color w:val="auto"/>
                      <w:sz w:val="21"/>
                      <w:szCs w:val="21"/>
                      <w:lang w:val="en-US" w:eastAsia="zh-CN"/>
                    </w:rPr>
                    <w:t>软水机</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A2A39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10A2F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876FD55">
                  <w:pPr>
                    <w:pStyle w:val="2"/>
                    <w:jc w:val="center"/>
                    <w:rPr>
                      <w:rFonts w:hint="eastAsia"/>
                      <w:color w:val="auto"/>
                      <w:sz w:val="21"/>
                      <w:szCs w:val="21"/>
                    </w:rPr>
                  </w:pPr>
                  <w:r>
                    <w:rPr>
                      <w:color w:val="auto"/>
                      <w:sz w:val="21"/>
                      <w:szCs w:val="21"/>
                    </w:rPr>
                    <w:t>75</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2804C2">
                  <w:pPr>
                    <w:pStyle w:val="2"/>
                    <w:jc w:val="center"/>
                    <w:rPr>
                      <w:rFonts w:hint="eastAsia"/>
                      <w:color w:val="auto"/>
                      <w:sz w:val="21"/>
                      <w:szCs w:val="21"/>
                    </w:rPr>
                  </w:pPr>
                  <w:r>
                    <w:rPr>
                      <w:rFonts w:hint="eastAsia"/>
                      <w:color w:val="auto"/>
                      <w:sz w:val="21"/>
                      <w:szCs w:val="21"/>
                    </w:rPr>
                    <w:t>基础减震、厂房隔音</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DE54301">
                  <w:pPr>
                    <w:pStyle w:val="2"/>
                    <w:jc w:val="center"/>
                    <w:rPr>
                      <w:color w:val="auto"/>
                      <w:sz w:val="21"/>
                      <w:szCs w:val="21"/>
                    </w:rPr>
                  </w:pPr>
                  <w:r>
                    <w:rPr>
                      <w:color w:val="auto"/>
                      <w:sz w:val="21"/>
                      <w:szCs w:val="21"/>
                    </w:rPr>
                    <w:t>60</w:t>
                  </w:r>
                </w:p>
              </w:tc>
            </w:tr>
            <w:tr w14:paraId="08883DFD">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27656AB">
                  <w:pPr>
                    <w:pStyle w:val="2"/>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5</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7B662C4">
                  <w:pPr>
                    <w:pStyle w:val="2"/>
                    <w:jc w:val="center"/>
                    <w:rPr>
                      <w:b w:val="0"/>
                      <w:bCs w:val="0"/>
                      <w:color w:val="auto"/>
                      <w:sz w:val="21"/>
                      <w:szCs w:val="21"/>
                    </w:rPr>
                  </w:pPr>
                  <w:r>
                    <w:rPr>
                      <w:rFonts w:hint="eastAsia" w:ascii="宋体" w:hAnsi="宋体" w:eastAsia="宋体" w:cs="宋体"/>
                      <w:color w:val="auto"/>
                      <w:sz w:val="21"/>
                      <w:szCs w:val="21"/>
                      <w:lang w:val="en-US" w:eastAsia="zh-CN"/>
                    </w:rPr>
                    <w:t>全自动纯水机</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41319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9ED24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B2ABA28">
                  <w:pPr>
                    <w:pStyle w:val="2"/>
                    <w:jc w:val="center"/>
                    <w:rPr>
                      <w:rFonts w:hint="eastAsia"/>
                      <w:color w:val="auto"/>
                      <w:sz w:val="21"/>
                      <w:szCs w:val="21"/>
                    </w:rPr>
                  </w:pPr>
                  <w:r>
                    <w:rPr>
                      <w:color w:val="auto"/>
                      <w:sz w:val="21"/>
                      <w:szCs w:val="21"/>
                    </w:rPr>
                    <w:t>75</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980C959">
                  <w:pPr>
                    <w:pStyle w:val="2"/>
                    <w:jc w:val="center"/>
                    <w:rPr>
                      <w:rFonts w:hint="eastAsia"/>
                      <w:color w:val="auto"/>
                      <w:sz w:val="21"/>
                      <w:szCs w:val="21"/>
                    </w:rPr>
                  </w:pPr>
                  <w:r>
                    <w:rPr>
                      <w:rFonts w:hint="eastAsia"/>
                      <w:color w:val="auto"/>
                      <w:sz w:val="21"/>
                      <w:szCs w:val="21"/>
                    </w:rPr>
                    <w:t>厂房隔音、隔音房</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601388D">
                  <w:pPr>
                    <w:pStyle w:val="2"/>
                    <w:jc w:val="center"/>
                    <w:rPr>
                      <w:color w:val="auto"/>
                      <w:sz w:val="21"/>
                      <w:szCs w:val="21"/>
                    </w:rPr>
                  </w:pPr>
                  <w:r>
                    <w:rPr>
                      <w:color w:val="auto"/>
                      <w:sz w:val="21"/>
                      <w:szCs w:val="21"/>
                    </w:rPr>
                    <w:t>60</w:t>
                  </w:r>
                </w:p>
              </w:tc>
            </w:tr>
            <w:tr w14:paraId="4B8E0FB4">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8ED1AE4">
                  <w:pPr>
                    <w:pStyle w:val="2"/>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6</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9E16AEE">
                  <w:pPr>
                    <w:pStyle w:val="2"/>
                    <w:jc w:val="center"/>
                    <w:rPr>
                      <w:b w:val="0"/>
                      <w:bCs w:val="0"/>
                      <w:color w:val="auto"/>
                      <w:sz w:val="21"/>
                      <w:szCs w:val="21"/>
                    </w:rPr>
                  </w:pPr>
                  <w:r>
                    <w:rPr>
                      <w:rFonts w:hint="eastAsia" w:ascii="宋体" w:hAnsi="宋体" w:eastAsia="宋体" w:cs="宋体"/>
                      <w:color w:val="auto"/>
                      <w:sz w:val="21"/>
                      <w:szCs w:val="21"/>
                      <w:lang w:val="en-US" w:eastAsia="zh-CN"/>
                    </w:rPr>
                    <w:t>超声波清洗机</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01D87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8AD3E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F36CC22">
                  <w:pPr>
                    <w:pStyle w:val="2"/>
                    <w:jc w:val="center"/>
                    <w:rPr>
                      <w:rFonts w:hint="eastAsia"/>
                      <w:color w:val="auto"/>
                      <w:sz w:val="21"/>
                      <w:szCs w:val="21"/>
                    </w:rPr>
                  </w:pPr>
                  <w:r>
                    <w:rPr>
                      <w:color w:val="auto"/>
                      <w:sz w:val="21"/>
                      <w:szCs w:val="21"/>
                    </w:rPr>
                    <w:t>75</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5DB3F58">
                  <w:pPr>
                    <w:pStyle w:val="2"/>
                    <w:jc w:val="center"/>
                    <w:rPr>
                      <w:rFonts w:hint="eastAsia"/>
                      <w:color w:val="auto"/>
                      <w:sz w:val="21"/>
                      <w:szCs w:val="21"/>
                    </w:rPr>
                  </w:pPr>
                  <w:r>
                    <w:rPr>
                      <w:rFonts w:hint="eastAsia"/>
                      <w:color w:val="auto"/>
                      <w:sz w:val="21"/>
                      <w:szCs w:val="21"/>
                    </w:rPr>
                    <w:t>厂房隔音、隔音房</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D485D81">
                  <w:pPr>
                    <w:pStyle w:val="2"/>
                    <w:jc w:val="center"/>
                    <w:rPr>
                      <w:color w:val="auto"/>
                      <w:sz w:val="21"/>
                      <w:szCs w:val="21"/>
                    </w:rPr>
                  </w:pPr>
                  <w:r>
                    <w:rPr>
                      <w:color w:val="auto"/>
                      <w:sz w:val="21"/>
                      <w:szCs w:val="21"/>
                    </w:rPr>
                    <w:t>60</w:t>
                  </w:r>
                </w:p>
              </w:tc>
            </w:tr>
            <w:tr w14:paraId="2C01E885">
              <w:tblPrEx>
                <w:tblCellMar>
                  <w:top w:w="0" w:type="dxa"/>
                  <w:left w:w="108" w:type="dxa"/>
                  <w:bottom w:w="0" w:type="dxa"/>
                  <w:right w:w="108" w:type="dxa"/>
                </w:tblCellMar>
              </w:tblPrEx>
              <w:trPr>
                <w:trHeight w:val="525" w:hRule="atLeast"/>
                <w:jc w:val="center"/>
              </w:trPr>
              <w:tc>
                <w:tcPr>
                  <w:tcW w:w="32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5CDAD4A">
                  <w:pPr>
                    <w:pStyle w:val="2"/>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7</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0883A3F">
                  <w:pPr>
                    <w:pStyle w:val="2"/>
                    <w:jc w:val="center"/>
                    <w:rPr>
                      <w:b w:val="0"/>
                      <w:bCs w:val="0"/>
                      <w:color w:val="auto"/>
                      <w:sz w:val="21"/>
                      <w:szCs w:val="21"/>
                    </w:rPr>
                  </w:pPr>
                  <w:r>
                    <w:rPr>
                      <w:b w:val="0"/>
                      <w:bCs w:val="0"/>
                      <w:color w:val="auto"/>
                      <w:sz w:val="21"/>
                      <w:szCs w:val="21"/>
                    </w:rPr>
                    <w:t>风机</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2C309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rFonts w:hint="eastAsia"/>
                      <w:b w:val="0"/>
                      <w:bCs w:val="0"/>
                      <w:color w:val="auto"/>
                      <w:sz w:val="21"/>
                      <w:szCs w:val="21"/>
                      <w:lang w:val="en-US" w:eastAsia="zh-CN"/>
                    </w:rPr>
                    <w:t>消毒中心</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E0959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color w:val="auto"/>
                      <w:sz w:val="21"/>
                      <w:szCs w:val="21"/>
                    </w:rPr>
                  </w:pPr>
                  <w:r>
                    <w:rPr>
                      <w:color w:val="auto"/>
                      <w:spacing w:val="-4"/>
                      <w:sz w:val="18"/>
                      <w:szCs w:val="18"/>
                    </w:rPr>
                    <w:t>频发</w:t>
                  </w:r>
                </w:p>
              </w:tc>
              <w:tc>
                <w:tcPr>
                  <w:tcW w:w="63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EA7440E">
                  <w:pPr>
                    <w:pStyle w:val="2"/>
                    <w:jc w:val="center"/>
                    <w:rPr>
                      <w:rFonts w:hint="eastAsia"/>
                      <w:color w:val="auto"/>
                      <w:sz w:val="21"/>
                      <w:szCs w:val="21"/>
                    </w:rPr>
                  </w:pPr>
                  <w:r>
                    <w:rPr>
                      <w:color w:val="auto"/>
                      <w:sz w:val="21"/>
                      <w:szCs w:val="21"/>
                    </w:rPr>
                    <w:t>90</w:t>
                  </w:r>
                </w:p>
              </w:tc>
              <w:tc>
                <w:tcPr>
                  <w:tcW w:w="96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C3611F0">
                  <w:pPr>
                    <w:pStyle w:val="2"/>
                    <w:jc w:val="center"/>
                    <w:rPr>
                      <w:rFonts w:hint="eastAsia"/>
                      <w:color w:val="auto"/>
                      <w:sz w:val="21"/>
                      <w:szCs w:val="21"/>
                    </w:rPr>
                  </w:pPr>
                  <w:r>
                    <w:rPr>
                      <w:rFonts w:hint="eastAsia"/>
                      <w:color w:val="auto"/>
                      <w:sz w:val="21"/>
                      <w:szCs w:val="21"/>
                    </w:rPr>
                    <w:t>减振垫、隔声罩、消音器</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CDE6AC">
                  <w:pPr>
                    <w:pStyle w:val="2"/>
                    <w:jc w:val="center"/>
                    <w:rPr>
                      <w:color w:val="auto"/>
                      <w:sz w:val="21"/>
                      <w:szCs w:val="21"/>
                    </w:rPr>
                  </w:pPr>
                  <w:r>
                    <w:rPr>
                      <w:color w:val="auto"/>
                      <w:sz w:val="21"/>
                      <w:szCs w:val="21"/>
                    </w:rPr>
                    <w:t>70</w:t>
                  </w:r>
                </w:p>
              </w:tc>
            </w:tr>
          </w:tbl>
          <w:p w14:paraId="538B74A3">
            <w:pPr>
              <w:pStyle w:val="38"/>
              <w:ind w:firstLine="514"/>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4-14扩建后江城卫生院噪声源强一览表</w:t>
            </w:r>
          </w:p>
          <w:tbl>
            <w:tblPr>
              <w:tblStyle w:val="19"/>
              <w:tblW w:w="4996" w:type="pct"/>
              <w:tblInd w:w="0" w:type="dxa"/>
              <w:tblLayout w:type="autofit"/>
              <w:tblCellMar>
                <w:top w:w="0" w:type="dxa"/>
                <w:left w:w="108" w:type="dxa"/>
                <w:bottom w:w="0" w:type="dxa"/>
                <w:right w:w="108" w:type="dxa"/>
              </w:tblCellMar>
            </w:tblPr>
            <w:tblGrid>
              <w:gridCol w:w="686"/>
              <w:gridCol w:w="1950"/>
              <w:gridCol w:w="1145"/>
              <w:gridCol w:w="1148"/>
              <w:gridCol w:w="789"/>
              <w:gridCol w:w="1544"/>
              <w:gridCol w:w="816"/>
            </w:tblGrid>
            <w:tr w14:paraId="081C9D20">
              <w:tblPrEx>
                <w:tblCellMar>
                  <w:top w:w="0" w:type="dxa"/>
                  <w:left w:w="108" w:type="dxa"/>
                  <w:bottom w:w="0" w:type="dxa"/>
                  <w:right w:w="108" w:type="dxa"/>
                </w:tblCellMar>
              </w:tblPrEx>
              <w:trPr>
                <w:trHeight w:val="942" w:hRule="atLeast"/>
              </w:trPr>
              <w:tc>
                <w:tcPr>
                  <w:tcW w:w="42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40EC77F">
                  <w:pPr>
                    <w:pStyle w:val="2"/>
                    <w:jc w:val="center"/>
                    <w:rPr>
                      <w:b/>
                      <w:bCs/>
                      <w:color w:val="auto"/>
                      <w:sz w:val="21"/>
                      <w:szCs w:val="21"/>
                    </w:rPr>
                  </w:pPr>
                  <w:r>
                    <w:rPr>
                      <w:b/>
                      <w:bCs/>
                      <w:color w:val="auto"/>
                      <w:sz w:val="21"/>
                      <w:szCs w:val="21"/>
                    </w:rPr>
                    <w:t>序号</w:t>
                  </w:r>
                </w:p>
              </w:tc>
              <w:tc>
                <w:tcPr>
                  <w:tcW w:w="1206" w:type="pct"/>
                  <w:tcBorders>
                    <w:top w:val="single" w:color="auto" w:sz="4" w:space="0"/>
                    <w:left w:val="nil"/>
                    <w:bottom w:val="single" w:color="auto" w:sz="4" w:space="0"/>
                    <w:right w:val="single" w:color="auto" w:sz="4" w:space="0"/>
                  </w:tcBorders>
                  <w:shd w:val="clear" w:color="auto" w:fill="auto"/>
                  <w:noWrap w:val="0"/>
                  <w:vAlign w:val="center"/>
                </w:tcPr>
                <w:p w14:paraId="7BF92E59">
                  <w:pPr>
                    <w:pStyle w:val="2"/>
                    <w:jc w:val="center"/>
                    <w:rPr>
                      <w:b/>
                      <w:bCs/>
                      <w:color w:val="auto"/>
                      <w:sz w:val="21"/>
                      <w:szCs w:val="21"/>
                    </w:rPr>
                  </w:pPr>
                  <w:r>
                    <w:rPr>
                      <w:b/>
                      <w:bCs/>
                      <w:color w:val="auto"/>
                      <w:sz w:val="21"/>
                      <w:szCs w:val="21"/>
                    </w:rPr>
                    <w:t>噪声源</w:t>
                  </w:r>
                </w:p>
              </w:tc>
              <w:tc>
                <w:tcPr>
                  <w:tcW w:w="708" w:type="pct"/>
                  <w:tcBorders>
                    <w:top w:val="single" w:color="auto" w:sz="4" w:space="0"/>
                    <w:left w:val="nil"/>
                    <w:bottom w:val="single" w:color="auto" w:sz="4" w:space="0"/>
                    <w:right w:val="single" w:color="auto" w:sz="4" w:space="0"/>
                  </w:tcBorders>
                  <w:shd w:val="clear" w:color="auto" w:fill="auto"/>
                  <w:noWrap w:val="0"/>
                  <w:vAlign w:val="center"/>
                </w:tcPr>
                <w:p w14:paraId="79321563">
                  <w:pPr>
                    <w:pStyle w:val="2"/>
                    <w:jc w:val="center"/>
                    <w:rPr>
                      <w:b/>
                      <w:bCs/>
                      <w:color w:val="auto"/>
                      <w:sz w:val="21"/>
                      <w:szCs w:val="21"/>
                    </w:rPr>
                  </w:pPr>
                  <w:r>
                    <w:rPr>
                      <w:b/>
                      <w:bCs/>
                      <w:color w:val="auto"/>
                      <w:sz w:val="21"/>
                      <w:szCs w:val="21"/>
                    </w:rPr>
                    <w:t>位置</w:t>
                  </w:r>
                </w:p>
              </w:tc>
              <w:tc>
                <w:tcPr>
                  <w:tcW w:w="710" w:type="pct"/>
                  <w:tcBorders>
                    <w:top w:val="single" w:color="auto" w:sz="4" w:space="0"/>
                    <w:left w:val="nil"/>
                    <w:bottom w:val="single" w:color="auto" w:sz="4" w:space="0"/>
                    <w:right w:val="single" w:color="auto" w:sz="4" w:space="0"/>
                  </w:tcBorders>
                  <w:shd w:val="clear" w:color="auto" w:fill="auto"/>
                  <w:noWrap w:val="0"/>
                  <w:vAlign w:val="center"/>
                </w:tcPr>
                <w:p w14:paraId="64C380E2">
                  <w:pPr>
                    <w:pStyle w:val="2"/>
                    <w:jc w:val="center"/>
                    <w:rPr>
                      <w:rFonts w:hint="eastAsia"/>
                      <w:b/>
                      <w:bCs/>
                      <w:color w:val="auto"/>
                      <w:sz w:val="21"/>
                      <w:szCs w:val="21"/>
                    </w:rPr>
                  </w:pPr>
                  <w:r>
                    <w:rPr>
                      <w:b/>
                      <w:bCs/>
                      <w:color w:val="auto"/>
                      <w:sz w:val="21"/>
                      <w:szCs w:val="21"/>
                    </w:rPr>
                    <w:t>运行</w:t>
                  </w:r>
                </w:p>
                <w:p w14:paraId="04A72FE1">
                  <w:pPr>
                    <w:pStyle w:val="2"/>
                    <w:jc w:val="center"/>
                    <w:rPr>
                      <w:b/>
                      <w:bCs/>
                      <w:color w:val="auto"/>
                      <w:sz w:val="21"/>
                      <w:szCs w:val="21"/>
                    </w:rPr>
                  </w:pPr>
                  <w:r>
                    <w:rPr>
                      <w:b/>
                      <w:bCs/>
                      <w:color w:val="auto"/>
                      <w:sz w:val="21"/>
                      <w:szCs w:val="21"/>
                    </w:rPr>
                    <w:t>方式</w:t>
                  </w:r>
                </w:p>
              </w:tc>
              <w:tc>
                <w:tcPr>
                  <w:tcW w:w="488" w:type="pct"/>
                  <w:tcBorders>
                    <w:top w:val="single" w:color="auto" w:sz="4" w:space="0"/>
                    <w:left w:val="nil"/>
                    <w:bottom w:val="single" w:color="auto" w:sz="4" w:space="0"/>
                    <w:right w:val="single" w:color="auto" w:sz="4" w:space="0"/>
                  </w:tcBorders>
                  <w:shd w:val="clear" w:color="auto" w:fill="auto"/>
                  <w:noWrap w:val="0"/>
                  <w:vAlign w:val="center"/>
                </w:tcPr>
                <w:p w14:paraId="76D929B2">
                  <w:pPr>
                    <w:pStyle w:val="2"/>
                    <w:jc w:val="center"/>
                    <w:rPr>
                      <w:b/>
                      <w:bCs/>
                      <w:color w:val="auto"/>
                      <w:sz w:val="21"/>
                      <w:szCs w:val="21"/>
                    </w:rPr>
                  </w:pPr>
                  <w:r>
                    <w:rPr>
                      <w:b/>
                      <w:bCs/>
                      <w:color w:val="auto"/>
                      <w:sz w:val="21"/>
                      <w:szCs w:val="21"/>
                    </w:rPr>
                    <w:t>噪声值</w:t>
                  </w:r>
                </w:p>
              </w:tc>
              <w:tc>
                <w:tcPr>
                  <w:tcW w:w="955" w:type="pct"/>
                  <w:tcBorders>
                    <w:top w:val="single" w:color="auto" w:sz="4" w:space="0"/>
                    <w:left w:val="nil"/>
                    <w:bottom w:val="single" w:color="auto" w:sz="4" w:space="0"/>
                    <w:right w:val="single" w:color="auto" w:sz="4" w:space="0"/>
                  </w:tcBorders>
                  <w:shd w:val="clear" w:color="auto" w:fill="auto"/>
                  <w:noWrap w:val="0"/>
                  <w:vAlign w:val="center"/>
                </w:tcPr>
                <w:p w14:paraId="4E3FF0E3">
                  <w:pPr>
                    <w:pStyle w:val="2"/>
                    <w:jc w:val="center"/>
                    <w:rPr>
                      <w:b/>
                      <w:bCs/>
                      <w:color w:val="auto"/>
                      <w:sz w:val="21"/>
                      <w:szCs w:val="21"/>
                    </w:rPr>
                  </w:pPr>
                  <w:r>
                    <w:rPr>
                      <w:b/>
                      <w:bCs/>
                      <w:color w:val="auto"/>
                      <w:sz w:val="21"/>
                      <w:szCs w:val="21"/>
                    </w:rPr>
                    <w:t>采取降噪措施</w:t>
                  </w:r>
                </w:p>
              </w:tc>
              <w:tc>
                <w:tcPr>
                  <w:tcW w:w="505" w:type="pct"/>
                  <w:tcBorders>
                    <w:top w:val="single" w:color="auto" w:sz="4" w:space="0"/>
                    <w:left w:val="nil"/>
                    <w:bottom w:val="single" w:color="auto" w:sz="4" w:space="0"/>
                    <w:right w:val="single" w:color="auto" w:sz="4" w:space="0"/>
                  </w:tcBorders>
                  <w:shd w:val="clear" w:color="auto" w:fill="auto"/>
                  <w:noWrap w:val="0"/>
                  <w:vAlign w:val="center"/>
                </w:tcPr>
                <w:p w14:paraId="254C5D17">
                  <w:pPr>
                    <w:pStyle w:val="2"/>
                    <w:jc w:val="center"/>
                    <w:rPr>
                      <w:b/>
                      <w:bCs/>
                      <w:color w:val="auto"/>
                      <w:sz w:val="21"/>
                      <w:szCs w:val="21"/>
                    </w:rPr>
                  </w:pPr>
                  <w:r>
                    <w:rPr>
                      <w:b/>
                      <w:bCs/>
                      <w:color w:val="auto"/>
                      <w:sz w:val="21"/>
                      <w:szCs w:val="21"/>
                    </w:rPr>
                    <w:t>降噪后噪声级</w:t>
                  </w:r>
                </w:p>
              </w:tc>
            </w:tr>
            <w:tr w14:paraId="5CAAB3CB">
              <w:tblPrEx>
                <w:tblCellMar>
                  <w:top w:w="0" w:type="dxa"/>
                  <w:left w:w="108" w:type="dxa"/>
                  <w:bottom w:w="0" w:type="dxa"/>
                  <w:right w:w="108" w:type="dxa"/>
                </w:tblCellMar>
              </w:tblPrEx>
              <w:trPr>
                <w:trHeight w:val="713"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6112A3BF">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206" w:type="pct"/>
                  <w:tcBorders>
                    <w:top w:val="nil"/>
                    <w:left w:val="nil"/>
                    <w:bottom w:val="single" w:color="auto" w:sz="4" w:space="0"/>
                    <w:right w:val="single" w:color="auto" w:sz="4" w:space="0"/>
                  </w:tcBorders>
                  <w:shd w:val="clear" w:color="auto" w:fill="auto"/>
                  <w:noWrap w:val="0"/>
                  <w:vAlign w:val="center"/>
                </w:tcPr>
                <w:p w14:paraId="7D260553">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给水泵、污水处理站水泵、消防水泵等</w:t>
                  </w:r>
                </w:p>
              </w:tc>
              <w:tc>
                <w:tcPr>
                  <w:tcW w:w="708" w:type="pct"/>
                  <w:tcBorders>
                    <w:top w:val="nil"/>
                    <w:left w:val="nil"/>
                    <w:bottom w:val="single" w:color="auto" w:sz="4" w:space="0"/>
                    <w:right w:val="single" w:color="auto" w:sz="4" w:space="0"/>
                  </w:tcBorders>
                  <w:shd w:val="clear" w:color="auto" w:fill="auto"/>
                  <w:noWrap w:val="0"/>
                  <w:vAlign w:val="center"/>
                </w:tcPr>
                <w:p w14:paraId="5E07E756">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地下室</w:t>
                  </w:r>
                </w:p>
              </w:tc>
              <w:tc>
                <w:tcPr>
                  <w:tcW w:w="710" w:type="pct"/>
                  <w:tcBorders>
                    <w:top w:val="nil"/>
                    <w:left w:val="nil"/>
                    <w:bottom w:val="single" w:color="auto" w:sz="4" w:space="0"/>
                    <w:right w:val="single" w:color="auto" w:sz="4" w:space="0"/>
                  </w:tcBorders>
                  <w:shd w:val="clear" w:color="auto" w:fill="auto"/>
                  <w:noWrap w:val="0"/>
                  <w:vAlign w:val="center"/>
                </w:tcPr>
                <w:p w14:paraId="477B6D00">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c>
                <w:tcPr>
                  <w:tcW w:w="488" w:type="pct"/>
                  <w:tcBorders>
                    <w:top w:val="nil"/>
                    <w:left w:val="nil"/>
                    <w:bottom w:val="single" w:color="auto" w:sz="4" w:space="0"/>
                    <w:right w:val="single" w:color="auto" w:sz="4" w:space="0"/>
                  </w:tcBorders>
                  <w:shd w:val="clear" w:color="auto" w:fill="auto"/>
                  <w:noWrap w:val="0"/>
                  <w:vAlign w:val="center"/>
                </w:tcPr>
                <w:p w14:paraId="3DC39AC6">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75~85</w:t>
                  </w:r>
                </w:p>
              </w:tc>
              <w:tc>
                <w:tcPr>
                  <w:tcW w:w="955" w:type="pct"/>
                  <w:tcBorders>
                    <w:top w:val="nil"/>
                    <w:left w:val="nil"/>
                    <w:bottom w:val="single" w:color="auto" w:sz="4" w:space="0"/>
                    <w:right w:val="single" w:color="auto" w:sz="4" w:space="0"/>
                  </w:tcBorders>
                  <w:shd w:val="clear" w:color="auto" w:fill="auto"/>
                  <w:noWrap w:val="0"/>
                  <w:vAlign w:val="center"/>
                </w:tcPr>
                <w:p w14:paraId="26179BEA">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密闭墙体隔声</w:t>
                  </w:r>
                </w:p>
              </w:tc>
              <w:tc>
                <w:tcPr>
                  <w:tcW w:w="505" w:type="pct"/>
                  <w:tcBorders>
                    <w:top w:val="nil"/>
                    <w:left w:val="nil"/>
                    <w:bottom w:val="single" w:color="auto" w:sz="4" w:space="0"/>
                    <w:right w:val="single" w:color="auto" w:sz="4" w:space="0"/>
                  </w:tcBorders>
                  <w:shd w:val="clear" w:color="auto" w:fill="auto"/>
                  <w:noWrap w:val="0"/>
                  <w:vAlign w:val="center"/>
                </w:tcPr>
                <w:p w14:paraId="77079553">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50~60</w:t>
                  </w:r>
                </w:p>
              </w:tc>
            </w:tr>
            <w:tr w14:paraId="46618830">
              <w:tblPrEx>
                <w:tblCellMar>
                  <w:top w:w="0" w:type="dxa"/>
                  <w:left w:w="108" w:type="dxa"/>
                  <w:bottom w:w="0" w:type="dxa"/>
                  <w:right w:w="108" w:type="dxa"/>
                </w:tblCellMar>
              </w:tblPrEx>
              <w:trPr>
                <w:trHeight w:val="300"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048AAA59">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206" w:type="pct"/>
                  <w:tcBorders>
                    <w:top w:val="nil"/>
                    <w:left w:val="nil"/>
                    <w:bottom w:val="single" w:color="auto" w:sz="4" w:space="0"/>
                    <w:right w:val="single" w:color="auto" w:sz="4" w:space="0"/>
                  </w:tcBorders>
                  <w:shd w:val="clear" w:color="auto" w:fill="auto"/>
                  <w:noWrap w:val="0"/>
                  <w:vAlign w:val="center"/>
                </w:tcPr>
                <w:p w14:paraId="628E78BF">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风机</w:t>
                  </w:r>
                </w:p>
              </w:tc>
              <w:tc>
                <w:tcPr>
                  <w:tcW w:w="708" w:type="pct"/>
                  <w:tcBorders>
                    <w:top w:val="nil"/>
                    <w:left w:val="nil"/>
                    <w:bottom w:val="single" w:color="auto" w:sz="4" w:space="0"/>
                    <w:right w:val="single" w:color="auto" w:sz="4" w:space="0"/>
                  </w:tcBorders>
                  <w:shd w:val="clear" w:color="auto" w:fill="auto"/>
                  <w:noWrap w:val="0"/>
                  <w:vAlign w:val="center"/>
                </w:tcPr>
                <w:p w14:paraId="451C549C">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地下室</w:t>
                  </w:r>
                </w:p>
              </w:tc>
              <w:tc>
                <w:tcPr>
                  <w:tcW w:w="710" w:type="pct"/>
                  <w:tcBorders>
                    <w:top w:val="nil"/>
                    <w:left w:val="nil"/>
                    <w:bottom w:val="single" w:color="auto" w:sz="4" w:space="0"/>
                    <w:right w:val="single" w:color="auto" w:sz="4" w:space="0"/>
                  </w:tcBorders>
                  <w:shd w:val="clear" w:color="auto" w:fill="auto"/>
                  <w:noWrap w:val="0"/>
                  <w:vAlign w:val="center"/>
                </w:tcPr>
                <w:p w14:paraId="0E9D997C">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c>
                <w:tcPr>
                  <w:tcW w:w="488" w:type="pct"/>
                  <w:tcBorders>
                    <w:top w:val="nil"/>
                    <w:left w:val="nil"/>
                    <w:bottom w:val="single" w:color="auto" w:sz="4" w:space="0"/>
                    <w:right w:val="single" w:color="auto" w:sz="4" w:space="0"/>
                  </w:tcBorders>
                  <w:shd w:val="clear" w:color="auto" w:fill="auto"/>
                  <w:noWrap w:val="0"/>
                  <w:vAlign w:val="center"/>
                </w:tcPr>
                <w:p w14:paraId="1C38E83E">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80~85</w:t>
                  </w:r>
                </w:p>
              </w:tc>
              <w:tc>
                <w:tcPr>
                  <w:tcW w:w="955" w:type="pct"/>
                  <w:tcBorders>
                    <w:top w:val="nil"/>
                    <w:left w:val="nil"/>
                    <w:bottom w:val="single" w:color="auto" w:sz="4" w:space="0"/>
                    <w:right w:val="single" w:color="auto" w:sz="4" w:space="0"/>
                  </w:tcBorders>
                  <w:shd w:val="clear" w:color="auto" w:fill="auto"/>
                  <w:noWrap w:val="0"/>
                  <w:vAlign w:val="center"/>
                </w:tcPr>
                <w:p w14:paraId="140E81D2">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封闭隔声</w:t>
                  </w:r>
                </w:p>
              </w:tc>
              <w:tc>
                <w:tcPr>
                  <w:tcW w:w="505" w:type="pct"/>
                  <w:tcBorders>
                    <w:top w:val="nil"/>
                    <w:left w:val="nil"/>
                    <w:bottom w:val="single" w:color="auto" w:sz="4" w:space="0"/>
                    <w:right w:val="single" w:color="auto" w:sz="4" w:space="0"/>
                  </w:tcBorders>
                  <w:shd w:val="clear" w:color="auto" w:fill="auto"/>
                  <w:noWrap w:val="0"/>
                  <w:vAlign w:val="center"/>
                </w:tcPr>
                <w:p w14:paraId="627BA559">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55~60</w:t>
                  </w:r>
                </w:p>
              </w:tc>
            </w:tr>
            <w:tr w14:paraId="252E68E5">
              <w:tblPrEx>
                <w:tblCellMar>
                  <w:top w:w="0" w:type="dxa"/>
                  <w:left w:w="108" w:type="dxa"/>
                  <w:bottom w:w="0" w:type="dxa"/>
                  <w:right w:w="108" w:type="dxa"/>
                </w:tblCellMar>
              </w:tblPrEx>
              <w:trPr>
                <w:trHeight w:val="525"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3F4F8181">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206" w:type="pct"/>
                  <w:tcBorders>
                    <w:top w:val="nil"/>
                    <w:left w:val="nil"/>
                    <w:bottom w:val="single" w:color="auto" w:sz="4" w:space="0"/>
                    <w:right w:val="single" w:color="auto" w:sz="4" w:space="0"/>
                  </w:tcBorders>
                  <w:shd w:val="clear" w:color="auto" w:fill="auto"/>
                  <w:noWrap w:val="0"/>
                  <w:vAlign w:val="center"/>
                </w:tcPr>
                <w:p w14:paraId="0EBEBEA9">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柴油备用发电机</w:t>
                  </w:r>
                </w:p>
              </w:tc>
              <w:tc>
                <w:tcPr>
                  <w:tcW w:w="708" w:type="pct"/>
                  <w:tcBorders>
                    <w:top w:val="nil"/>
                    <w:left w:val="nil"/>
                    <w:bottom w:val="single" w:color="auto" w:sz="4" w:space="0"/>
                    <w:right w:val="single" w:color="auto" w:sz="4" w:space="0"/>
                  </w:tcBorders>
                  <w:shd w:val="clear" w:color="auto" w:fill="auto"/>
                  <w:noWrap w:val="0"/>
                  <w:vAlign w:val="center"/>
                </w:tcPr>
                <w:p w14:paraId="53EC21B1">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地下室</w:t>
                  </w:r>
                </w:p>
              </w:tc>
              <w:tc>
                <w:tcPr>
                  <w:tcW w:w="710" w:type="pct"/>
                  <w:tcBorders>
                    <w:top w:val="nil"/>
                    <w:left w:val="nil"/>
                    <w:bottom w:val="single" w:color="auto" w:sz="4" w:space="0"/>
                    <w:right w:val="single" w:color="auto" w:sz="4" w:space="0"/>
                  </w:tcBorders>
                  <w:shd w:val="clear" w:color="auto" w:fill="auto"/>
                  <w:noWrap w:val="0"/>
                  <w:vAlign w:val="center"/>
                </w:tcPr>
                <w:p w14:paraId="653DB4CA">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偶尔</w:t>
                  </w:r>
                </w:p>
              </w:tc>
              <w:tc>
                <w:tcPr>
                  <w:tcW w:w="488" w:type="pct"/>
                  <w:tcBorders>
                    <w:top w:val="nil"/>
                    <w:left w:val="nil"/>
                    <w:bottom w:val="single" w:color="auto" w:sz="4" w:space="0"/>
                    <w:right w:val="single" w:color="auto" w:sz="4" w:space="0"/>
                  </w:tcBorders>
                  <w:shd w:val="clear" w:color="auto" w:fill="auto"/>
                  <w:noWrap w:val="0"/>
                  <w:vAlign w:val="center"/>
                </w:tcPr>
                <w:p w14:paraId="3BB298BD">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80~95</w:t>
                  </w:r>
                </w:p>
              </w:tc>
              <w:tc>
                <w:tcPr>
                  <w:tcW w:w="955" w:type="pct"/>
                  <w:tcBorders>
                    <w:top w:val="nil"/>
                    <w:left w:val="nil"/>
                    <w:bottom w:val="single" w:color="auto" w:sz="4" w:space="0"/>
                    <w:right w:val="single" w:color="auto" w:sz="4" w:space="0"/>
                  </w:tcBorders>
                  <w:shd w:val="clear" w:color="auto" w:fill="auto"/>
                  <w:noWrap w:val="0"/>
                  <w:vAlign w:val="center"/>
                </w:tcPr>
                <w:p w14:paraId="1D111671">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封闭隔声</w:t>
                  </w:r>
                </w:p>
              </w:tc>
              <w:tc>
                <w:tcPr>
                  <w:tcW w:w="505" w:type="pct"/>
                  <w:tcBorders>
                    <w:top w:val="nil"/>
                    <w:left w:val="nil"/>
                    <w:bottom w:val="single" w:color="auto" w:sz="4" w:space="0"/>
                    <w:right w:val="single" w:color="auto" w:sz="4" w:space="0"/>
                  </w:tcBorders>
                  <w:shd w:val="clear" w:color="auto" w:fill="auto"/>
                  <w:noWrap w:val="0"/>
                  <w:vAlign w:val="center"/>
                </w:tcPr>
                <w:p w14:paraId="1E0D7462">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55~65</w:t>
                  </w:r>
                </w:p>
              </w:tc>
            </w:tr>
            <w:tr w14:paraId="76BDF942">
              <w:tblPrEx>
                <w:tblCellMar>
                  <w:top w:w="0" w:type="dxa"/>
                  <w:left w:w="108" w:type="dxa"/>
                  <w:bottom w:w="0" w:type="dxa"/>
                  <w:right w:w="108" w:type="dxa"/>
                </w:tblCellMar>
              </w:tblPrEx>
              <w:trPr>
                <w:trHeight w:val="525"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10B5C6AF">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206" w:type="pct"/>
                  <w:tcBorders>
                    <w:top w:val="nil"/>
                    <w:left w:val="nil"/>
                    <w:bottom w:val="single" w:color="auto" w:sz="4" w:space="0"/>
                    <w:right w:val="single" w:color="auto" w:sz="4" w:space="0"/>
                  </w:tcBorders>
                  <w:shd w:val="clear" w:color="auto" w:fill="auto"/>
                  <w:noWrap w:val="0"/>
                  <w:vAlign w:val="center"/>
                </w:tcPr>
                <w:p w14:paraId="6C17DCDB">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变配电设备</w:t>
                  </w:r>
                </w:p>
              </w:tc>
              <w:tc>
                <w:tcPr>
                  <w:tcW w:w="708" w:type="pct"/>
                  <w:tcBorders>
                    <w:top w:val="nil"/>
                    <w:left w:val="nil"/>
                    <w:bottom w:val="single" w:color="auto" w:sz="4" w:space="0"/>
                    <w:right w:val="single" w:color="auto" w:sz="4" w:space="0"/>
                  </w:tcBorders>
                  <w:shd w:val="clear" w:color="auto" w:fill="auto"/>
                  <w:noWrap w:val="0"/>
                  <w:vAlign w:val="center"/>
                </w:tcPr>
                <w:p w14:paraId="181A3FE7">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地下配电室</w:t>
                  </w:r>
                </w:p>
              </w:tc>
              <w:tc>
                <w:tcPr>
                  <w:tcW w:w="710" w:type="pct"/>
                  <w:tcBorders>
                    <w:top w:val="nil"/>
                    <w:left w:val="nil"/>
                    <w:bottom w:val="single" w:color="auto" w:sz="4" w:space="0"/>
                    <w:right w:val="single" w:color="auto" w:sz="4" w:space="0"/>
                  </w:tcBorders>
                  <w:shd w:val="clear" w:color="auto" w:fill="auto"/>
                  <w:noWrap w:val="0"/>
                  <w:vAlign w:val="center"/>
                </w:tcPr>
                <w:p w14:paraId="0D60DB4C">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c>
                <w:tcPr>
                  <w:tcW w:w="488" w:type="pct"/>
                  <w:tcBorders>
                    <w:top w:val="nil"/>
                    <w:left w:val="nil"/>
                    <w:bottom w:val="single" w:color="auto" w:sz="4" w:space="0"/>
                    <w:right w:val="single" w:color="auto" w:sz="4" w:space="0"/>
                  </w:tcBorders>
                  <w:shd w:val="clear" w:color="auto" w:fill="auto"/>
                  <w:noWrap w:val="0"/>
                  <w:vAlign w:val="center"/>
                </w:tcPr>
                <w:p w14:paraId="75E82F48">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60~65</w:t>
                  </w:r>
                </w:p>
              </w:tc>
              <w:tc>
                <w:tcPr>
                  <w:tcW w:w="955" w:type="pct"/>
                  <w:tcBorders>
                    <w:top w:val="nil"/>
                    <w:left w:val="nil"/>
                    <w:bottom w:val="single" w:color="auto" w:sz="4" w:space="0"/>
                    <w:right w:val="single" w:color="auto" w:sz="4" w:space="0"/>
                  </w:tcBorders>
                  <w:shd w:val="clear" w:color="auto" w:fill="auto"/>
                  <w:noWrap w:val="0"/>
                  <w:vAlign w:val="center"/>
                </w:tcPr>
                <w:p w14:paraId="72EFE0A9">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封闭隔声</w:t>
                  </w:r>
                </w:p>
              </w:tc>
              <w:tc>
                <w:tcPr>
                  <w:tcW w:w="505" w:type="pct"/>
                  <w:tcBorders>
                    <w:top w:val="nil"/>
                    <w:left w:val="nil"/>
                    <w:bottom w:val="single" w:color="auto" w:sz="4" w:space="0"/>
                    <w:right w:val="single" w:color="auto" w:sz="4" w:space="0"/>
                  </w:tcBorders>
                  <w:shd w:val="clear" w:color="auto" w:fill="auto"/>
                  <w:noWrap w:val="0"/>
                  <w:vAlign w:val="center"/>
                </w:tcPr>
                <w:p w14:paraId="344B8C5E">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35~40</w:t>
                  </w:r>
                </w:p>
              </w:tc>
            </w:tr>
            <w:tr w14:paraId="60F6B30A">
              <w:tblPrEx>
                <w:tblCellMar>
                  <w:top w:w="0" w:type="dxa"/>
                  <w:left w:w="108" w:type="dxa"/>
                  <w:bottom w:w="0" w:type="dxa"/>
                  <w:right w:w="108" w:type="dxa"/>
                </w:tblCellMar>
              </w:tblPrEx>
              <w:trPr>
                <w:trHeight w:val="525"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51E65877">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206" w:type="pct"/>
                  <w:tcBorders>
                    <w:top w:val="nil"/>
                    <w:left w:val="nil"/>
                    <w:bottom w:val="single" w:color="auto" w:sz="4" w:space="0"/>
                    <w:right w:val="single" w:color="auto" w:sz="4" w:space="0"/>
                  </w:tcBorders>
                  <w:shd w:val="clear" w:color="auto" w:fill="auto"/>
                  <w:noWrap w:val="0"/>
                  <w:vAlign w:val="center"/>
                </w:tcPr>
                <w:p w14:paraId="1517ECE0">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空调室外机</w:t>
                  </w:r>
                </w:p>
              </w:tc>
              <w:tc>
                <w:tcPr>
                  <w:tcW w:w="708" w:type="pct"/>
                  <w:tcBorders>
                    <w:top w:val="nil"/>
                    <w:left w:val="nil"/>
                    <w:bottom w:val="single" w:color="auto" w:sz="4" w:space="0"/>
                    <w:right w:val="single" w:color="auto" w:sz="4" w:space="0"/>
                  </w:tcBorders>
                  <w:shd w:val="clear" w:color="auto" w:fill="auto"/>
                  <w:noWrap w:val="0"/>
                  <w:vAlign w:val="center"/>
                </w:tcPr>
                <w:p w14:paraId="7C5ECD4A">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屋面</w:t>
                  </w:r>
                </w:p>
              </w:tc>
              <w:tc>
                <w:tcPr>
                  <w:tcW w:w="710" w:type="pct"/>
                  <w:tcBorders>
                    <w:top w:val="nil"/>
                    <w:left w:val="nil"/>
                    <w:bottom w:val="single" w:color="auto" w:sz="4" w:space="0"/>
                    <w:right w:val="single" w:color="auto" w:sz="4" w:space="0"/>
                  </w:tcBorders>
                  <w:shd w:val="clear" w:color="auto" w:fill="auto"/>
                  <w:noWrap w:val="0"/>
                  <w:vAlign w:val="center"/>
                </w:tcPr>
                <w:p w14:paraId="4CC2F766">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c>
                <w:tcPr>
                  <w:tcW w:w="488" w:type="pct"/>
                  <w:tcBorders>
                    <w:top w:val="nil"/>
                    <w:left w:val="nil"/>
                    <w:bottom w:val="single" w:color="auto" w:sz="4" w:space="0"/>
                    <w:right w:val="single" w:color="auto" w:sz="4" w:space="0"/>
                  </w:tcBorders>
                  <w:shd w:val="clear" w:color="auto" w:fill="auto"/>
                  <w:noWrap w:val="0"/>
                  <w:vAlign w:val="center"/>
                </w:tcPr>
                <w:p w14:paraId="40C7FF55">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65~70</w:t>
                  </w:r>
                </w:p>
              </w:tc>
              <w:tc>
                <w:tcPr>
                  <w:tcW w:w="955" w:type="pct"/>
                  <w:tcBorders>
                    <w:top w:val="nil"/>
                    <w:left w:val="nil"/>
                    <w:bottom w:val="single" w:color="auto" w:sz="4" w:space="0"/>
                    <w:right w:val="single" w:color="auto" w:sz="4" w:space="0"/>
                  </w:tcBorders>
                  <w:shd w:val="clear" w:color="auto" w:fill="auto"/>
                  <w:noWrap w:val="0"/>
                  <w:vAlign w:val="center"/>
                </w:tcPr>
                <w:p w14:paraId="47E48A51">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减震降噪</w:t>
                  </w:r>
                </w:p>
              </w:tc>
              <w:tc>
                <w:tcPr>
                  <w:tcW w:w="505" w:type="pct"/>
                  <w:tcBorders>
                    <w:top w:val="nil"/>
                    <w:left w:val="nil"/>
                    <w:bottom w:val="single" w:color="auto" w:sz="4" w:space="0"/>
                    <w:right w:val="single" w:color="auto" w:sz="4" w:space="0"/>
                  </w:tcBorders>
                  <w:shd w:val="clear" w:color="auto" w:fill="auto"/>
                  <w:noWrap w:val="0"/>
                  <w:vAlign w:val="center"/>
                </w:tcPr>
                <w:p w14:paraId="45578073">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60~65</w:t>
                  </w:r>
                </w:p>
              </w:tc>
            </w:tr>
            <w:tr w14:paraId="7B8D235A">
              <w:tblPrEx>
                <w:tblCellMar>
                  <w:top w:w="0" w:type="dxa"/>
                  <w:left w:w="108" w:type="dxa"/>
                  <w:bottom w:w="0" w:type="dxa"/>
                  <w:right w:w="108" w:type="dxa"/>
                </w:tblCellMar>
              </w:tblPrEx>
              <w:trPr>
                <w:trHeight w:val="525"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4473FF62">
                  <w:pPr>
                    <w:pStyle w:val="2"/>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206" w:type="pct"/>
                  <w:tcBorders>
                    <w:top w:val="nil"/>
                    <w:left w:val="nil"/>
                    <w:bottom w:val="single" w:color="auto" w:sz="4" w:space="0"/>
                    <w:right w:val="single" w:color="auto" w:sz="4" w:space="0"/>
                  </w:tcBorders>
                  <w:shd w:val="clear" w:color="auto" w:fill="auto"/>
                  <w:noWrap w:val="0"/>
                  <w:vAlign w:val="center"/>
                </w:tcPr>
                <w:p w14:paraId="21ADD9E8">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人群活动</w:t>
                  </w:r>
                </w:p>
              </w:tc>
              <w:tc>
                <w:tcPr>
                  <w:tcW w:w="708" w:type="pct"/>
                  <w:tcBorders>
                    <w:top w:val="nil"/>
                    <w:left w:val="nil"/>
                    <w:bottom w:val="single" w:color="auto" w:sz="4" w:space="0"/>
                    <w:right w:val="single" w:color="auto" w:sz="4" w:space="0"/>
                  </w:tcBorders>
                  <w:shd w:val="clear" w:color="auto" w:fill="auto"/>
                  <w:noWrap w:val="0"/>
                  <w:vAlign w:val="center"/>
                </w:tcPr>
                <w:p w14:paraId="1FBC8DE8">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各诊室等</w:t>
                  </w:r>
                </w:p>
              </w:tc>
              <w:tc>
                <w:tcPr>
                  <w:tcW w:w="710" w:type="pct"/>
                  <w:tcBorders>
                    <w:top w:val="nil"/>
                    <w:left w:val="nil"/>
                    <w:bottom w:val="single" w:color="auto" w:sz="4" w:space="0"/>
                    <w:right w:val="single" w:color="auto" w:sz="4" w:space="0"/>
                  </w:tcBorders>
                  <w:shd w:val="clear" w:color="auto" w:fill="auto"/>
                  <w:noWrap w:val="0"/>
                  <w:vAlign w:val="center"/>
                </w:tcPr>
                <w:p w14:paraId="382B695D">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w:t>
                  </w:r>
                </w:p>
              </w:tc>
              <w:tc>
                <w:tcPr>
                  <w:tcW w:w="488" w:type="pct"/>
                  <w:tcBorders>
                    <w:top w:val="nil"/>
                    <w:left w:val="nil"/>
                    <w:bottom w:val="single" w:color="auto" w:sz="4" w:space="0"/>
                    <w:right w:val="single" w:color="auto" w:sz="4" w:space="0"/>
                  </w:tcBorders>
                  <w:shd w:val="clear" w:color="auto" w:fill="auto"/>
                  <w:noWrap w:val="0"/>
                  <w:vAlign w:val="center"/>
                </w:tcPr>
                <w:p w14:paraId="768C0CA7">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60~65</w:t>
                  </w:r>
                </w:p>
              </w:tc>
              <w:tc>
                <w:tcPr>
                  <w:tcW w:w="955" w:type="pct"/>
                  <w:tcBorders>
                    <w:top w:val="nil"/>
                    <w:left w:val="nil"/>
                    <w:bottom w:val="single" w:color="auto" w:sz="4" w:space="0"/>
                    <w:right w:val="single" w:color="auto" w:sz="4" w:space="0"/>
                  </w:tcBorders>
                  <w:shd w:val="clear" w:color="auto" w:fill="auto"/>
                  <w:noWrap w:val="0"/>
                  <w:vAlign w:val="center"/>
                </w:tcPr>
                <w:p w14:paraId="1BD068E6">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房间墙体隔声</w:t>
                  </w:r>
                </w:p>
              </w:tc>
              <w:tc>
                <w:tcPr>
                  <w:tcW w:w="505" w:type="pct"/>
                  <w:tcBorders>
                    <w:top w:val="nil"/>
                    <w:left w:val="nil"/>
                    <w:bottom w:val="single" w:color="auto" w:sz="4" w:space="0"/>
                    <w:right w:val="single" w:color="auto" w:sz="4" w:space="0"/>
                  </w:tcBorders>
                  <w:shd w:val="clear" w:color="auto" w:fill="auto"/>
                  <w:noWrap w:val="0"/>
                  <w:vAlign w:val="center"/>
                </w:tcPr>
                <w:p w14:paraId="477BCE47">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50~55</w:t>
                  </w:r>
                </w:p>
              </w:tc>
            </w:tr>
            <w:tr w14:paraId="5A9C08B6">
              <w:tblPrEx>
                <w:tblCellMar>
                  <w:top w:w="0" w:type="dxa"/>
                  <w:left w:w="108" w:type="dxa"/>
                  <w:bottom w:w="0" w:type="dxa"/>
                  <w:right w:w="108" w:type="dxa"/>
                </w:tblCellMar>
              </w:tblPrEx>
              <w:trPr>
                <w:trHeight w:val="525" w:hRule="atLeast"/>
              </w:trPr>
              <w:tc>
                <w:tcPr>
                  <w:tcW w:w="425" w:type="pct"/>
                  <w:tcBorders>
                    <w:top w:val="nil"/>
                    <w:left w:val="single" w:color="auto" w:sz="4" w:space="0"/>
                    <w:bottom w:val="single" w:color="auto" w:sz="4" w:space="0"/>
                    <w:right w:val="single" w:color="auto" w:sz="4" w:space="0"/>
                  </w:tcBorders>
                  <w:shd w:val="clear" w:color="auto" w:fill="auto"/>
                  <w:noWrap w:val="0"/>
                  <w:vAlign w:val="center"/>
                </w:tcPr>
                <w:p w14:paraId="5EE1565A">
                  <w:pPr>
                    <w:pStyle w:val="2"/>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206" w:type="pct"/>
                  <w:tcBorders>
                    <w:top w:val="nil"/>
                    <w:left w:val="nil"/>
                    <w:bottom w:val="single" w:color="auto" w:sz="4" w:space="0"/>
                    <w:right w:val="single" w:color="auto" w:sz="4" w:space="0"/>
                  </w:tcBorders>
                  <w:shd w:val="clear" w:color="auto" w:fill="auto"/>
                  <w:noWrap w:val="0"/>
                  <w:vAlign w:val="center"/>
                </w:tcPr>
                <w:p w14:paraId="544A0AE8">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进出汽车</w:t>
                  </w:r>
                </w:p>
              </w:tc>
              <w:tc>
                <w:tcPr>
                  <w:tcW w:w="708" w:type="pct"/>
                  <w:tcBorders>
                    <w:top w:val="nil"/>
                    <w:left w:val="nil"/>
                    <w:bottom w:val="single" w:color="auto" w:sz="4" w:space="0"/>
                    <w:right w:val="single" w:color="auto" w:sz="4" w:space="0"/>
                  </w:tcBorders>
                  <w:shd w:val="clear" w:color="auto" w:fill="auto"/>
                  <w:noWrap w:val="0"/>
                  <w:vAlign w:val="center"/>
                </w:tcPr>
                <w:p w14:paraId="22917AEE">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地下室及出入口</w:t>
                  </w:r>
                </w:p>
              </w:tc>
              <w:tc>
                <w:tcPr>
                  <w:tcW w:w="710" w:type="pct"/>
                  <w:tcBorders>
                    <w:top w:val="nil"/>
                    <w:left w:val="nil"/>
                    <w:bottom w:val="single" w:color="auto" w:sz="4" w:space="0"/>
                    <w:right w:val="single" w:color="auto" w:sz="4" w:space="0"/>
                  </w:tcBorders>
                  <w:shd w:val="clear" w:color="auto" w:fill="auto"/>
                  <w:noWrap w:val="0"/>
                  <w:vAlign w:val="center"/>
                </w:tcPr>
                <w:p w14:paraId="19A2E883">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间断</w:t>
                  </w:r>
                </w:p>
              </w:tc>
              <w:tc>
                <w:tcPr>
                  <w:tcW w:w="488" w:type="pct"/>
                  <w:tcBorders>
                    <w:top w:val="nil"/>
                    <w:left w:val="nil"/>
                    <w:bottom w:val="single" w:color="auto" w:sz="4" w:space="0"/>
                    <w:right w:val="single" w:color="auto" w:sz="4" w:space="0"/>
                  </w:tcBorders>
                  <w:shd w:val="clear" w:color="auto" w:fill="auto"/>
                  <w:noWrap w:val="0"/>
                  <w:vAlign w:val="center"/>
                </w:tcPr>
                <w:p w14:paraId="3591EE3E">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65~70</w:t>
                  </w:r>
                </w:p>
              </w:tc>
              <w:tc>
                <w:tcPr>
                  <w:tcW w:w="955" w:type="pct"/>
                  <w:tcBorders>
                    <w:top w:val="nil"/>
                    <w:left w:val="nil"/>
                    <w:bottom w:val="single" w:color="auto" w:sz="4" w:space="0"/>
                    <w:right w:val="single" w:color="auto" w:sz="4" w:space="0"/>
                  </w:tcBorders>
                  <w:shd w:val="clear" w:color="auto" w:fill="auto"/>
                  <w:noWrap w:val="0"/>
                  <w:vAlign w:val="center"/>
                </w:tcPr>
                <w:p w14:paraId="35D4459E">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禁鸣、控制车速</w:t>
                  </w:r>
                </w:p>
              </w:tc>
              <w:tc>
                <w:tcPr>
                  <w:tcW w:w="505" w:type="pct"/>
                  <w:tcBorders>
                    <w:top w:val="nil"/>
                    <w:left w:val="nil"/>
                    <w:bottom w:val="single" w:color="auto" w:sz="4" w:space="0"/>
                    <w:right w:val="single" w:color="auto" w:sz="4" w:space="0"/>
                  </w:tcBorders>
                  <w:shd w:val="clear" w:color="auto" w:fill="auto"/>
                  <w:noWrap w:val="0"/>
                  <w:vAlign w:val="center"/>
                </w:tcPr>
                <w:p w14:paraId="0D899C9F">
                  <w:pPr>
                    <w:pStyle w:val="2"/>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50~55</w:t>
                  </w:r>
                </w:p>
              </w:tc>
            </w:tr>
          </w:tbl>
          <w:p w14:paraId="03C305FE">
            <w:pPr>
              <w:widowControl/>
              <w:numPr>
                <w:ilvl w:val="0"/>
                <w:numId w:val="0"/>
              </w:numPr>
              <w:ind w:firstLine="482" w:firstLineChars="200"/>
              <w:jc w:val="left"/>
              <w:rPr>
                <w:rFonts w:hint="eastAsia"/>
                <w:b/>
                <w:bCs/>
                <w:color w:val="auto"/>
                <w:kern w:val="0"/>
                <w:szCs w:val="24"/>
                <w:lang w:val="en-US" w:eastAsia="zh-CN" w:bidi="ar"/>
              </w:rPr>
            </w:pPr>
            <w:r>
              <w:rPr>
                <w:rFonts w:hint="eastAsia"/>
                <w:b/>
                <w:bCs/>
                <w:color w:val="auto"/>
                <w:kern w:val="0"/>
                <w:szCs w:val="24"/>
                <w:lang w:val="en-US" w:eastAsia="zh-CN" w:bidi="ar"/>
              </w:rPr>
              <w:t>2、噪声预测</w:t>
            </w:r>
          </w:p>
          <w:p w14:paraId="1C5919BD">
            <w:pPr>
              <w:pStyle w:val="6"/>
              <w:numPr>
                <w:ilvl w:val="0"/>
                <w:numId w:val="0"/>
              </w:numPr>
              <w:spacing w:before="120" w:after="120" w:line="360" w:lineRule="auto"/>
              <w:ind w:leftChars="200"/>
              <w:rPr>
                <w:rFonts w:hint="eastAsia" w:hAnsi="宋体"/>
                <w:color w:val="auto"/>
                <w:sz w:val="24"/>
                <w:szCs w:val="24"/>
                <w:lang w:val="en-US" w:eastAsia="zh-CN"/>
              </w:rPr>
            </w:pPr>
            <w:r>
              <w:rPr>
                <w:rFonts w:hint="eastAsia" w:hAnsi="宋体"/>
                <w:color w:val="auto"/>
                <w:sz w:val="24"/>
                <w:szCs w:val="24"/>
                <w:lang w:val="en-US" w:eastAsia="zh-CN"/>
              </w:rPr>
              <w:t>①预测模式</w:t>
            </w:r>
          </w:p>
          <w:p w14:paraId="601DEC23">
            <w:pPr>
              <w:spacing w:line="360" w:lineRule="auto"/>
              <w:ind w:firstLine="465"/>
              <w:rPr>
                <w:rFonts w:hint="eastAsia"/>
                <w:color w:val="auto"/>
                <w:sz w:val="24"/>
              </w:rPr>
            </w:pPr>
            <w:r>
              <w:rPr>
                <w:rFonts w:hint="eastAsia"/>
                <w:color w:val="auto"/>
                <w:sz w:val="24"/>
              </w:rPr>
              <w:t>本项目各种设备在运行时产生的噪声，通过所在项目建筑物（或围护结构）的屏蔽效应、声源至受声点的距离衰减以及空气吸收衰减后，到达受声点。</w:t>
            </w:r>
          </w:p>
          <w:p w14:paraId="7EEE2EC0">
            <w:pPr>
              <w:spacing w:line="360" w:lineRule="auto"/>
              <w:ind w:firstLine="465"/>
              <w:rPr>
                <w:rFonts w:hint="eastAsia"/>
                <w:color w:val="auto"/>
                <w:sz w:val="24"/>
              </w:rPr>
            </w:pPr>
            <w:r>
              <w:rPr>
                <w:rFonts w:hint="eastAsia"/>
                <w:color w:val="auto"/>
                <w:sz w:val="24"/>
              </w:rPr>
              <w:t>按HJ/T2.4-2009《环境影响评价技术导则声环境》，处于半自由空间的无指向性点声源几何发散衰减预测模式如下。</w:t>
            </w:r>
          </w:p>
          <w:p w14:paraId="157C4D49">
            <w:pPr>
              <w:spacing w:line="360" w:lineRule="auto"/>
              <w:ind w:firstLine="480"/>
              <w:rPr>
                <w:rFonts w:hint="eastAsia"/>
                <w:color w:val="auto"/>
                <w:sz w:val="24"/>
              </w:rPr>
            </w:pPr>
            <w:r>
              <w:rPr>
                <w:rFonts w:hint="eastAsia"/>
                <w:color w:val="auto"/>
                <w:sz w:val="24"/>
              </w:rPr>
              <w:t>噪声距离衰减公式：</w:t>
            </w:r>
            <w:r>
              <w:rPr>
                <w:color w:val="auto"/>
                <w:sz w:val="24"/>
              </w:rPr>
              <w:t>L</w:t>
            </w:r>
            <w:r>
              <w:rPr>
                <w:rFonts w:hint="eastAsia"/>
                <w:color w:val="auto"/>
                <w:sz w:val="24"/>
                <w:vertAlign w:val="subscript"/>
              </w:rPr>
              <w:t>A</w:t>
            </w:r>
            <w:r>
              <w:rPr>
                <w:rFonts w:hint="eastAsia"/>
                <w:color w:val="auto"/>
                <w:sz w:val="24"/>
              </w:rPr>
              <w:t>（r）</w:t>
            </w:r>
            <w:r>
              <w:rPr>
                <w:color w:val="auto"/>
                <w:sz w:val="24"/>
              </w:rPr>
              <w:t>= L</w:t>
            </w:r>
            <w:r>
              <w:rPr>
                <w:rFonts w:hint="eastAsia"/>
                <w:color w:val="auto"/>
                <w:sz w:val="24"/>
                <w:vertAlign w:val="subscript"/>
              </w:rPr>
              <w:t>A</w:t>
            </w:r>
            <w:r>
              <w:rPr>
                <w:rFonts w:hint="eastAsia"/>
                <w:color w:val="auto"/>
                <w:sz w:val="24"/>
              </w:rPr>
              <w:t>（r</w:t>
            </w:r>
            <w:r>
              <w:rPr>
                <w:rFonts w:hint="eastAsia"/>
                <w:color w:val="auto"/>
                <w:sz w:val="24"/>
                <w:vertAlign w:val="subscript"/>
              </w:rPr>
              <w:t>0</w:t>
            </w:r>
            <w:r>
              <w:rPr>
                <w:rFonts w:hint="eastAsia"/>
                <w:color w:val="auto"/>
                <w:sz w:val="24"/>
              </w:rPr>
              <w:t>）</w:t>
            </w:r>
            <w:r>
              <w:rPr>
                <w:color w:val="auto"/>
                <w:sz w:val="24"/>
              </w:rPr>
              <w:t>－20lg（r/r</w:t>
            </w:r>
            <w:r>
              <w:rPr>
                <w:rFonts w:hint="eastAsia"/>
                <w:color w:val="auto"/>
                <w:sz w:val="24"/>
                <w:vertAlign w:val="subscript"/>
              </w:rPr>
              <w:t>0</w:t>
            </w:r>
            <w:r>
              <w:rPr>
                <w:color w:val="auto"/>
                <w:sz w:val="24"/>
              </w:rPr>
              <w:t>）</w:t>
            </w:r>
            <w:r>
              <w:rPr>
                <w:rFonts w:hint="eastAsia"/>
                <w:color w:val="auto"/>
                <w:sz w:val="24"/>
              </w:rPr>
              <w:t>-</w:t>
            </w:r>
            <w:r>
              <w:rPr>
                <w:rFonts w:hint="eastAsia" w:ascii="宋体" w:hAnsi="宋体"/>
                <w:color w:val="auto"/>
                <w:sz w:val="24"/>
              </w:rPr>
              <w:t>△</w:t>
            </w:r>
            <w:r>
              <w:rPr>
                <w:color w:val="auto"/>
                <w:sz w:val="24"/>
              </w:rPr>
              <w:t>L</w:t>
            </w:r>
            <w:r>
              <w:rPr>
                <w:rFonts w:hint="eastAsia"/>
                <w:color w:val="auto"/>
                <w:sz w:val="24"/>
                <w:vertAlign w:val="subscript"/>
              </w:rPr>
              <w:t>A</w:t>
            </w:r>
          </w:p>
          <w:p w14:paraId="4C59C306">
            <w:pPr>
              <w:spacing w:line="360" w:lineRule="auto"/>
              <w:ind w:firstLine="480" w:firstLineChars="200"/>
              <w:rPr>
                <w:color w:val="auto"/>
                <w:sz w:val="24"/>
              </w:rPr>
            </w:pPr>
            <w:r>
              <w:rPr>
                <w:color w:val="auto"/>
                <w:sz w:val="24"/>
              </w:rPr>
              <w:t>式中：L</w:t>
            </w:r>
            <w:r>
              <w:rPr>
                <w:rFonts w:hint="eastAsia"/>
                <w:color w:val="auto"/>
                <w:sz w:val="24"/>
              </w:rPr>
              <w:t>A（r）</w:t>
            </w:r>
            <w:r>
              <w:rPr>
                <w:color w:val="auto"/>
                <w:sz w:val="24"/>
              </w:rPr>
              <w:t>—</w:t>
            </w:r>
            <w:r>
              <w:rPr>
                <w:rFonts w:hint="eastAsia"/>
                <w:color w:val="auto"/>
                <w:sz w:val="24"/>
              </w:rPr>
              <w:t>距声源r米处受声点的声级值，dB(A)</w:t>
            </w:r>
            <w:r>
              <w:rPr>
                <w:color w:val="auto"/>
                <w:sz w:val="24"/>
              </w:rPr>
              <w:t>；</w:t>
            </w:r>
          </w:p>
          <w:p w14:paraId="7B9AD577">
            <w:pPr>
              <w:spacing w:line="360" w:lineRule="auto"/>
              <w:ind w:firstLine="480" w:firstLineChars="200"/>
              <w:rPr>
                <w:color w:val="auto"/>
                <w:sz w:val="24"/>
              </w:rPr>
            </w:pPr>
            <w:r>
              <w:rPr>
                <w:color w:val="auto"/>
                <w:sz w:val="24"/>
              </w:rPr>
              <w:t>L</w:t>
            </w:r>
            <w:r>
              <w:rPr>
                <w:rFonts w:hint="eastAsia"/>
                <w:color w:val="auto"/>
                <w:sz w:val="24"/>
                <w:vertAlign w:val="subscript"/>
              </w:rPr>
              <w:t>A</w:t>
            </w:r>
            <w:r>
              <w:rPr>
                <w:rFonts w:hint="eastAsia"/>
                <w:color w:val="auto"/>
                <w:sz w:val="24"/>
              </w:rPr>
              <w:t>（r</w:t>
            </w:r>
            <w:r>
              <w:rPr>
                <w:rFonts w:hint="eastAsia"/>
                <w:color w:val="auto"/>
                <w:sz w:val="24"/>
                <w:vertAlign w:val="subscript"/>
              </w:rPr>
              <w:t>0</w:t>
            </w:r>
            <w:r>
              <w:rPr>
                <w:rFonts w:hint="eastAsia"/>
                <w:color w:val="auto"/>
                <w:sz w:val="24"/>
              </w:rPr>
              <w:t>）</w:t>
            </w:r>
            <w:r>
              <w:rPr>
                <w:color w:val="auto"/>
                <w:sz w:val="24"/>
              </w:rPr>
              <w:t>—</w:t>
            </w:r>
            <w:r>
              <w:rPr>
                <w:rFonts w:hint="eastAsia"/>
                <w:color w:val="auto"/>
                <w:sz w:val="24"/>
              </w:rPr>
              <w:t>参考点r0处的声源强度，dB(A)</w:t>
            </w:r>
            <w:r>
              <w:rPr>
                <w:color w:val="auto"/>
                <w:sz w:val="24"/>
              </w:rPr>
              <w:t>；</w:t>
            </w:r>
          </w:p>
          <w:p w14:paraId="4DA3348D">
            <w:pPr>
              <w:spacing w:line="360" w:lineRule="auto"/>
              <w:ind w:firstLine="480" w:firstLineChars="200"/>
              <w:rPr>
                <w:color w:val="auto"/>
                <w:sz w:val="24"/>
              </w:rPr>
            </w:pPr>
            <w:r>
              <w:rPr>
                <w:rFonts w:hint="eastAsia"/>
                <w:color w:val="auto"/>
                <w:sz w:val="24"/>
              </w:rPr>
              <w:t xml:space="preserve">r </w:t>
            </w:r>
            <w:r>
              <w:rPr>
                <w:color w:val="auto"/>
                <w:sz w:val="24"/>
              </w:rPr>
              <w:t>—</w:t>
            </w:r>
            <w:r>
              <w:rPr>
                <w:rFonts w:hint="eastAsia"/>
                <w:color w:val="auto"/>
                <w:sz w:val="24"/>
              </w:rPr>
              <w:t>预测受声点与声源之间的距离，</w:t>
            </w:r>
            <w:r>
              <w:rPr>
                <w:color w:val="auto"/>
                <w:sz w:val="24"/>
              </w:rPr>
              <w:t>m；</w:t>
            </w:r>
          </w:p>
          <w:p w14:paraId="4EF4AB69">
            <w:pPr>
              <w:spacing w:line="360" w:lineRule="auto"/>
              <w:ind w:firstLine="480" w:firstLineChars="200"/>
              <w:rPr>
                <w:rFonts w:hint="eastAsia"/>
                <w:color w:val="auto"/>
                <w:sz w:val="24"/>
              </w:rPr>
            </w:pPr>
            <w:r>
              <w:rPr>
                <w:color w:val="auto"/>
                <w:sz w:val="24"/>
              </w:rPr>
              <w:t>r</w:t>
            </w:r>
            <w:r>
              <w:rPr>
                <w:rFonts w:hint="eastAsia"/>
                <w:color w:val="auto"/>
                <w:sz w:val="24"/>
                <w:vertAlign w:val="subscript"/>
              </w:rPr>
              <w:t xml:space="preserve">0 </w:t>
            </w:r>
            <w:r>
              <w:rPr>
                <w:color w:val="auto"/>
                <w:sz w:val="24"/>
              </w:rPr>
              <w:t>—</w:t>
            </w:r>
            <w:r>
              <w:rPr>
                <w:rFonts w:hint="eastAsia"/>
                <w:color w:val="auto"/>
                <w:sz w:val="24"/>
              </w:rPr>
              <w:t>参考点与声源之间的</w:t>
            </w:r>
            <w:r>
              <w:rPr>
                <w:color w:val="auto"/>
                <w:sz w:val="24"/>
              </w:rPr>
              <w:t>距离</w:t>
            </w:r>
            <w:r>
              <w:rPr>
                <w:rFonts w:hint="eastAsia"/>
                <w:color w:val="auto"/>
                <w:sz w:val="24"/>
              </w:rPr>
              <w:t>，</w:t>
            </w:r>
            <w:r>
              <w:rPr>
                <w:color w:val="auto"/>
                <w:sz w:val="24"/>
              </w:rPr>
              <w:t>m</w:t>
            </w:r>
            <w:r>
              <w:rPr>
                <w:rFonts w:hint="eastAsia"/>
                <w:color w:val="auto"/>
                <w:sz w:val="24"/>
              </w:rPr>
              <w:t>；</w:t>
            </w:r>
          </w:p>
          <w:p w14:paraId="1CB77801">
            <w:pPr>
              <w:spacing w:line="360" w:lineRule="auto"/>
              <w:ind w:firstLine="480" w:firstLineChars="200"/>
              <w:rPr>
                <w:rFonts w:hint="eastAsia"/>
                <w:color w:val="auto"/>
                <w:sz w:val="24"/>
              </w:rPr>
            </w:pPr>
            <w:r>
              <w:rPr>
                <w:rFonts w:hint="eastAsia" w:ascii="宋体" w:hAnsi="宋体"/>
                <w:color w:val="auto"/>
                <w:sz w:val="24"/>
              </w:rPr>
              <w:t>△</w:t>
            </w:r>
            <w:r>
              <w:rPr>
                <w:color w:val="auto"/>
                <w:sz w:val="24"/>
              </w:rPr>
              <w:t>L</w:t>
            </w:r>
            <w:r>
              <w:rPr>
                <w:rFonts w:hint="eastAsia"/>
                <w:color w:val="auto"/>
                <w:sz w:val="24"/>
                <w:vertAlign w:val="subscript"/>
              </w:rPr>
              <w:t>A</w:t>
            </w:r>
            <w:r>
              <w:rPr>
                <w:color w:val="auto"/>
                <w:sz w:val="24"/>
              </w:rPr>
              <w:t>—</w:t>
            </w:r>
            <w:r>
              <w:rPr>
                <w:rFonts w:hint="eastAsia"/>
                <w:color w:val="auto"/>
                <w:sz w:val="24"/>
              </w:rPr>
              <w:t>各种因素引起的噪声衰减量，dB(A)。一般指建筑、绿化带和空气吸声衰减值，通常取8～25dB(A)。影响ΔL 的取值因素很多，根据工程特点，主要考虑噪声源的隔声影响，其中一般楼层的隔声量取15 dB(A)。</w:t>
            </w:r>
          </w:p>
          <w:p w14:paraId="74A9D659">
            <w:pPr>
              <w:numPr>
                <w:ilvl w:val="0"/>
                <w:numId w:val="0"/>
              </w:numPr>
              <w:spacing w:line="360" w:lineRule="auto"/>
              <w:ind w:firstLine="482" w:firstLineChars="200"/>
              <w:rPr>
                <w:rFonts w:hint="eastAsia"/>
                <w:b/>
                <w:bCs/>
                <w:color w:val="auto"/>
                <w:sz w:val="24"/>
                <w:lang w:val="en-US" w:eastAsia="zh-CN"/>
              </w:rPr>
            </w:pPr>
            <w:r>
              <w:rPr>
                <w:rFonts w:hint="eastAsia"/>
                <w:b/>
                <w:bCs/>
                <w:color w:val="auto"/>
                <w:sz w:val="24"/>
                <w:lang w:val="en-US" w:eastAsia="zh-CN"/>
              </w:rPr>
              <w:t>②预测结果</w:t>
            </w:r>
          </w:p>
          <w:p w14:paraId="15CBE6FC">
            <w:pPr>
              <w:numPr>
                <w:ilvl w:val="0"/>
                <w:numId w:val="12"/>
              </w:numPr>
              <w:spacing w:line="360" w:lineRule="auto"/>
              <w:ind w:firstLine="465"/>
              <w:rPr>
                <w:rFonts w:hint="eastAsia"/>
                <w:color w:val="auto"/>
                <w:sz w:val="24"/>
              </w:rPr>
            </w:pPr>
            <w:r>
              <w:rPr>
                <w:rFonts w:hint="eastAsia"/>
                <w:color w:val="auto"/>
                <w:sz w:val="24"/>
              </w:rPr>
              <w:t>厂界噪声预测结果</w:t>
            </w:r>
          </w:p>
          <w:p w14:paraId="11FFBE46">
            <w:pPr>
              <w:numPr>
                <w:ilvl w:val="0"/>
                <w:numId w:val="0"/>
              </w:numPr>
              <w:spacing w:line="360" w:lineRule="auto"/>
              <w:rPr>
                <w:rFonts w:hint="default" w:eastAsia="宋体"/>
                <w:b/>
                <w:bCs/>
                <w:color w:val="auto"/>
                <w:sz w:val="24"/>
                <w:lang w:val="en-US" w:eastAsia="zh-CN"/>
              </w:rPr>
            </w:pPr>
            <w:r>
              <w:rPr>
                <w:rFonts w:hint="eastAsia"/>
                <w:b/>
                <w:bCs/>
                <w:color w:val="auto"/>
                <w:sz w:val="24"/>
                <w:lang w:val="en-US" w:eastAsia="zh-CN"/>
              </w:rPr>
              <w:t>江川区医共体总院：</w:t>
            </w:r>
          </w:p>
          <w:p w14:paraId="1D3DD443">
            <w:pPr>
              <w:spacing w:line="360" w:lineRule="auto"/>
              <w:ind w:firstLine="465"/>
              <w:rPr>
                <w:color w:val="auto"/>
                <w:spacing w:val="4"/>
              </w:rPr>
            </w:pPr>
            <w:r>
              <w:rPr>
                <w:rFonts w:hint="default"/>
                <w:color w:val="auto"/>
                <w:kern w:val="0"/>
                <w:szCs w:val="24"/>
                <w:lang w:val="en-US" w:eastAsia="zh-CN" w:bidi="ar"/>
              </w:rPr>
              <w:drawing>
                <wp:anchor distT="0" distB="0" distL="114300" distR="114300" simplePos="0" relativeHeight="251704320" behindDoc="0" locked="0" layoutInCell="1" allowOverlap="1">
                  <wp:simplePos x="0" y="0"/>
                  <wp:positionH relativeFrom="column">
                    <wp:posOffset>58420</wp:posOffset>
                  </wp:positionH>
                  <wp:positionV relativeFrom="paragraph">
                    <wp:posOffset>1426210</wp:posOffset>
                  </wp:positionV>
                  <wp:extent cx="5024755" cy="3843020"/>
                  <wp:effectExtent l="0" t="0" r="4445" b="5080"/>
                  <wp:wrapNone/>
                  <wp:docPr id="87" name="图片 87" descr="35429300a5c5f91be5a0a483942dd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5429300a5c5f91be5a0a483942dd545"/>
                          <pic:cNvPicPr>
                            <a:picLocks noChangeAspect="1"/>
                          </pic:cNvPicPr>
                        </pic:nvPicPr>
                        <pic:blipFill>
                          <a:blip r:embed="rId28"/>
                          <a:stretch>
                            <a:fillRect/>
                          </a:stretch>
                        </pic:blipFill>
                        <pic:spPr>
                          <a:xfrm>
                            <a:off x="0" y="0"/>
                            <a:ext cx="5024755" cy="3843020"/>
                          </a:xfrm>
                          <a:prstGeom prst="rect">
                            <a:avLst/>
                          </a:prstGeom>
                        </pic:spPr>
                      </pic:pic>
                    </a:graphicData>
                  </a:graphic>
                </wp:anchor>
              </w:drawing>
            </w:r>
            <w:r>
              <w:rPr>
                <w:rFonts w:hint="eastAsia"/>
                <w:color w:val="auto"/>
                <w:sz w:val="24"/>
                <w:lang w:val="en-US" w:eastAsia="zh-CN"/>
              </w:rPr>
              <w:t>江川区医共体总院</w:t>
            </w:r>
            <w:r>
              <w:rPr>
                <w:color w:val="auto"/>
                <w:spacing w:val="10"/>
              </w:rPr>
              <w:t>项目清洗消毒、灭菌过程噪声轻微，经厂房建筑隔声后对边界噪声贡献不大。</w:t>
            </w:r>
            <w:r>
              <w:rPr>
                <w:color w:val="auto"/>
                <w:spacing w:val="9"/>
              </w:rPr>
              <w:t>本项</w:t>
            </w:r>
            <w:r>
              <w:rPr>
                <w:color w:val="auto"/>
                <w:spacing w:val="10"/>
              </w:rPr>
              <w:t>目运营期噪声主要来自高效全自动清洗消毒器、脉动真</w:t>
            </w:r>
            <w:r>
              <w:rPr>
                <w:color w:val="auto"/>
                <w:spacing w:val="9"/>
              </w:rPr>
              <w:t>空清洗消毒器、</w:t>
            </w:r>
            <w:r>
              <w:rPr>
                <w:color w:val="auto"/>
                <w:spacing w:val="10"/>
              </w:rPr>
              <w:t>医用真空干燥柜、制水设备、等设备运行产生的机</w:t>
            </w:r>
            <w:r>
              <w:rPr>
                <w:color w:val="auto"/>
                <w:spacing w:val="9"/>
              </w:rPr>
              <w:t>械噪声，噪声源强约为</w:t>
            </w:r>
            <w:r>
              <w:rPr>
                <w:rFonts w:ascii="Times New Roman" w:hAnsi="Times New Roman" w:eastAsia="Times New Roman" w:cs="Times New Roman"/>
                <w:color w:val="auto"/>
                <w:spacing w:val="4"/>
              </w:rPr>
              <w:t>75~90</w:t>
            </w:r>
            <w:r>
              <w:rPr>
                <w:rFonts w:ascii="Times New Roman" w:hAnsi="Times New Roman" w:eastAsia="Times New Roman" w:cs="Times New Roman"/>
                <w:color w:val="auto"/>
              </w:rPr>
              <w:t>dB</w:t>
            </w:r>
            <w:r>
              <w:rPr>
                <w:color w:val="auto"/>
                <w:spacing w:val="4"/>
              </w:rPr>
              <w:t>（</w:t>
            </w:r>
            <w:r>
              <w:rPr>
                <w:rFonts w:ascii="Times New Roman" w:hAnsi="Times New Roman" w:eastAsia="Times New Roman" w:cs="Times New Roman"/>
                <w:color w:val="auto"/>
                <w:spacing w:val="4"/>
              </w:rPr>
              <w:t>A</w:t>
            </w:r>
            <w:r>
              <w:rPr>
                <w:color w:val="auto"/>
                <w:spacing w:val="4"/>
              </w:rPr>
              <w:t>）。项目选用低噪声设备，同时采取隔声、减振等措施，以起到隔声降噪作用。</w:t>
            </w:r>
          </w:p>
          <w:p w14:paraId="1C97791F">
            <w:pPr>
              <w:widowControl/>
              <w:ind w:firstLine="480"/>
              <w:jc w:val="left"/>
              <w:rPr>
                <w:rFonts w:hint="default"/>
                <w:color w:val="auto"/>
                <w:kern w:val="0"/>
                <w:szCs w:val="24"/>
                <w:lang w:val="en-US" w:eastAsia="zh-CN" w:bidi="ar"/>
              </w:rPr>
            </w:pPr>
          </w:p>
          <w:p w14:paraId="18870661">
            <w:pPr>
              <w:widowControl/>
              <w:ind w:firstLine="480"/>
              <w:jc w:val="left"/>
              <w:rPr>
                <w:rFonts w:hint="default"/>
                <w:color w:val="auto"/>
                <w:kern w:val="0"/>
                <w:szCs w:val="24"/>
                <w:lang w:val="en-US" w:eastAsia="zh-CN" w:bidi="ar"/>
              </w:rPr>
            </w:pPr>
          </w:p>
          <w:p w14:paraId="36FA8F3F">
            <w:pPr>
              <w:widowControl/>
              <w:ind w:firstLine="480"/>
              <w:jc w:val="left"/>
              <w:rPr>
                <w:rFonts w:hint="default"/>
                <w:color w:val="auto"/>
                <w:kern w:val="0"/>
                <w:szCs w:val="24"/>
                <w:lang w:val="en-US" w:eastAsia="zh-CN" w:bidi="ar"/>
              </w:rPr>
            </w:pPr>
          </w:p>
          <w:p w14:paraId="5E527635">
            <w:pPr>
              <w:widowControl/>
              <w:ind w:firstLine="480"/>
              <w:jc w:val="left"/>
              <w:rPr>
                <w:rFonts w:hint="default"/>
                <w:color w:val="auto"/>
                <w:kern w:val="0"/>
                <w:szCs w:val="24"/>
                <w:lang w:val="en-US" w:eastAsia="zh-CN" w:bidi="ar"/>
              </w:rPr>
            </w:pPr>
          </w:p>
          <w:p w14:paraId="56D793E8">
            <w:pPr>
              <w:widowControl/>
              <w:ind w:firstLine="480"/>
              <w:jc w:val="left"/>
              <w:rPr>
                <w:rFonts w:hint="default"/>
                <w:color w:val="auto"/>
                <w:kern w:val="0"/>
                <w:szCs w:val="24"/>
                <w:lang w:val="en-US" w:eastAsia="zh-CN" w:bidi="ar"/>
              </w:rPr>
            </w:pPr>
          </w:p>
          <w:p w14:paraId="7F94FE8C">
            <w:pPr>
              <w:widowControl/>
              <w:ind w:firstLine="480"/>
              <w:jc w:val="left"/>
              <w:rPr>
                <w:rFonts w:hint="default"/>
                <w:color w:val="auto"/>
                <w:kern w:val="0"/>
                <w:szCs w:val="24"/>
                <w:lang w:val="en-US" w:eastAsia="zh-CN" w:bidi="ar"/>
              </w:rPr>
            </w:pPr>
          </w:p>
          <w:p w14:paraId="20AC171D">
            <w:pPr>
              <w:widowControl/>
              <w:ind w:firstLine="480"/>
              <w:jc w:val="left"/>
              <w:rPr>
                <w:rFonts w:hint="default"/>
                <w:color w:val="auto"/>
                <w:kern w:val="0"/>
                <w:szCs w:val="24"/>
                <w:lang w:val="en-US" w:eastAsia="zh-CN" w:bidi="ar"/>
              </w:rPr>
            </w:pPr>
          </w:p>
          <w:p w14:paraId="1A6CDBA4">
            <w:pPr>
              <w:widowControl/>
              <w:ind w:firstLine="480"/>
              <w:jc w:val="left"/>
              <w:rPr>
                <w:rFonts w:hint="default"/>
                <w:color w:val="auto"/>
                <w:kern w:val="0"/>
                <w:szCs w:val="24"/>
                <w:lang w:val="en-US" w:eastAsia="zh-CN" w:bidi="ar"/>
              </w:rPr>
            </w:pPr>
          </w:p>
          <w:p w14:paraId="15AA9464">
            <w:pPr>
              <w:widowControl/>
              <w:ind w:firstLine="480"/>
              <w:jc w:val="left"/>
              <w:rPr>
                <w:rFonts w:hint="default"/>
                <w:color w:val="auto"/>
                <w:kern w:val="0"/>
                <w:szCs w:val="24"/>
                <w:lang w:val="en-US" w:eastAsia="zh-CN" w:bidi="ar"/>
              </w:rPr>
            </w:pPr>
          </w:p>
          <w:p w14:paraId="03C36A0D">
            <w:pPr>
              <w:widowControl/>
              <w:ind w:firstLine="480"/>
              <w:jc w:val="left"/>
              <w:rPr>
                <w:rFonts w:hint="default"/>
                <w:color w:val="auto"/>
                <w:kern w:val="0"/>
                <w:szCs w:val="24"/>
                <w:lang w:val="en-US" w:eastAsia="zh-CN" w:bidi="ar"/>
              </w:rPr>
            </w:pPr>
          </w:p>
          <w:p w14:paraId="7BF1AE4F">
            <w:pPr>
              <w:widowControl/>
              <w:ind w:firstLine="480"/>
              <w:jc w:val="left"/>
              <w:rPr>
                <w:rFonts w:hint="default"/>
                <w:color w:val="auto"/>
                <w:kern w:val="0"/>
                <w:szCs w:val="24"/>
                <w:lang w:val="en-US" w:eastAsia="zh-CN" w:bidi="ar"/>
              </w:rPr>
            </w:pPr>
          </w:p>
          <w:p w14:paraId="5ACA7692">
            <w:pPr>
              <w:widowControl/>
              <w:ind w:firstLine="480"/>
              <w:jc w:val="left"/>
              <w:rPr>
                <w:rFonts w:hint="default"/>
                <w:color w:val="auto"/>
                <w:kern w:val="0"/>
                <w:szCs w:val="24"/>
                <w:lang w:val="en-US" w:eastAsia="zh-CN" w:bidi="ar"/>
              </w:rPr>
            </w:pPr>
          </w:p>
          <w:p w14:paraId="1AB5E23C">
            <w:pPr>
              <w:widowControl/>
              <w:ind w:firstLine="480"/>
              <w:jc w:val="left"/>
              <w:rPr>
                <w:rFonts w:hint="default"/>
                <w:color w:val="auto"/>
                <w:kern w:val="0"/>
                <w:szCs w:val="24"/>
                <w:lang w:val="en-US" w:eastAsia="zh-CN" w:bidi="ar"/>
              </w:rPr>
            </w:pPr>
          </w:p>
          <w:p w14:paraId="01D883B8">
            <w:pPr>
              <w:widowControl/>
              <w:ind w:firstLine="480"/>
              <w:jc w:val="left"/>
              <w:rPr>
                <w:rFonts w:hint="default"/>
                <w:color w:val="auto"/>
                <w:kern w:val="0"/>
                <w:szCs w:val="24"/>
                <w:lang w:val="en-US" w:eastAsia="zh-CN" w:bidi="ar"/>
              </w:rPr>
            </w:pPr>
          </w:p>
          <w:p w14:paraId="0458B29C">
            <w:pPr>
              <w:widowControl/>
              <w:ind w:firstLine="480"/>
              <w:jc w:val="left"/>
              <w:rPr>
                <w:rFonts w:hint="default"/>
                <w:color w:val="auto"/>
                <w:kern w:val="0"/>
                <w:szCs w:val="24"/>
                <w:lang w:val="en-US" w:eastAsia="zh-CN" w:bidi="ar"/>
              </w:rPr>
            </w:pPr>
          </w:p>
          <w:p w14:paraId="1FB9F5CF">
            <w:pPr>
              <w:spacing w:line="360" w:lineRule="auto"/>
              <w:ind w:firstLine="465"/>
              <w:rPr>
                <w:rFonts w:hint="eastAsia"/>
                <w:color w:val="auto"/>
                <w:sz w:val="24"/>
              </w:rPr>
            </w:pPr>
            <w:r>
              <w:rPr>
                <w:rFonts w:hint="eastAsia"/>
                <w:color w:val="auto"/>
                <w:sz w:val="24"/>
              </w:rPr>
              <w:t>根据本项目的声源情况，预测产噪设备对项目区四周厂界的噪声影响预测结果如下表所示。</w:t>
            </w:r>
          </w:p>
          <w:p w14:paraId="1FFBF154">
            <w:pPr>
              <w:pStyle w:val="38"/>
              <w:ind w:firstLine="514"/>
              <w:rPr>
                <w:rFonts w:hint="eastAsia"/>
                <w:color w:val="auto"/>
                <w:sz w:val="24"/>
              </w:rPr>
            </w:pPr>
            <w:r>
              <w:rPr>
                <w:rFonts w:hint="eastAsia" w:ascii="Times New Roman" w:hAnsi="Times New Roman" w:eastAsia="宋体"/>
                <w:b/>
                <w:bCs/>
                <w:color w:val="auto"/>
                <w:lang w:val="en-US" w:eastAsia="zh-CN"/>
              </w:rPr>
              <w:t>4-15扩建后江川区医共体总院各厂界噪声预测结果</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7"/>
              <w:gridCol w:w="2018"/>
              <w:gridCol w:w="2018"/>
              <w:gridCol w:w="2018"/>
            </w:tblGrid>
            <w:tr w14:paraId="34888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250" w:type="pct"/>
                  <w:vAlign w:val="center"/>
                </w:tcPr>
                <w:p w14:paraId="4D2B27F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预测点</w:t>
                  </w:r>
                </w:p>
              </w:tc>
              <w:tc>
                <w:tcPr>
                  <w:tcW w:w="1250" w:type="pct"/>
                  <w:vAlign w:val="center"/>
                </w:tcPr>
                <w:p w14:paraId="4824E21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预测贡献值dB（A）</w:t>
                  </w:r>
                </w:p>
              </w:tc>
              <w:tc>
                <w:tcPr>
                  <w:tcW w:w="1250" w:type="pct"/>
                  <w:vAlign w:val="center"/>
                </w:tcPr>
                <w:p w14:paraId="0CC8A4A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标准限值dB（A）</w:t>
                  </w:r>
                </w:p>
              </w:tc>
              <w:tc>
                <w:tcPr>
                  <w:tcW w:w="1250" w:type="pct"/>
                  <w:vAlign w:val="center"/>
                </w:tcPr>
                <w:p w14:paraId="59976B1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达标情况</w:t>
                  </w:r>
                </w:p>
              </w:tc>
            </w:tr>
            <w:tr w14:paraId="4749B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250" w:type="pct"/>
                  <w:vAlign w:val="center"/>
                </w:tcPr>
                <w:p w14:paraId="484B1D8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东厂界</w:t>
                  </w:r>
                </w:p>
              </w:tc>
              <w:tc>
                <w:tcPr>
                  <w:tcW w:w="1250" w:type="pct"/>
                  <w:vAlign w:val="center"/>
                </w:tcPr>
                <w:p w14:paraId="3DCE826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34.94</w:t>
                  </w:r>
                </w:p>
              </w:tc>
              <w:tc>
                <w:tcPr>
                  <w:tcW w:w="1250" w:type="pct"/>
                  <w:vAlign w:val="center"/>
                </w:tcPr>
                <w:p w14:paraId="2F95106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eastAsia="宋体"/>
                      <w:color w:val="auto"/>
                      <w:szCs w:val="21"/>
                      <w:lang w:val="en-US" w:eastAsia="zh-CN"/>
                    </w:rPr>
                  </w:pPr>
                  <w:r>
                    <w:rPr>
                      <w:color w:val="auto"/>
                      <w:szCs w:val="21"/>
                      <w:highlight w:val="none"/>
                    </w:rPr>
                    <w:t>昼间</w:t>
                  </w:r>
                  <w:r>
                    <w:rPr>
                      <w:rFonts w:hint="eastAsia"/>
                      <w:color w:val="auto"/>
                      <w:szCs w:val="21"/>
                      <w:highlight w:val="none"/>
                      <w:lang w:val="en-US" w:eastAsia="zh-CN"/>
                    </w:rPr>
                    <w:t>70</w:t>
                  </w:r>
                </w:p>
              </w:tc>
              <w:tc>
                <w:tcPr>
                  <w:tcW w:w="1250" w:type="pct"/>
                  <w:vAlign w:val="center"/>
                </w:tcPr>
                <w:p w14:paraId="477CDBC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0656F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250" w:type="pct"/>
                  <w:vAlign w:val="center"/>
                </w:tcPr>
                <w:p w14:paraId="4D80284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南厂界</w:t>
                  </w:r>
                </w:p>
              </w:tc>
              <w:tc>
                <w:tcPr>
                  <w:tcW w:w="1250" w:type="pct"/>
                  <w:vAlign w:val="center"/>
                </w:tcPr>
                <w:p w14:paraId="22C13E5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auto"/>
                      <w:szCs w:val="21"/>
                      <w:lang w:eastAsia="zh-CN"/>
                    </w:rPr>
                  </w:pPr>
                  <w:r>
                    <w:rPr>
                      <w:rFonts w:hint="eastAsia"/>
                      <w:color w:val="auto"/>
                      <w:szCs w:val="21"/>
                    </w:rPr>
                    <w:t>27.71</w:t>
                  </w:r>
                </w:p>
              </w:tc>
              <w:tc>
                <w:tcPr>
                  <w:tcW w:w="1250" w:type="pct"/>
                  <w:vAlign w:val="center"/>
                </w:tcPr>
                <w:p w14:paraId="5286B65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3F95A5C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6CEB4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1250" w:type="pct"/>
                  <w:vAlign w:val="center"/>
                </w:tcPr>
                <w:p w14:paraId="1F9E9B4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西厂界</w:t>
                  </w:r>
                </w:p>
              </w:tc>
              <w:tc>
                <w:tcPr>
                  <w:tcW w:w="1250" w:type="pct"/>
                  <w:vAlign w:val="center"/>
                </w:tcPr>
                <w:p w14:paraId="4DC4E1E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48.08</w:t>
                  </w:r>
                </w:p>
              </w:tc>
              <w:tc>
                <w:tcPr>
                  <w:tcW w:w="1250" w:type="pct"/>
                  <w:vAlign w:val="center"/>
                </w:tcPr>
                <w:p w14:paraId="5291D8D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38E8388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4FE3E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250" w:type="pct"/>
                  <w:vAlign w:val="center"/>
                </w:tcPr>
                <w:p w14:paraId="69DB936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北厂界</w:t>
                  </w:r>
                </w:p>
              </w:tc>
              <w:tc>
                <w:tcPr>
                  <w:tcW w:w="1250" w:type="pct"/>
                  <w:vAlign w:val="center"/>
                </w:tcPr>
                <w:p w14:paraId="0AA69C9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47.02</w:t>
                  </w:r>
                </w:p>
              </w:tc>
              <w:tc>
                <w:tcPr>
                  <w:tcW w:w="1250" w:type="pct"/>
                  <w:vAlign w:val="center"/>
                </w:tcPr>
                <w:p w14:paraId="7A48665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6F401A8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bl>
          <w:p w14:paraId="65E42D90">
            <w:pPr>
              <w:widowControl/>
              <w:ind w:left="0" w:leftChars="0" w:firstLine="480"/>
              <w:jc w:val="left"/>
              <w:rPr>
                <w:color w:val="auto"/>
                <w:kern w:val="0"/>
                <w:szCs w:val="24"/>
                <w:lang w:bidi="ar"/>
              </w:rPr>
            </w:pPr>
            <w:r>
              <w:rPr>
                <w:color w:val="auto"/>
                <w:kern w:val="0"/>
                <w:szCs w:val="24"/>
                <w:lang w:bidi="ar"/>
              </w:rPr>
              <w:t>由上</w:t>
            </w:r>
            <w:r>
              <w:rPr>
                <w:rFonts w:hint="eastAsia"/>
                <w:color w:val="auto"/>
                <w:kern w:val="0"/>
                <w:szCs w:val="24"/>
                <w:lang w:val="en-US" w:eastAsia="zh-CN" w:bidi="ar"/>
              </w:rPr>
              <w:t>表</w:t>
            </w:r>
            <w:r>
              <w:rPr>
                <w:color w:val="auto"/>
                <w:kern w:val="0"/>
                <w:szCs w:val="24"/>
                <w:lang w:bidi="ar"/>
              </w:rPr>
              <w:t>可知，项目投产后</w:t>
            </w:r>
            <w:r>
              <w:rPr>
                <w:rFonts w:hint="eastAsia"/>
                <w:color w:val="auto"/>
                <w:kern w:val="0"/>
                <w:szCs w:val="24"/>
                <w:lang w:val="en-US" w:eastAsia="zh-CN" w:bidi="ar"/>
              </w:rPr>
              <w:t>西、南、北侧厂界昼间噪声预测值能够达到《工业企业厂界环境噪声排放标准》（GB12348-2008）中的2类标准，即昼间噪声值≤60dB（A），夜间噪声值≤50dB（A），东侧厂界昼间噪声预测值能够达到《工业企业厂界环境噪声排放标准》（GB12348-2008）中的4类标准，即昼间噪声值≤70dB（A），夜间噪声值≤55dB（A）。</w:t>
            </w:r>
          </w:p>
          <w:p w14:paraId="5B4103EF">
            <w:pPr>
              <w:widowControl/>
              <w:ind w:firstLine="480"/>
              <w:jc w:val="left"/>
              <w:rPr>
                <w:rFonts w:hint="eastAsia"/>
                <w:color w:val="auto"/>
              </w:rPr>
            </w:pPr>
            <w:r>
              <w:rPr>
                <w:color w:val="auto"/>
                <w:kern w:val="0"/>
                <w:szCs w:val="24"/>
                <w:lang w:bidi="ar"/>
              </w:rPr>
              <w:t>综上所述，建设项目噪声排放对周围环境影响较小，噪声防治措施可行。</w:t>
            </w:r>
          </w:p>
          <w:p w14:paraId="113AE3F1">
            <w:pPr>
              <w:numPr>
                <w:ilvl w:val="0"/>
                <w:numId w:val="0"/>
              </w:numPr>
              <w:spacing w:line="360" w:lineRule="auto"/>
              <w:rPr>
                <w:rFonts w:hint="default" w:eastAsia="宋体"/>
                <w:b/>
                <w:bCs/>
                <w:color w:val="auto"/>
                <w:sz w:val="24"/>
                <w:lang w:val="en-US" w:eastAsia="zh-CN"/>
              </w:rPr>
            </w:pPr>
            <w:r>
              <w:rPr>
                <w:rFonts w:hint="eastAsia"/>
                <w:b/>
                <w:bCs/>
                <w:color w:val="auto"/>
                <w:sz w:val="24"/>
                <w:lang w:val="en-US" w:eastAsia="zh-CN"/>
              </w:rPr>
              <w:t>江城卫生院：</w:t>
            </w:r>
          </w:p>
          <w:p w14:paraId="73E36BDA">
            <w:pPr>
              <w:spacing w:line="360" w:lineRule="auto"/>
              <w:ind w:firstLine="465"/>
              <w:rPr>
                <w:rFonts w:hint="eastAsia"/>
                <w:color w:val="auto"/>
                <w:sz w:val="24"/>
              </w:rPr>
            </w:pPr>
            <w:r>
              <w:rPr>
                <w:rFonts w:hint="eastAsia"/>
                <w:color w:val="auto"/>
                <w:sz w:val="24"/>
              </w:rPr>
              <w:t>项目营运期间，</w:t>
            </w:r>
            <w:r>
              <w:rPr>
                <w:rFonts w:hint="eastAsia"/>
                <w:color w:val="auto"/>
                <w:sz w:val="24"/>
                <w:lang w:val="en-US" w:eastAsia="zh-CN"/>
              </w:rPr>
              <w:t>江城卫生院</w:t>
            </w:r>
            <w:r>
              <w:rPr>
                <w:rFonts w:hint="eastAsia"/>
                <w:color w:val="auto"/>
                <w:sz w:val="24"/>
              </w:rPr>
              <w:t>产噪设备主要为发电机、空调室外机、污水处理站水泵等动力设备。其中，污水处理站水泵为地埋式设备，水泵等均位于独立的设备间内，在设计上，对设备间均采用隔声墙体，对泵和污水处理设备进行基础减震；备用发电机、变配电设备、风机等均布置在地下室，并采取减震隔声降噪措施；多联空调机组的外机安装在屋面并进行减震隔声降噪处理。通过采取上述降噪、减震措施后，设备噪声可明显降低。</w:t>
            </w:r>
          </w:p>
          <w:p w14:paraId="36F90228">
            <w:pPr>
              <w:spacing w:line="360" w:lineRule="auto"/>
              <w:ind w:firstLine="465"/>
              <w:rPr>
                <w:rFonts w:hint="default"/>
                <w:color w:val="auto"/>
                <w:spacing w:val="4"/>
                <w:lang w:val="en-US" w:eastAsia="zh-CN"/>
              </w:rPr>
            </w:pPr>
            <w:r>
              <w:rPr>
                <w:rFonts w:hint="eastAsia" w:eastAsia="宋体"/>
                <w:color w:val="auto"/>
                <w:sz w:val="24"/>
                <w:lang w:eastAsia="zh-CN"/>
              </w:rPr>
              <w:drawing>
                <wp:inline distT="0" distB="0" distL="114300" distR="114300">
                  <wp:extent cx="4878705" cy="2780665"/>
                  <wp:effectExtent l="0" t="0" r="17145" b="635"/>
                  <wp:docPr id="74" name="图片 74" descr="dcff49bc0d4dc40a1a024860cda626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cff49bc0d4dc40a1a024860cda6262b"/>
                          <pic:cNvPicPr>
                            <a:picLocks noChangeAspect="1"/>
                          </pic:cNvPicPr>
                        </pic:nvPicPr>
                        <pic:blipFill>
                          <a:blip r:embed="rId29"/>
                          <a:stretch>
                            <a:fillRect/>
                          </a:stretch>
                        </pic:blipFill>
                        <pic:spPr>
                          <a:xfrm>
                            <a:off x="0" y="0"/>
                            <a:ext cx="4878705" cy="2780665"/>
                          </a:xfrm>
                          <a:prstGeom prst="rect">
                            <a:avLst/>
                          </a:prstGeom>
                        </pic:spPr>
                      </pic:pic>
                    </a:graphicData>
                  </a:graphic>
                </wp:inline>
              </w:drawing>
            </w:r>
          </w:p>
          <w:p w14:paraId="445DDD29">
            <w:pPr>
              <w:spacing w:line="360" w:lineRule="auto"/>
              <w:ind w:firstLine="465"/>
              <w:rPr>
                <w:rFonts w:hint="eastAsia"/>
                <w:color w:val="auto"/>
                <w:sz w:val="24"/>
              </w:rPr>
            </w:pPr>
            <w:r>
              <w:rPr>
                <w:rFonts w:hint="eastAsia"/>
                <w:color w:val="auto"/>
                <w:sz w:val="24"/>
              </w:rPr>
              <w:t>根据本项目的声源情况，预测产噪设备对项目区四周厂界的噪声影响预测结果如下表所示。</w:t>
            </w:r>
          </w:p>
          <w:p w14:paraId="4BC431BA">
            <w:pPr>
              <w:pStyle w:val="38"/>
              <w:ind w:firstLine="514"/>
              <w:rPr>
                <w:rFonts w:hint="eastAsia"/>
                <w:color w:val="auto"/>
                <w:sz w:val="24"/>
              </w:rPr>
            </w:pPr>
            <w:r>
              <w:rPr>
                <w:rFonts w:hint="eastAsia" w:ascii="Times New Roman" w:hAnsi="Times New Roman" w:eastAsia="宋体"/>
                <w:b/>
                <w:bCs/>
                <w:color w:val="auto"/>
                <w:lang w:val="en-US" w:eastAsia="zh-CN"/>
              </w:rPr>
              <w:t>4-16 扩建后江城卫生院各厂界噪声预测结果</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7"/>
              <w:gridCol w:w="2018"/>
              <w:gridCol w:w="2018"/>
              <w:gridCol w:w="2018"/>
            </w:tblGrid>
            <w:tr w14:paraId="1BB0E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250" w:type="pct"/>
                  <w:vAlign w:val="center"/>
                </w:tcPr>
                <w:p w14:paraId="08A4ABC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预测点</w:t>
                  </w:r>
                </w:p>
              </w:tc>
              <w:tc>
                <w:tcPr>
                  <w:tcW w:w="1250" w:type="pct"/>
                  <w:vAlign w:val="center"/>
                </w:tcPr>
                <w:p w14:paraId="3BC4016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预测贡献值dB（A）</w:t>
                  </w:r>
                </w:p>
              </w:tc>
              <w:tc>
                <w:tcPr>
                  <w:tcW w:w="1250" w:type="pct"/>
                  <w:vAlign w:val="center"/>
                </w:tcPr>
                <w:p w14:paraId="20228C1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标准限值dB（A）</w:t>
                  </w:r>
                </w:p>
              </w:tc>
              <w:tc>
                <w:tcPr>
                  <w:tcW w:w="1250" w:type="pct"/>
                  <w:vAlign w:val="center"/>
                </w:tcPr>
                <w:p w14:paraId="0497172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达标情况</w:t>
                  </w:r>
                </w:p>
              </w:tc>
            </w:tr>
            <w:tr w14:paraId="702AD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250" w:type="pct"/>
                  <w:vAlign w:val="center"/>
                </w:tcPr>
                <w:p w14:paraId="1E6A0C7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东厂界</w:t>
                  </w:r>
                </w:p>
              </w:tc>
              <w:tc>
                <w:tcPr>
                  <w:tcW w:w="1250" w:type="pct"/>
                  <w:vAlign w:val="center"/>
                </w:tcPr>
                <w:p w14:paraId="1AABECF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42.44</w:t>
                  </w:r>
                </w:p>
              </w:tc>
              <w:tc>
                <w:tcPr>
                  <w:tcW w:w="1250" w:type="pct"/>
                  <w:vAlign w:val="center"/>
                </w:tcPr>
                <w:p w14:paraId="5CD9459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eastAsia="宋体"/>
                      <w:color w:val="auto"/>
                      <w:szCs w:val="21"/>
                      <w:lang w:val="en-US" w:eastAsia="zh-CN"/>
                    </w:rPr>
                  </w:pPr>
                  <w:r>
                    <w:rPr>
                      <w:color w:val="auto"/>
                      <w:szCs w:val="21"/>
                    </w:rPr>
                    <w:t>昼间</w:t>
                  </w:r>
                  <w:r>
                    <w:rPr>
                      <w:rFonts w:hint="eastAsia"/>
                      <w:color w:val="auto"/>
                      <w:szCs w:val="21"/>
                      <w:lang w:val="en-US" w:eastAsia="zh-CN"/>
                    </w:rPr>
                    <w:t>60</w:t>
                  </w:r>
                </w:p>
              </w:tc>
              <w:tc>
                <w:tcPr>
                  <w:tcW w:w="1250" w:type="pct"/>
                  <w:vAlign w:val="center"/>
                </w:tcPr>
                <w:p w14:paraId="2F0E604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3166B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250" w:type="pct"/>
                  <w:vAlign w:val="center"/>
                </w:tcPr>
                <w:p w14:paraId="5B5C947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南厂界</w:t>
                  </w:r>
                </w:p>
              </w:tc>
              <w:tc>
                <w:tcPr>
                  <w:tcW w:w="1250" w:type="pct"/>
                  <w:vAlign w:val="center"/>
                </w:tcPr>
                <w:p w14:paraId="608655D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auto"/>
                      <w:szCs w:val="21"/>
                      <w:lang w:eastAsia="zh-CN"/>
                    </w:rPr>
                  </w:pPr>
                  <w:r>
                    <w:rPr>
                      <w:rFonts w:hint="eastAsia"/>
                      <w:color w:val="auto"/>
                      <w:szCs w:val="21"/>
                    </w:rPr>
                    <w:t>44.89</w:t>
                  </w:r>
                </w:p>
              </w:tc>
              <w:tc>
                <w:tcPr>
                  <w:tcW w:w="1250" w:type="pct"/>
                  <w:vAlign w:val="center"/>
                </w:tcPr>
                <w:p w14:paraId="0D3A23D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07F291B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6E8D2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1250" w:type="pct"/>
                  <w:vAlign w:val="center"/>
                </w:tcPr>
                <w:p w14:paraId="5FD648D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西厂界</w:t>
                  </w:r>
                </w:p>
              </w:tc>
              <w:tc>
                <w:tcPr>
                  <w:tcW w:w="1250" w:type="pct"/>
                  <w:vAlign w:val="center"/>
                </w:tcPr>
                <w:p w14:paraId="68E4AB3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43.77</w:t>
                  </w:r>
                </w:p>
              </w:tc>
              <w:tc>
                <w:tcPr>
                  <w:tcW w:w="1250" w:type="pct"/>
                  <w:vAlign w:val="center"/>
                </w:tcPr>
                <w:p w14:paraId="48637E4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4D434E6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r w14:paraId="79A69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250" w:type="pct"/>
                  <w:vAlign w:val="center"/>
                </w:tcPr>
                <w:p w14:paraId="5BFD321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北厂界</w:t>
                  </w:r>
                </w:p>
              </w:tc>
              <w:tc>
                <w:tcPr>
                  <w:tcW w:w="1250" w:type="pct"/>
                  <w:vAlign w:val="center"/>
                </w:tcPr>
                <w:p w14:paraId="040AE3E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rFonts w:hint="eastAsia"/>
                      <w:color w:val="auto"/>
                      <w:szCs w:val="21"/>
                    </w:rPr>
                    <w:t>51.83</w:t>
                  </w:r>
                </w:p>
              </w:tc>
              <w:tc>
                <w:tcPr>
                  <w:tcW w:w="1250" w:type="pct"/>
                  <w:vAlign w:val="center"/>
                </w:tcPr>
                <w:p w14:paraId="5E1C6B9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昼间</w:t>
                  </w:r>
                  <w:r>
                    <w:rPr>
                      <w:rFonts w:hint="eastAsia"/>
                      <w:color w:val="auto"/>
                      <w:szCs w:val="21"/>
                      <w:lang w:val="en-US" w:eastAsia="zh-CN"/>
                    </w:rPr>
                    <w:t>60</w:t>
                  </w:r>
                </w:p>
              </w:tc>
              <w:tc>
                <w:tcPr>
                  <w:tcW w:w="1250" w:type="pct"/>
                  <w:vAlign w:val="center"/>
                </w:tcPr>
                <w:p w14:paraId="7171962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Cs w:val="21"/>
                    </w:rPr>
                  </w:pPr>
                  <w:r>
                    <w:rPr>
                      <w:color w:val="auto"/>
                      <w:szCs w:val="21"/>
                    </w:rPr>
                    <w:t>达标</w:t>
                  </w:r>
                </w:p>
              </w:tc>
            </w:tr>
          </w:tbl>
          <w:p w14:paraId="60309D47">
            <w:pPr>
              <w:widowControl/>
              <w:ind w:left="0" w:leftChars="0" w:firstLine="480" w:firstLineChars="200"/>
              <w:jc w:val="left"/>
              <w:rPr>
                <w:color w:val="auto"/>
                <w:kern w:val="0"/>
                <w:szCs w:val="24"/>
                <w:lang w:bidi="ar"/>
              </w:rPr>
            </w:pPr>
            <w:r>
              <w:rPr>
                <w:color w:val="auto"/>
                <w:kern w:val="0"/>
                <w:szCs w:val="24"/>
                <w:lang w:bidi="ar"/>
              </w:rPr>
              <w:t>由上</w:t>
            </w:r>
            <w:r>
              <w:rPr>
                <w:rFonts w:hint="eastAsia"/>
                <w:color w:val="auto"/>
                <w:kern w:val="0"/>
                <w:szCs w:val="24"/>
                <w:lang w:val="en-US" w:eastAsia="zh-CN" w:bidi="ar"/>
              </w:rPr>
              <w:t>表</w:t>
            </w:r>
            <w:r>
              <w:rPr>
                <w:color w:val="auto"/>
                <w:kern w:val="0"/>
                <w:szCs w:val="24"/>
                <w:lang w:bidi="ar"/>
              </w:rPr>
              <w:t>可知，项目投产后各厂界昼、夜间噪声预测值能够达到《工业企业厂界环境噪声排放标准》（GB12348-2008）中的</w:t>
            </w:r>
            <w:r>
              <w:rPr>
                <w:rFonts w:hint="eastAsia"/>
                <w:color w:val="auto"/>
                <w:kern w:val="0"/>
                <w:szCs w:val="24"/>
                <w:lang w:val="en-US" w:eastAsia="zh-CN" w:bidi="ar"/>
              </w:rPr>
              <w:t>2</w:t>
            </w:r>
            <w:r>
              <w:rPr>
                <w:color w:val="auto"/>
                <w:kern w:val="0"/>
                <w:szCs w:val="24"/>
                <w:lang w:bidi="ar"/>
              </w:rPr>
              <w:t>类标准，即昼间噪声值≤6</w:t>
            </w:r>
            <w:r>
              <w:rPr>
                <w:rFonts w:hint="eastAsia"/>
                <w:color w:val="auto"/>
                <w:kern w:val="0"/>
                <w:szCs w:val="24"/>
                <w:lang w:val="en-US" w:eastAsia="zh-CN" w:bidi="ar"/>
              </w:rPr>
              <w:t>0</w:t>
            </w:r>
            <w:r>
              <w:rPr>
                <w:color w:val="auto"/>
                <w:kern w:val="0"/>
                <w:szCs w:val="24"/>
                <w:lang w:bidi="ar"/>
              </w:rPr>
              <w:t>dB（A），夜间噪声值≤5</w:t>
            </w:r>
            <w:r>
              <w:rPr>
                <w:rFonts w:hint="eastAsia"/>
                <w:color w:val="auto"/>
                <w:kern w:val="0"/>
                <w:szCs w:val="24"/>
                <w:lang w:val="en-US" w:eastAsia="zh-CN" w:bidi="ar"/>
              </w:rPr>
              <w:t>0</w:t>
            </w:r>
            <w:r>
              <w:rPr>
                <w:color w:val="auto"/>
                <w:kern w:val="0"/>
                <w:szCs w:val="24"/>
                <w:lang w:bidi="ar"/>
              </w:rPr>
              <w:t>dB（A）。</w:t>
            </w:r>
          </w:p>
          <w:p w14:paraId="7F10A737">
            <w:pPr>
              <w:widowControl/>
              <w:ind w:firstLine="480"/>
              <w:jc w:val="left"/>
              <w:rPr>
                <w:rFonts w:hint="default"/>
                <w:color w:val="auto"/>
                <w:kern w:val="0"/>
                <w:szCs w:val="24"/>
                <w:lang w:val="en-US" w:eastAsia="zh-CN" w:bidi="ar"/>
              </w:rPr>
            </w:pPr>
            <w:r>
              <w:rPr>
                <w:color w:val="auto"/>
                <w:kern w:val="0"/>
                <w:szCs w:val="24"/>
                <w:lang w:bidi="ar"/>
              </w:rPr>
              <w:t>综上所述，建设项目噪声排放对周围环境影响较小，噪声防治措施可行。</w:t>
            </w:r>
          </w:p>
          <w:p w14:paraId="69470C21">
            <w:pPr>
              <w:widowControl/>
              <w:ind w:firstLine="482"/>
              <w:jc w:val="left"/>
              <w:rPr>
                <w:b/>
                <w:bCs/>
                <w:color w:val="auto"/>
                <w:kern w:val="0"/>
                <w:szCs w:val="24"/>
                <w:lang w:bidi="ar"/>
              </w:rPr>
            </w:pPr>
            <w:r>
              <w:rPr>
                <w:b/>
                <w:bCs/>
                <w:color w:val="auto"/>
                <w:kern w:val="0"/>
                <w:szCs w:val="24"/>
                <w:lang w:bidi="ar"/>
              </w:rPr>
              <w:t>2、防治措施</w:t>
            </w:r>
          </w:p>
          <w:p w14:paraId="0C1BD21C">
            <w:pPr>
              <w:widowControl/>
              <w:ind w:firstLine="480"/>
              <w:jc w:val="left"/>
              <w:rPr>
                <w:rFonts w:hint="eastAsia" w:eastAsia="宋体"/>
                <w:color w:val="auto"/>
                <w:kern w:val="0"/>
                <w:szCs w:val="24"/>
                <w:lang w:eastAsia="zh-CN" w:bidi="ar"/>
              </w:rPr>
            </w:pPr>
            <w:r>
              <w:rPr>
                <w:color w:val="auto"/>
                <w:kern w:val="0"/>
                <w:szCs w:val="24"/>
                <w:lang w:bidi="ar"/>
              </w:rPr>
              <w:t>为进一步降低噪声对周围环境的影响，建设单位应采取以下措施：</w:t>
            </w:r>
          </w:p>
          <w:p w14:paraId="3B4A280A">
            <w:pPr>
              <w:widowControl/>
              <w:ind w:firstLine="480"/>
              <w:jc w:val="left"/>
              <w:rPr>
                <w:rFonts w:hint="eastAsia" w:eastAsia="宋体"/>
                <w:color w:val="auto"/>
                <w:kern w:val="0"/>
                <w:szCs w:val="24"/>
                <w:lang w:eastAsia="zh-CN" w:bidi="ar"/>
              </w:rPr>
            </w:pPr>
            <w:r>
              <w:rPr>
                <w:rFonts w:hint="eastAsia" w:ascii="宋体" w:hAnsi="宋体" w:cs="宋体"/>
                <w:color w:val="auto"/>
                <w:kern w:val="0"/>
                <w:szCs w:val="24"/>
                <w:lang w:bidi="ar"/>
              </w:rPr>
              <w:t>①</w:t>
            </w:r>
            <w:r>
              <w:rPr>
                <w:color w:val="auto"/>
                <w:kern w:val="0"/>
                <w:szCs w:val="24"/>
                <w:lang w:bidi="ar"/>
              </w:rPr>
              <w:t>选用低噪声设备、房屋隔声和距离衰减，并将主要的产生噪声的设备等设置于专用设备房中。对于车辆产生的噪声可从加强管理着手，避免车辆不必要的怠速、制动、启动甚至鸣号。</w:t>
            </w:r>
          </w:p>
          <w:p w14:paraId="59582779">
            <w:pPr>
              <w:widowControl/>
              <w:ind w:firstLine="480"/>
              <w:jc w:val="left"/>
              <w:rPr>
                <w:rFonts w:hint="eastAsia" w:eastAsia="宋体"/>
                <w:color w:val="auto"/>
                <w:kern w:val="0"/>
                <w:szCs w:val="24"/>
                <w:lang w:eastAsia="zh-CN" w:bidi="ar"/>
              </w:rPr>
            </w:pPr>
            <w:r>
              <w:rPr>
                <w:rFonts w:hint="eastAsia" w:ascii="宋体" w:hAnsi="宋体" w:cs="宋体"/>
                <w:color w:val="auto"/>
                <w:kern w:val="0"/>
                <w:szCs w:val="24"/>
                <w:lang w:bidi="ar"/>
              </w:rPr>
              <w:t>②</w:t>
            </w:r>
            <w:r>
              <w:rPr>
                <w:color w:val="auto"/>
                <w:kern w:val="0"/>
                <w:szCs w:val="24"/>
                <w:lang w:bidi="ar"/>
              </w:rPr>
              <w:t>项目运营后，建设单位应该对问诊病人进行正确的督导，严格限制探访时间，禁止大声喧哗，确保医院噪声强度在正常的范围内。</w:t>
            </w:r>
          </w:p>
          <w:p w14:paraId="6A4EEB0F">
            <w:pPr>
              <w:widowControl/>
              <w:ind w:firstLine="480"/>
              <w:jc w:val="left"/>
              <w:rPr>
                <w:color w:val="auto"/>
                <w:kern w:val="0"/>
                <w:szCs w:val="24"/>
                <w:lang w:bidi="ar"/>
              </w:rPr>
            </w:pPr>
            <w:r>
              <w:rPr>
                <w:color w:val="auto"/>
                <w:kern w:val="0"/>
                <w:szCs w:val="24"/>
                <w:lang w:bidi="ar"/>
              </w:rPr>
              <w:t>综上所述，项目在运行期产生的噪声，只要采取环评报告提出的对策措施后，经建筑隔声、减震及距离衰减后，本项目厂界噪声可达到《工业企业厂界环境噪声标准》（GB12348-2008）中2类、4类标准要求，对周围关心点的影响不大。</w:t>
            </w:r>
          </w:p>
          <w:p w14:paraId="70BA9810">
            <w:pPr>
              <w:widowControl/>
              <w:ind w:firstLine="482"/>
              <w:jc w:val="left"/>
              <w:rPr>
                <w:color w:val="auto"/>
              </w:rPr>
            </w:pPr>
            <w:r>
              <w:rPr>
                <w:b/>
                <w:bCs/>
                <w:color w:val="auto"/>
                <w:kern w:val="0"/>
                <w:szCs w:val="24"/>
                <w:lang w:bidi="ar"/>
              </w:rPr>
              <w:t>3、噪声监测要求</w:t>
            </w:r>
          </w:p>
          <w:p w14:paraId="06F0EB70">
            <w:pPr>
              <w:widowControl/>
              <w:ind w:firstLine="480"/>
              <w:jc w:val="left"/>
              <w:rPr>
                <w:color w:val="auto"/>
              </w:rPr>
            </w:pPr>
            <w:r>
              <w:rPr>
                <w:color w:val="auto"/>
              </w:rPr>
              <w:t>根据《排污单位自行监测技术指南总则》（HJ819-2017），本项目噪声自行监测要求如下表。</w:t>
            </w:r>
          </w:p>
          <w:p w14:paraId="63523637">
            <w:pPr>
              <w:pStyle w:val="38"/>
              <w:ind w:firstLine="49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17</w:t>
            </w:r>
            <w:r>
              <w:rPr>
                <w:rFonts w:ascii="Times New Roman" w:hAnsi="Times New Roman" w:eastAsia="宋体"/>
                <w:b/>
                <w:bCs/>
                <w:color w:val="auto"/>
              </w:rPr>
              <w:t>噪声监测要求</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207"/>
              <w:gridCol w:w="1509"/>
              <w:gridCol w:w="1357"/>
              <w:gridCol w:w="2745"/>
            </w:tblGrid>
            <w:tr w14:paraId="018FA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90" w:type="dxa"/>
                  <w:vAlign w:val="center"/>
                </w:tcPr>
                <w:p w14:paraId="7DF2E853">
                  <w:pPr>
                    <w:pStyle w:val="2"/>
                    <w:jc w:val="center"/>
                    <w:rPr>
                      <w:color w:val="auto"/>
                      <w:sz w:val="21"/>
                      <w:szCs w:val="21"/>
                    </w:rPr>
                  </w:pPr>
                  <w:r>
                    <w:rPr>
                      <w:color w:val="auto"/>
                      <w:sz w:val="21"/>
                      <w:szCs w:val="21"/>
                    </w:rPr>
                    <w:t>类别</w:t>
                  </w:r>
                </w:p>
              </w:tc>
              <w:tc>
                <w:tcPr>
                  <w:tcW w:w="1207" w:type="dxa"/>
                  <w:vAlign w:val="center"/>
                </w:tcPr>
                <w:p w14:paraId="5A06AE07">
                  <w:pPr>
                    <w:pStyle w:val="2"/>
                    <w:jc w:val="center"/>
                    <w:rPr>
                      <w:color w:val="auto"/>
                      <w:sz w:val="21"/>
                      <w:szCs w:val="21"/>
                    </w:rPr>
                  </w:pPr>
                  <w:r>
                    <w:rPr>
                      <w:color w:val="auto"/>
                      <w:sz w:val="21"/>
                      <w:szCs w:val="21"/>
                    </w:rPr>
                    <w:t>监测点位</w:t>
                  </w:r>
                </w:p>
              </w:tc>
              <w:tc>
                <w:tcPr>
                  <w:tcW w:w="1509" w:type="dxa"/>
                  <w:vAlign w:val="center"/>
                </w:tcPr>
                <w:p w14:paraId="4C6BDDDD">
                  <w:pPr>
                    <w:pStyle w:val="2"/>
                    <w:jc w:val="center"/>
                    <w:rPr>
                      <w:color w:val="auto"/>
                      <w:sz w:val="21"/>
                      <w:szCs w:val="21"/>
                    </w:rPr>
                  </w:pPr>
                  <w:r>
                    <w:rPr>
                      <w:color w:val="auto"/>
                      <w:sz w:val="21"/>
                      <w:szCs w:val="21"/>
                    </w:rPr>
                    <w:t>监测指标</w:t>
                  </w:r>
                </w:p>
              </w:tc>
              <w:tc>
                <w:tcPr>
                  <w:tcW w:w="1357" w:type="dxa"/>
                  <w:vAlign w:val="center"/>
                </w:tcPr>
                <w:p w14:paraId="2F616140">
                  <w:pPr>
                    <w:pStyle w:val="2"/>
                    <w:jc w:val="center"/>
                    <w:rPr>
                      <w:color w:val="auto"/>
                      <w:sz w:val="21"/>
                      <w:szCs w:val="21"/>
                    </w:rPr>
                  </w:pPr>
                  <w:r>
                    <w:rPr>
                      <w:color w:val="auto"/>
                      <w:sz w:val="21"/>
                      <w:szCs w:val="21"/>
                    </w:rPr>
                    <w:t>监测频次</w:t>
                  </w:r>
                </w:p>
              </w:tc>
              <w:tc>
                <w:tcPr>
                  <w:tcW w:w="2745" w:type="dxa"/>
                  <w:vAlign w:val="center"/>
                </w:tcPr>
                <w:p w14:paraId="7EA1E545">
                  <w:pPr>
                    <w:pStyle w:val="2"/>
                    <w:jc w:val="center"/>
                    <w:rPr>
                      <w:color w:val="auto"/>
                      <w:sz w:val="21"/>
                      <w:szCs w:val="21"/>
                    </w:rPr>
                  </w:pPr>
                  <w:r>
                    <w:rPr>
                      <w:color w:val="auto"/>
                      <w:sz w:val="21"/>
                      <w:szCs w:val="21"/>
                    </w:rPr>
                    <w:t>执行标准</w:t>
                  </w:r>
                </w:p>
              </w:tc>
            </w:tr>
            <w:tr w14:paraId="2E4C4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790" w:type="dxa"/>
                  <w:vAlign w:val="center"/>
                </w:tcPr>
                <w:p w14:paraId="36D24EBB">
                  <w:pPr>
                    <w:pStyle w:val="2"/>
                    <w:jc w:val="center"/>
                    <w:rPr>
                      <w:color w:val="auto"/>
                      <w:sz w:val="21"/>
                      <w:szCs w:val="21"/>
                    </w:rPr>
                  </w:pPr>
                  <w:r>
                    <w:rPr>
                      <w:color w:val="auto"/>
                      <w:sz w:val="21"/>
                      <w:szCs w:val="21"/>
                    </w:rPr>
                    <w:t>噪声</w:t>
                  </w:r>
                </w:p>
              </w:tc>
              <w:tc>
                <w:tcPr>
                  <w:tcW w:w="1207" w:type="dxa"/>
                  <w:vAlign w:val="center"/>
                </w:tcPr>
                <w:p w14:paraId="7FD78453">
                  <w:pPr>
                    <w:pStyle w:val="2"/>
                    <w:jc w:val="center"/>
                    <w:rPr>
                      <w:color w:val="auto"/>
                      <w:sz w:val="21"/>
                      <w:szCs w:val="21"/>
                    </w:rPr>
                  </w:pPr>
                  <w:r>
                    <w:rPr>
                      <w:color w:val="auto"/>
                      <w:sz w:val="21"/>
                      <w:szCs w:val="21"/>
                    </w:rPr>
                    <w:t>厂界</w:t>
                  </w:r>
                </w:p>
              </w:tc>
              <w:tc>
                <w:tcPr>
                  <w:tcW w:w="1509" w:type="dxa"/>
                  <w:vAlign w:val="center"/>
                </w:tcPr>
                <w:p w14:paraId="3C5ADD09">
                  <w:pPr>
                    <w:pStyle w:val="2"/>
                    <w:jc w:val="center"/>
                    <w:rPr>
                      <w:color w:val="auto"/>
                      <w:sz w:val="21"/>
                      <w:szCs w:val="21"/>
                    </w:rPr>
                  </w:pPr>
                  <w:r>
                    <w:rPr>
                      <w:color w:val="auto"/>
                      <w:sz w:val="21"/>
                      <w:szCs w:val="21"/>
                    </w:rPr>
                    <w:t>昼、夜间等效A声级</w:t>
                  </w:r>
                </w:p>
              </w:tc>
              <w:tc>
                <w:tcPr>
                  <w:tcW w:w="1357" w:type="dxa"/>
                  <w:vAlign w:val="center"/>
                </w:tcPr>
                <w:p w14:paraId="223D94E0">
                  <w:pPr>
                    <w:pStyle w:val="2"/>
                    <w:jc w:val="center"/>
                    <w:rPr>
                      <w:color w:val="auto"/>
                      <w:sz w:val="21"/>
                      <w:szCs w:val="21"/>
                    </w:rPr>
                  </w:pPr>
                  <w:r>
                    <w:rPr>
                      <w:color w:val="auto"/>
                      <w:sz w:val="21"/>
                      <w:szCs w:val="21"/>
                    </w:rPr>
                    <w:t>1次/季</w:t>
                  </w:r>
                </w:p>
              </w:tc>
              <w:tc>
                <w:tcPr>
                  <w:tcW w:w="2745" w:type="dxa"/>
                  <w:vAlign w:val="center"/>
                </w:tcPr>
                <w:p w14:paraId="603B85EA">
                  <w:pPr>
                    <w:pStyle w:val="2"/>
                    <w:jc w:val="center"/>
                    <w:rPr>
                      <w:color w:val="auto"/>
                      <w:sz w:val="21"/>
                      <w:szCs w:val="21"/>
                    </w:rPr>
                  </w:pPr>
                  <w:r>
                    <w:rPr>
                      <w:color w:val="auto"/>
                      <w:sz w:val="21"/>
                      <w:szCs w:val="21"/>
                    </w:rPr>
                    <w:t>《工业企业厂界环境噪声排放标准》(GB12348-2008）2类、4类标准（项目东侧靠近湖滨路35±5米范围类执行4类标准）</w:t>
                  </w:r>
                </w:p>
              </w:tc>
            </w:tr>
          </w:tbl>
          <w:p w14:paraId="4EB34BA9">
            <w:pPr>
              <w:widowControl/>
              <w:ind w:firstLine="482"/>
              <w:jc w:val="left"/>
              <w:rPr>
                <w:b/>
                <w:bCs/>
                <w:color w:val="auto"/>
              </w:rPr>
            </w:pPr>
            <w:r>
              <w:rPr>
                <w:b/>
                <w:bCs/>
                <w:color w:val="auto"/>
              </w:rPr>
              <w:t>四、固体废物</w:t>
            </w:r>
          </w:p>
          <w:p w14:paraId="04BFBC11">
            <w:pPr>
              <w:widowControl/>
              <w:ind w:firstLine="480"/>
              <w:jc w:val="left"/>
              <w:rPr>
                <w:color w:val="auto"/>
              </w:rPr>
            </w:pPr>
            <w:r>
              <w:rPr>
                <w:color w:val="auto"/>
                <w:kern w:val="0"/>
                <w:szCs w:val="24"/>
                <w:lang w:bidi="ar"/>
              </w:rPr>
              <w:t>本次扩建运营期产生的固体废物主要分为</w:t>
            </w:r>
            <w:r>
              <w:rPr>
                <w:color w:val="auto"/>
                <w:kern w:val="0"/>
                <w:szCs w:val="24"/>
                <w:lang w:bidi="ar"/>
              </w:rPr>
              <w:t>生活垃圾、</w:t>
            </w:r>
            <w:r>
              <w:rPr>
                <w:color w:val="auto"/>
                <w:kern w:val="0"/>
                <w:szCs w:val="24"/>
                <w:lang w:bidi="ar"/>
              </w:rPr>
              <w:t>医疗废物、污水处理站产生的污泥及废紫外灯管。</w:t>
            </w:r>
          </w:p>
          <w:p w14:paraId="4A4AEE50">
            <w:pPr>
              <w:widowControl/>
              <w:numPr>
                <w:ilvl w:val="0"/>
                <w:numId w:val="13"/>
              </w:numPr>
              <w:ind w:firstLine="482"/>
              <w:jc w:val="left"/>
              <w:rPr>
                <w:b/>
                <w:bCs/>
                <w:color w:val="auto"/>
                <w:kern w:val="0"/>
                <w:szCs w:val="24"/>
                <w:lang w:bidi="ar"/>
              </w:rPr>
            </w:pPr>
            <w:r>
              <w:rPr>
                <w:b/>
                <w:bCs/>
                <w:color w:val="auto"/>
                <w:kern w:val="0"/>
                <w:szCs w:val="24"/>
                <w:lang w:bidi="ar"/>
              </w:rPr>
              <w:t>源强分析</w:t>
            </w:r>
          </w:p>
          <w:p w14:paraId="5B5DB9FA">
            <w:pPr>
              <w:pStyle w:val="35"/>
              <w:spacing w:beforeLines="0" w:afterLines="0"/>
              <w:ind w:firstLine="480"/>
              <w:rPr>
                <w:rFonts w:hint="eastAsia"/>
                <w:b/>
                <w:bCs/>
                <w:color w:val="auto"/>
                <w:szCs w:val="24"/>
                <w:lang w:eastAsia="zh-CN"/>
              </w:rPr>
            </w:pPr>
            <w:r>
              <w:rPr>
                <w:rFonts w:hint="eastAsia"/>
                <w:b/>
                <w:bCs/>
                <w:color w:val="auto"/>
                <w:szCs w:val="24"/>
                <w:lang w:eastAsia="zh-CN"/>
              </w:rPr>
              <w:t>江川区医共体总院：</w:t>
            </w:r>
          </w:p>
          <w:p w14:paraId="24857FF9">
            <w:pPr>
              <w:pStyle w:val="57"/>
              <w:spacing w:before="1" w:line="360" w:lineRule="auto"/>
              <w:rPr>
                <w:color w:val="auto"/>
                <w:spacing w:val="6"/>
              </w:rPr>
            </w:pPr>
            <w:r>
              <w:rPr>
                <w:rFonts w:hint="eastAsia"/>
                <w:color w:val="auto"/>
                <w:spacing w:val="6"/>
                <w:lang w:val="en-US" w:eastAsia="zh-CN"/>
              </w:rPr>
              <w:t>（1）</w:t>
            </w:r>
            <w:r>
              <w:rPr>
                <w:color w:val="auto"/>
                <w:spacing w:val="6"/>
              </w:rPr>
              <w:t>废包装材料</w:t>
            </w:r>
          </w:p>
          <w:p w14:paraId="723980AF">
            <w:pPr>
              <w:pStyle w:val="57"/>
              <w:spacing w:before="1" w:line="360" w:lineRule="auto"/>
              <w:rPr>
                <w:color w:val="auto"/>
                <w:spacing w:val="6"/>
              </w:rPr>
            </w:pPr>
            <w:r>
              <w:rPr>
                <w:rFonts w:hint="eastAsia"/>
                <w:color w:val="auto"/>
                <w:spacing w:val="6"/>
                <w:lang w:val="en-US" w:eastAsia="zh-CN"/>
              </w:rPr>
              <w:t>扩建</w:t>
            </w:r>
            <w:r>
              <w:rPr>
                <w:color w:val="auto"/>
                <w:spacing w:val="6"/>
              </w:rPr>
              <w:t>项目</w:t>
            </w:r>
            <w:r>
              <w:rPr>
                <w:rFonts w:hint="eastAsia"/>
                <w:color w:val="auto"/>
                <w:spacing w:val="6"/>
                <w:lang w:val="en-US" w:eastAsia="zh-CN"/>
              </w:rPr>
              <w:t>江川区医共体总院</w:t>
            </w:r>
            <w:r>
              <w:rPr>
                <w:color w:val="auto"/>
                <w:spacing w:val="6"/>
              </w:rPr>
              <w:t>对接收的医疗器械及诊疗器具，手术衣、手术敷单进行检查分类之后，清洗消毒灭菌之前需要对其进行拆包装，会产生废包装袋、废包装无纺布等废包装材料。根据建设单位提供的资料，其产生量</w:t>
            </w:r>
            <w:r>
              <w:rPr>
                <w:rFonts w:hint="eastAsia"/>
                <w:color w:val="auto"/>
                <w:spacing w:val="6"/>
                <w:lang w:val="en-US" w:eastAsia="zh-CN"/>
              </w:rPr>
              <w:t>0.04</w:t>
            </w:r>
            <w:r>
              <w:rPr>
                <w:color w:val="auto"/>
                <w:spacing w:val="6"/>
              </w:rPr>
              <w:t>t/a，收集后暂存，定期交由资质单位处置。</w:t>
            </w:r>
          </w:p>
          <w:p w14:paraId="1DAB2E74">
            <w:pPr>
              <w:pStyle w:val="57"/>
              <w:spacing w:before="136" w:line="274" w:lineRule="exact"/>
              <w:rPr>
                <w:color w:val="auto"/>
                <w:highlight w:val="none"/>
              </w:rPr>
            </w:pPr>
            <w:r>
              <w:rPr>
                <w:color w:val="auto"/>
                <w:spacing w:val="6"/>
                <w:position w:val="1"/>
                <w:highlight w:val="none"/>
              </w:rPr>
              <w:t>（</w:t>
            </w:r>
            <w:r>
              <w:rPr>
                <w:rFonts w:hint="eastAsia" w:ascii="Times New Roman" w:hAnsi="Times New Roman" w:cs="Times New Roman"/>
                <w:color w:val="auto"/>
                <w:spacing w:val="6"/>
                <w:position w:val="1"/>
                <w:highlight w:val="none"/>
                <w:lang w:val="en-US" w:eastAsia="zh-CN"/>
              </w:rPr>
              <w:t>2</w:t>
            </w:r>
            <w:r>
              <w:rPr>
                <w:color w:val="auto"/>
                <w:spacing w:val="6"/>
                <w:position w:val="1"/>
                <w:highlight w:val="none"/>
              </w:rPr>
              <w:t>）废紫外灯管</w:t>
            </w:r>
          </w:p>
          <w:p w14:paraId="7C39506C">
            <w:pPr>
              <w:pStyle w:val="57"/>
              <w:spacing w:before="136" w:line="374" w:lineRule="auto"/>
              <w:ind w:left="112" w:right="107" w:firstLine="420"/>
              <w:rPr>
                <w:color w:val="auto"/>
                <w:highlight w:val="none"/>
              </w:rPr>
            </w:pPr>
            <w:r>
              <w:rPr>
                <w:color w:val="auto"/>
                <w:spacing w:val="7"/>
                <w:highlight w:val="none"/>
              </w:rPr>
              <w:t>本项目使用紫外灯照射</w:t>
            </w:r>
            <w:r>
              <w:rPr>
                <w:rFonts w:ascii="Times New Roman" w:hAnsi="Times New Roman" w:eastAsia="Times New Roman" w:cs="Times New Roman"/>
                <w:color w:val="auto"/>
                <w:spacing w:val="7"/>
                <w:highlight w:val="none"/>
              </w:rPr>
              <w:t>20</w:t>
            </w:r>
            <w:r>
              <w:rPr>
                <w:color w:val="auto"/>
                <w:spacing w:val="7"/>
                <w:highlight w:val="none"/>
              </w:rPr>
              <w:t>分钟对转运车厢进行消毒，污水处理站使</w:t>
            </w:r>
            <w:r>
              <w:rPr>
                <w:color w:val="auto"/>
                <w:spacing w:val="6"/>
                <w:highlight w:val="none"/>
              </w:rPr>
              <w:t>用紫外设备对废</w:t>
            </w:r>
            <w:r>
              <w:rPr>
                <w:color w:val="auto"/>
                <w:spacing w:val="10"/>
                <w:highlight w:val="none"/>
              </w:rPr>
              <w:t>水进行消毒，因此项目在更换紫外线灯管时会产生废紫外灯管，根据业主提供资料，紫</w:t>
            </w:r>
            <w:r>
              <w:rPr>
                <w:color w:val="auto"/>
                <w:spacing w:val="5"/>
                <w:highlight w:val="none"/>
              </w:rPr>
              <w:t>外线灯管使用寿命约</w:t>
            </w:r>
            <w:r>
              <w:rPr>
                <w:rFonts w:ascii="Times New Roman" w:hAnsi="Times New Roman" w:eastAsia="Times New Roman" w:cs="Times New Roman"/>
                <w:color w:val="auto"/>
                <w:spacing w:val="5"/>
                <w:highlight w:val="none"/>
              </w:rPr>
              <w:t>1200h/a</w:t>
            </w:r>
            <w:r>
              <w:rPr>
                <w:color w:val="auto"/>
                <w:spacing w:val="5"/>
                <w:highlight w:val="none"/>
              </w:rPr>
              <w:t>，更换频次为</w:t>
            </w:r>
            <w:r>
              <w:rPr>
                <w:color w:val="auto"/>
                <w:spacing w:val="4"/>
                <w:highlight w:val="none"/>
              </w:rPr>
              <w:t>半年一次，废紫外灯管产生量约</w:t>
            </w:r>
            <w:r>
              <w:rPr>
                <w:rFonts w:ascii="Times New Roman" w:hAnsi="Times New Roman" w:eastAsia="Times New Roman" w:cs="Times New Roman"/>
                <w:color w:val="auto"/>
                <w:spacing w:val="4"/>
                <w:highlight w:val="none"/>
              </w:rPr>
              <w:t>0.01t/a</w:t>
            </w:r>
            <w:r>
              <w:rPr>
                <w:color w:val="auto"/>
                <w:spacing w:val="4"/>
                <w:highlight w:val="none"/>
              </w:rPr>
              <w:t>，经收</w:t>
            </w:r>
            <w:r>
              <w:rPr>
                <w:color w:val="auto"/>
                <w:spacing w:val="9"/>
                <w:highlight w:val="none"/>
              </w:rPr>
              <w:t>集后存放于医废暂存间内，定期交由</w:t>
            </w:r>
            <w:r>
              <w:rPr>
                <w:rFonts w:hint="eastAsia"/>
                <w:color w:val="auto"/>
                <w:spacing w:val="9"/>
                <w:highlight w:val="none"/>
                <w:lang w:val="en-US" w:eastAsia="zh-CN"/>
              </w:rPr>
              <w:t>玉溪兴洁垃圾处理有限公司</w:t>
            </w:r>
            <w:r>
              <w:rPr>
                <w:color w:val="auto"/>
                <w:spacing w:val="9"/>
                <w:highlight w:val="none"/>
              </w:rPr>
              <w:t>处置。</w:t>
            </w:r>
          </w:p>
          <w:p w14:paraId="0B90A282">
            <w:pPr>
              <w:pStyle w:val="57"/>
              <w:spacing w:before="12" w:line="274" w:lineRule="exact"/>
              <w:rPr>
                <w:color w:val="auto"/>
              </w:rPr>
            </w:pPr>
            <w:r>
              <w:rPr>
                <w:color w:val="auto"/>
                <w:spacing w:val="6"/>
                <w:position w:val="1"/>
              </w:rPr>
              <w:t>（</w:t>
            </w:r>
            <w:r>
              <w:rPr>
                <w:rFonts w:hint="eastAsia" w:ascii="Times New Roman" w:hAnsi="Times New Roman" w:cs="Times New Roman"/>
                <w:color w:val="auto"/>
                <w:spacing w:val="6"/>
                <w:position w:val="1"/>
                <w:lang w:val="en-US" w:eastAsia="zh-CN"/>
              </w:rPr>
              <w:t>3</w:t>
            </w:r>
            <w:r>
              <w:rPr>
                <w:color w:val="auto"/>
                <w:spacing w:val="6"/>
                <w:position w:val="1"/>
              </w:rPr>
              <w:t>）废包装桶罐</w:t>
            </w:r>
          </w:p>
          <w:p w14:paraId="0FB3CC95">
            <w:pPr>
              <w:pStyle w:val="57"/>
              <w:spacing w:before="134" w:line="362" w:lineRule="auto"/>
              <w:ind w:left="112" w:right="110" w:firstLine="420"/>
              <w:rPr>
                <w:color w:val="auto"/>
                <w:highlight w:val="none"/>
              </w:rPr>
            </w:pPr>
            <w:r>
              <w:rPr>
                <w:color w:val="auto"/>
                <w:spacing w:val="5"/>
                <w:highlight w:val="none"/>
              </w:rPr>
              <w:t>本项目酶洗过程使用多酶清洗剂，年用量为</w:t>
            </w:r>
            <w:r>
              <w:rPr>
                <w:rFonts w:hint="eastAsia" w:ascii="Times New Roman" w:hAnsi="Times New Roman" w:eastAsia="宋体" w:cs="Times New Roman"/>
                <w:color w:val="auto"/>
                <w:spacing w:val="5"/>
                <w:highlight w:val="none"/>
                <w:lang w:val="en-US" w:eastAsia="zh-CN"/>
              </w:rPr>
              <w:t>240</w:t>
            </w:r>
            <w:r>
              <w:rPr>
                <w:rFonts w:ascii="Times New Roman" w:hAnsi="Times New Roman" w:eastAsia="Times New Roman" w:cs="Times New Roman"/>
                <w:color w:val="auto"/>
                <w:spacing w:val="5"/>
                <w:highlight w:val="none"/>
              </w:rPr>
              <w:t>L</w:t>
            </w:r>
            <w:r>
              <w:rPr>
                <w:color w:val="auto"/>
                <w:spacing w:val="5"/>
                <w:highlight w:val="none"/>
              </w:rPr>
              <w:t>，每桶</w:t>
            </w:r>
            <w:r>
              <w:rPr>
                <w:rFonts w:hint="eastAsia" w:ascii="Times New Roman" w:hAnsi="Times New Roman" w:eastAsia="宋体" w:cs="Times New Roman"/>
                <w:color w:val="auto"/>
                <w:spacing w:val="5"/>
                <w:highlight w:val="none"/>
                <w:lang w:val="en-US" w:eastAsia="zh-CN"/>
              </w:rPr>
              <w:t>2.5</w:t>
            </w:r>
            <w:r>
              <w:rPr>
                <w:rFonts w:ascii="Times New Roman" w:hAnsi="Times New Roman" w:eastAsia="Times New Roman" w:cs="Times New Roman"/>
                <w:color w:val="auto"/>
                <w:spacing w:val="5"/>
                <w:highlight w:val="none"/>
              </w:rPr>
              <w:t>L</w:t>
            </w:r>
            <w:r>
              <w:rPr>
                <w:color w:val="auto"/>
                <w:spacing w:val="5"/>
                <w:highlight w:val="none"/>
              </w:rPr>
              <w:t>，则每年产生</w:t>
            </w:r>
            <w:r>
              <w:rPr>
                <w:rFonts w:hint="eastAsia" w:ascii="Times New Roman" w:hAnsi="Times New Roman" w:eastAsia="宋体" w:cs="Times New Roman"/>
                <w:color w:val="auto"/>
                <w:spacing w:val="5"/>
                <w:highlight w:val="none"/>
                <w:lang w:val="en-US" w:eastAsia="zh-CN"/>
              </w:rPr>
              <w:t>96</w:t>
            </w:r>
            <w:r>
              <w:rPr>
                <w:color w:val="auto"/>
                <w:spacing w:val="5"/>
                <w:highlight w:val="none"/>
              </w:rPr>
              <w:t>个空</w:t>
            </w:r>
            <w:r>
              <w:rPr>
                <w:color w:val="auto"/>
                <w:spacing w:val="7"/>
                <w:highlight w:val="none"/>
              </w:rPr>
              <w:t>清洗剂桶，每个清洗剂桶重约</w:t>
            </w:r>
            <w:r>
              <w:rPr>
                <w:rFonts w:ascii="Times New Roman" w:hAnsi="Times New Roman" w:eastAsia="Times New Roman" w:cs="Times New Roman"/>
                <w:color w:val="auto"/>
                <w:spacing w:val="7"/>
                <w:highlight w:val="none"/>
              </w:rPr>
              <w:t>0.3</w:t>
            </w:r>
            <w:r>
              <w:rPr>
                <w:rFonts w:ascii="Times New Roman" w:hAnsi="Times New Roman" w:eastAsia="Times New Roman" w:cs="Times New Roman"/>
                <w:color w:val="auto"/>
                <w:highlight w:val="none"/>
              </w:rPr>
              <w:t>kg</w:t>
            </w:r>
            <w:r>
              <w:rPr>
                <w:color w:val="auto"/>
                <w:spacing w:val="7"/>
                <w:highlight w:val="none"/>
              </w:rPr>
              <w:t>，则年产生</w:t>
            </w:r>
            <w:r>
              <w:rPr>
                <w:rFonts w:hint="eastAsia" w:ascii="Times New Roman" w:hAnsi="Times New Roman" w:eastAsia="宋体" w:cs="Times New Roman"/>
                <w:color w:val="auto"/>
                <w:spacing w:val="7"/>
                <w:highlight w:val="none"/>
                <w:lang w:val="en-US" w:eastAsia="zh-CN"/>
              </w:rPr>
              <w:t>0.0288</w:t>
            </w:r>
            <w:r>
              <w:rPr>
                <w:rFonts w:ascii="Times New Roman" w:hAnsi="Times New Roman" w:eastAsia="Times New Roman" w:cs="Times New Roman"/>
                <w:color w:val="auto"/>
                <w:spacing w:val="6"/>
                <w:highlight w:val="none"/>
              </w:rPr>
              <w:t>t</w:t>
            </w:r>
            <w:r>
              <w:rPr>
                <w:color w:val="auto"/>
                <w:spacing w:val="6"/>
                <w:highlight w:val="none"/>
              </w:rPr>
              <w:t>空清洗剂桶；</w:t>
            </w:r>
          </w:p>
          <w:p w14:paraId="5F07D346">
            <w:pPr>
              <w:pStyle w:val="57"/>
              <w:spacing w:before="134" w:line="362" w:lineRule="auto"/>
              <w:ind w:left="112" w:right="110" w:firstLine="420"/>
              <w:rPr>
                <w:color w:val="auto"/>
                <w:spacing w:val="5"/>
                <w:highlight w:val="none"/>
              </w:rPr>
            </w:pPr>
            <w:r>
              <w:rPr>
                <w:color w:val="auto"/>
                <w:spacing w:val="5"/>
                <w:highlight w:val="none"/>
              </w:rPr>
              <w:t>总计本项目年产生废包装桶罐的量</w:t>
            </w:r>
            <w:r>
              <w:rPr>
                <w:rFonts w:hint="eastAsia"/>
                <w:color w:val="auto"/>
                <w:spacing w:val="5"/>
                <w:highlight w:val="none"/>
                <w:lang w:val="en-US" w:eastAsia="zh-CN"/>
              </w:rPr>
              <w:t>0.0288</w:t>
            </w:r>
            <w:r>
              <w:rPr>
                <w:color w:val="auto"/>
                <w:spacing w:val="5"/>
                <w:highlight w:val="none"/>
              </w:rPr>
              <w:t>t，属于危险废物，暂存于危废仓库，定期交由</w:t>
            </w:r>
            <w:r>
              <w:rPr>
                <w:rFonts w:hint="eastAsia"/>
                <w:color w:val="auto"/>
                <w:szCs w:val="24"/>
                <w:lang w:val="en-US" w:eastAsia="zh-CN"/>
              </w:rPr>
              <w:t>云南大地丰源环保有限公司</w:t>
            </w:r>
            <w:r>
              <w:rPr>
                <w:color w:val="auto"/>
                <w:spacing w:val="5"/>
                <w:highlight w:val="none"/>
              </w:rPr>
              <w:t>处置。</w:t>
            </w:r>
          </w:p>
          <w:p w14:paraId="303120FA">
            <w:pPr>
              <w:pStyle w:val="57"/>
              <w:spacing w:before="48" w:line="231" w:lineRule="auto"/>
              <w:rPr>
                <w:color w:val="auto"/>
              </w:rPr>
            </w:pPr>
            <w:r>
              <w:rPr>
                <w:color w:val="auto"/>
                <w:spacing w:val="5"/>
              </w:rPr>
              <w:t>（</w:t>
            </w:r>
            <w:r>
              <w:rPr>
                <w:rFonts w:hint="eastAsia" w:ascii="Times New Roman" w:hAnsi="Times New Roman" w:cs="Times New Roman"/>
                <w:color w:val="auto"/>
                <w:spacing w:val="5"/>
                <w:lang w:val="en-US" w:eastAsia="zh-CN"/>
              </w:rPr>
              <w:t>4</w:t>
            </w:r>
            <w:r>
              <w:rPr>
                <w:color w:val="auto"/>
                <w:spacing w:val="5"/>
              </w:rPr>
              <w:t>）污泥</w:t>
            </w:r>
          </w:p>
          <w:p w14:paraId="3F0E3655">
            <w:pPr>
              <w:pStyle w:val="57"/>
              <w:spacing w:before="126" w:line="376" w:lineRule="auto"/>
              <w:ind w:left="109" w:right="75" w:firstLine="425"/>
              <w:rPr>
                <w:color w:val="auto"/>
              </w:rPr>
            </w:pPr>
            <w:r>
              <w:rPr>
                <w:color w:val="auto"/>
                <w:spacing w:val="7"/>
              </w:rPr>
              <w:t>污水站运营时会产生污泥，需要定期清理。污水处理站处理的污水量为</w:t>
            </w:r>
            <w:r>
              <w:rPr>
                <w:rFonts w:ascii="Times New Roman" w:hAnsi="Times New Roman" w:eastAsia="Times New Roman" w:cs="Times New Roman"/>
                <w:color w:val="auto"/>
                <w:spacing w:val="7"/>
              </w:rPr>
              <w:t>85</w:t>
            </w:r>
            <w:r>
              <w:rPr>
                <w:rFonts w:ascii="Times New Roman" w:hAnsi="Times New Roman" w:eastAsia="Times New Roman" w:cs="Times New Roman"/>
                <w:color w:val="auto"/>
                <w:spacing w:val="6"/>
              </w:rPr>
              <w:t>138.4t/a</w:t>
            </w:r>
            <w:r>
              <w:rPr>
                <w:color w:val="auto"/>
                <w:spacing w:val="6"/>
              </w:rPr>
              <w:t>，</w:t>
            </w:r>
            <w:r>
              <w:rPr>
                <w:color w:val="auto"/>
                <w:spacing w:val="11"/>
              </w:rPr>
              <w:t>装置采用“</w:t>
            </w:r>
            <w:r>
              <w:rPr>
                <w:color w:val="auto"/>
                <w:highlight w:val="none"/>
              </w:rPr>
              <w:t>污水→格栅→调节池→沉淀→消毒→排放</w:t>
            </w:r>
            <w:r>
              <w:rPr>
                <w:color w:val="auto"/>
                <w:spacing w:val="11"/>
              </w:rPr>
              <w:t>”废水处理过程中会产生污</w:t>
            </w:r>
            <w:r>
              <w:rPr>
                <w:color w:val="auto"/>
                <w:spacing w:val="10"/>
              </w:rPr>
              <w:t>泥，污泥含水</w:t>
            </w:r>
            <w:r>
              <w:rPr>
                <w:color w:val="auto"/>
                <w:spacing w:val="12"/>
              </w:rPr>
              <w:t>率按</w:t>
            </w:r>
            <w:r>
              <w:rPr>
                <w:rFonts w:ascii="Times New Roman" w:hAnsi="Times New Roman" w:eastAsia="Times New Roman" w:cs="Times New Roman"/>
                <w:color w:val="auto"/>
                <w:spacing w:val="12"/>
              </w:rPr>
              <w:t>80%</w:t>
            </w:r>
            <w:r>
              <w:rPr>
                <w:color w:val="auto"/>
                <w:spacing w:val="12"/>
              </w:rPr>
              <w:t>计，本项目生化处理产泥系数取</w:t>
            </w:r>
            <w:r>
              <w:rPr>
                <w:rFonts w:ascii="Times New Roman" w:hAnsi="Times New Roman" w:eastAsia="Times New Roman" w:cs="Times New Roman"/>
                <w:color w:val="auto"/>
                <w:spacing w:val="12"/>
              </w:rPr>
              <w:t>0.88</w:t>
            </w:r>
            <w:r>
              <w:rPr>
                <w:rFonts w:ascii="Times New Roman" w:hAnsi="Times New Roman" w:eastAsia="Times New Roman" w:cs="Times New Roman"/>
                <w:color w:val="auto"/>
              </w:rPr>
              <w:t>kgDS</w:t>
            </w:r>
            <w:r>
              <w:rPr>
                <w:rFonts w:ascii="Times New Roman" w:hAnsi="Times New Roman" w:eastAsia="Times New Roman" w:cs="Times New Roman"/>
                <w:color w:val="auto"/>
                <w:spacing w:val="12"/>
              </w:rPr>
              <w:t>/</w:t>
            </w:r>
            <w:r>
              <w:rPr>
                <w:rFonts w:ascii="Times New Roman" w:hAnsi="Times New Roman" w:eastAsia="Times New Roman" w:cs="Times New Roman"/>
                <w:color w:val="auto"/>
              </w:rPr>
              <w:t>kgBOD</w:t>
            </w:r>
            <w:r>
              <w:rPr>
                <w:rFonts w:ascii="Times New Roman" w:hAnsi="Times New Roman" w:eastAsia="Times New Roman" w:cs="Times New Roman"/>
                <w:color w:val="auto"/>
                <w:spacing w:val="12"/>
                <w:position w:val="-1"/>
                <w:sz w:val="13"/>
                <w:szCs w:val="13"/>
              </w:rPr>
              <w:t>5</w:t>
            </w:r>
            <w:r>
              <w:rPr>
                <w:color w:val="auto"/>
                <w:spacing w:val="12"/>
              </w:rPr>
              <w:t>，项目</w:t>
            </w:r>
            <w:r>
              <w:rPr>
                <w:rFonts w:ascii="Times New Roman" w:hAnsi="Times New Roman" w:eastAsia="Times New Roman" w:cs="Times New Roman"/>
                <w:color w:val="auto"/>
              </w:rPr>
              <w:t>BOD</w:t>
            </w:r>
            <w:r>
              <w:rPr>
                <w:rFonts w:ascii="Times New Roman" w:hAnsi="Times New Roman" w:eastAsia="Times New Roman" w:cs="Times New Roman"/>
                <w:color w:val="auto"/>
                <w:spacing w:val="12"/>
                <w:position w:val="-1"/>
                <w:sz w:val="13"/>
                <w:szCs w:val="13"/>
              </w:rPr>
              <w:t>5</w:t>
            </w:r>
            <w:r>
              <w:rPr>
                <w:color w:val="auto"/>
                <w:spacing w:val="12"/>
              </w:rPr>
              <w:t>削减量约为</w:t>
            </w:r>
            <w:r>
              <w:rPr>
                <w:rFonts w:ascii="Times New Roman" w:hAnsi="Times New Roman" w:eastAsia="Times New Roman" w:cs="Times New Roman"/>
                <w:color w:val="auto"/>
                <w:spacing w:val="5"/>
              </w:rPr>
              <w:t>2.257t/a</w:t>
            </w:r>
            <w:r>
              <w:rPr>
                <w:color w:val="auto"/>
                <w:spacing w:val="5"/>
              </w:rPr>
              <w:t>，则生产的干污泥量为</w:t>
            </w:r>
            <w:r>
              <w:rPr>
                <w:rFonts w:ascii="Times New Roman" w:hAnsi="Times New Roman" w:eastAsia="Times New Roman" w:cs="Times New Roman"/>
                <w:color w:val="auto"/>
                <w:spacing w:val="5"/>
              </w:rPr>
              <w:t>1.9</w:t>
            </w:r>
            <w:r>
              <w:rPr>
                <w:rFonts w:ascii="Times New Roman" w:hAnsi="Times New Roman" w:eastAsia="Times New Roman" w:cs="Times New Roman"/>
                <w:color w:val="auto"/>
                <w:spacing w:val="4"/>
              </w:rPr>
              <w:t>86t/a</w:t>
            </w:r>
            <w:r>
              <w:rPr>
                <w:color w:val="auto"/>
                <w:spacing w:val="4"/>
              </w:rPr>
              <w:t>，则污泥产量约</w:t>
            </w:r>
            <w:r>
              <w:rPr>
                <w:rFonts w:ascii="Times New Roman" w:hAnsi="Times New Roman" w:eastAsia="Times New Roman" w:cs="Times New Roman"/>
                <w:color w:val="auto"/>
                <w:spacing w:val="4"/>
              </w:rPr>
              <w:t>9.931t/a</w:t>
            </w:r>
            <w:r>
              <w:rPr>
                <w:color w:val="auto"/>
                <w:spacing w:val="4"/>
              </w:rPr>
              <w:t>，每年清掏一次，即产即</w:t>
            </w:r>
            <w:r>
              <w:rPr>
                <w:color w:val="auto"/>
                <w:spacing w:val="11"/>
              </w:rPr>
              <w:t>清，不储存。该类废物可能携带致病菌，属于医疗废物，</w:t>
            </w:r>
            <w:r>
              <w:rPr>
                <w:rFonts w:hint="eastAsia" w:ascii="Times New Roman" w:hAnsi="Times New Roman" w:cs="Times New Roman"/>
                <w:b w:val="0"/>
                <w:bCs w:val="0"/>
                <w:color w:val="auto"/>
                <w:kern w:val="2"/>
                <w:sz w:val="24"/>
                <w:szCs w:val="24"/>
                <w:vertAlign w:val="baseline"/>
                <w:lang w:val="en-US" w:eastAsia="zh-CN" w:bidi="ar-SA"/>
              </w:rPr>
              <w:t>经消毒并监测达到《医疗机构水污染物排放标准》（GB18466-2005）中医疗机构污泥控制标准后，</w:t>
            </w:r>
            <w:r>
              <w:rPr>
                <w:color w:val="auto"/>
                <w:spacing w:val="10"/>
              </w:rPr>
              <w:t>装入专用容器桶，</w:t>
            </w:r>
            <w:r>
              <w:rPr>
                <w:color w:val="auto"/>
                <w:spacing w:val="8"/>
              </w:rPr>
              <w:t>委托</w:t>
            </w:r>
            <w:r>
              <w:rPr>
                <w:rFonts w:hint="eastAsia"/>
                <w:color w:val="auto"/>
                <w:szCs w:val="24"/>
                <w:lang w:val="en-US" w:eastAsia="zh-CN"/>
              </w:rPr>
              <w:t>云南大地丰源环保有限公司定期</w:t>
            </w:r>
            <w:r>
              <w:rPr>
                <w:color w:val="auto"/>
                <w:spacing w:val="8"/>
              </w:rPr>
              <w:t>清运。</w:t>
            </w:r>
          </w:p>
          <w:p w14:paraId="6589AB3B">
            <w:pPr>
              <w:pStyle w:val="57"/>
              <w:spacing w:before="1" w:line="227" w:lineRule="auto"/>
              <w:rPr>
                <w:color w:val="auto"/>
              </w:rPr>
            </w:pPr>
            <w:r>
              <w:rPr>
                <w:color w:val="auto"/>
                <w:spacing w:val="6"/>
              </w:rPr>
              <w:t>（</w:t>
            </w:r>
            <w:r>
              <w:rPr>
                <w:rFonts w:hint="eastAsia" w:ascii="Times New Roman" w:hAnsi="Times New Roman" w:cs="Times New Roman"/>
                <w:color w:val="auto"/>
                <w:spacing w:val="6"/>
                <w:lang w:val="en-US" w:eastAsia="zh-CN"/>
              </w:rPr>
              <w:t>5</w:t>
            </w:r>
            <w:r>
              <w:rPr>
                <w:color w:val="auto"/>
                <w:spacing w:val="6"/>
              </w:rPr>
              <w:t>）废过滤材料</w:t>
            </w:r>
          </w:p>
          <w:p w14:paraId="482B56E4">
            <w:pPr>
              <w:pStyle w:val="57"/>
              <w:spacing w:before="131" w:line="377" w:lineRule="auto"/>
              <w:ind w:left="112" w:right="107" w:firstLine="423"/>
              <w:rPr>
                <w:color w:val="auto"/>
              </w:rPr>
            </w:pPr>
            <w:r>
              <w:rPr>
                <w:color w:val="auto"/>
                <w:spacing w:val="9"/>
              </w:rPr>
              <w:t>项目厂内净水处理间配备</w:t>
            </w:r>
            <w:r>
              <w:rPr>
                <w:rFonts w:ascii="Times New Roman" w:hAnsi="Times New Roman" w:eastAsia="Times New Roman" w:cs="Times New Roman"/>
                <w:color w:val="auto"/>
                <w:spacing w:val="9"/>
              </w:rPr>
              <w:t>1</w:t>
            </w:r>
            <w:r>
              <w:rPr>
                <w:color w:val="auto"/>
                <w:spacing w:val="9"/>
              </w:rPr>
              <w:t>套一级反渗透机和</w:t>
            </w:r>
            <w:r>
              <w:rPr>
                <w:rFonts w:ascii="Times New Roman" w:hAnsi="Times New Roman" w:eastAsia="Times New Roman" w:cs="Times New Roman"/>
                <w:color w:val="auto"/>
                <w:spacing w:val="9"/>
              </w:rPr>
              <w:t>1</w:t>
            </w:r>
            <w:r>
              <w:rPr>
                <w:color w:val="auto"/>
                <w:spacing w:val="9"/>
              </w:rPr>
              <w:t>套二级反渗透机，</w:t>
            </w:r>
            <w:r>
              <w:rPr>
                <w:rFonts w:ascii="Times New Roman" w:hAnsi="Times New Roman" w:eastAsia="Times New Roman" w:cs="Times New Roman"/>
                <w:color w:val="auto"/>
                <w:spacing w:val="9"/>
              </w:rPr>
              <w:t>1</w:t>
            </w:r>
            <w:r>
              <w:rPr>
                <w:color w:val="auto"/>
                <w:spacing w:val="9"/>
              </w:rPr>
              <w:t>套软水机。反</w:t>
            </w:r>
            <w:r>
              <w:rPr>
                <w:color w:val="auto"/>
                <w:spacing w:val="10"/>
              </w:rPr>
              <w:t>渗透更换滤芯：纯水设备采用反渗透工艺水，将产生一定量废过滤芯，根据建设单位提</w:t>
            </w:r>
            <w:r>
              <w:rPr>
                <w:color w:val="auto"/>
                <w:spacing w:val="8"/>
              </w:rPr>
              <w:t>供的资料，其产生量为</w:t>
            </w:r>
            <w:r>
              <w:rPr>
                <w:rFonts w:ascii="Times New Roman" w:hAnsi="Times New Roman" w:eastAsia="Times New Roman" w:cs="Times New Roman"/>
                <w:color w:val="auto"/>
                <w:spacing w:val="8"/>
              </w:rPr>
              <w:t>0.5t/a</w:t>
            </w:r>
            <w:r>
              <w:rPr>
                <w:color w:val="auto"/>
                <w:spacing w:val="8"/>
              </w:rPr>
              <w:t>，反渗透</w:t>
            </w:r>
            <w:r>
              <w:rPr>
                <w:color w:val="auto"/>
                <w:spacing w:val="7"/>
              </w:rPr>
              <w:t>更换滤芯属于一般固废，可综合利用。软水机更换</w:t>
            </w:r>
            <w:r>
              <w:rPr>
                <w:color w:val="auto"/>
                <w:spacing w:val="10"/>
              </w:rPr>
              <w:t>滤芯：软水机采用软水工艺，将产生一定量废滤芯，属于一般工业固废物，根据建设单</w:t>
            </w:r>
            <w:r>
              <w:rPr>
                <w:color w:val="auto"/>
                <w:spacing w:val="6"/>
              </w:rPr>
              <w:t>位提供的资料，其产生量为</w:t>
            </w:r>
            <w:r>
              <w:rPr>
                <w:rFonts w:ascii="Times New Roman" w:hAnsi="Times New Roman" w:eastAsia="Times New Roman" w:cs="Times New Roman"/>
                <w:color w:val="auto"/>
                <w:spacing w:val="6"/>
              </w:rPr>
              <w:t>0.3t/a</w:t>
            </w:r>
            <w:r>
              <w:rPr>
                <w:color w:val="auto"/>
                <w:spacing w:val="6"/>
              </w:rPr>
              <w:t>，收集后外售。</w:t>
            </w:r>
          </w:p>
          <w:p w14:paraId="258A6911">
            <w:pPr>
              <w:pStyle w:val="57"/>
              <w:spacing w:line="274" w:lineRule="exact"/>
              <w:ind w:left="0" w:leftChars="0" w:firstLine="516" w:firstLineChars="200"/>
              <w:rPr>
                <w:color w:val="auto"/>
              </w:rPr>
            </w:pPr>
            <w:r>
              <w:rPr>
                <w:color w:val="auto"/>
                <w:spacing w:val="9"/>
                <w:position w:val="1"/>
              </w:rPr>
              <w:t>本项目净水设备产生的废过滤材料约为</w:t>
            </w:r>
            <w:r>
              <w:rPr>
                <w:rFonts w:ascii="Times New Roman" w:hAnsi="Times New Roman" w:eastAsia="Times New Roman" w:cs="Times New Roman"/>
                <w:color w:val="auto"/>
                <w:spacing w:val="9"/>
                <w:position w:val="1"/>
              </w:rPr>
              <w:t>0.8t/a</w:t>
            </w:r>
            <w:r>
              <w:rPr>
                <w:color w:val="auto"/>
                <w:spacing w:val="9"/>
                <w:position w:val="1"/>
              </w:rPr>
              <w:t>。</w:t>
            </w:r>
          </w:p>
          <w:p w14:paraId="7DF82D71">
            <w:pPr>
              <w:pStyle w:val="2"/>
              <w:rPr>
                <w:color w:val="auto"/>
              </w:rPr>
            </w:pPr>
          </w:p>
          <w:p w14:paraId="3FFD8BB7">
            <w:pPr>
              <w:pStyle w:val="2"/>
              <w:numPr>
                <w:ilvl w:val="0"/>
                <w:numId w:val="0"/>
              </w:numPr>
              <w:ind w:firstLine="482" w:firstLineChars="200"/>
              <w:rPr>
                <w:rFonts w:hint="eastAsia" w:eastAsia="宋体"/>
                <w:b/>
                <w:bCs/>
                <w:color w:val="auto"/>
                <w:sz w:val="24"/>
                <w:szCs w:val="24"/>
                <w:lang w:eastAsia="zh-CN"/>
              </w:rPr>
            </w:pPr>
            <w:r>
              <w:rPr>
                <w:rFonts w:hint="eastAsia"/>
                <w:b/>
                <w:bCs/>
                <w:color w:val="auto"/>
                <w:sz w:val="24"/>
                <w:szCs w:val="24"/>
                <w:lang w:eastAsia="zh-CN"/>
              </w:rPr>
              <w:t>江城镇卫生院：</w:t>
            </w:r>
          </w:p>
          <w:p w14:paraId="42AD6B99">
            <w:pPr>
              <w:widowControl/>
              <w:ind w:firstLine="480"/>
              <w:jc w:val="left"/>
              <w:rPr>
                <w:rFonts w:hint="eastAsia" w:eastAsia="宋体"/>
                <w:color w:val="auto"/>
                <w:lang w:eastAsia="zh-CN"/>
              </w:rPr>
            </w:pPr>
            <w:r>
              <w:rPr>
                <w:color w:val="auto"/>
                <w:kern w:val="0"/>
                <w:szCs w:val="24"/>
                <w:lang w:bidi="ar"/>
              </w:rPr>
              <w:t>（1）一般生活垃圾</w:t>
            </w:r>
          </w:p>
          <w:p w14:paraId="72D61BA6">
            <w:pPr>
              <w:widowControl/>
              <w:ind w:firstLine="480"/>
              <w:jc w:val="left"/>
              <w:rPr>
                <w:rFonts w:hint="eastAsia" w:eastAsia="宋体"/>
                <w:color w:val="auto"/>
                <w:lang w:eastAsia="zh-CN"/>
              </w:rPr>
            </w:pPr>
            <w:r>
              <w:rPr>
                <w:rFonts w:hint="eastAsia" w:ascii="宋体" w:hAnsi="宋体" w:cs="宋体"/>
                <w:color w:val="auto"/>
                <w:kern w:val="0"/>
                <w:szCs w:val="24"/>
                <w:lang w:bidi="ar"/>
              </w:rPr>
              <w:t>①</w:t>
            </w:r>
            <w:r>
              <w:rPr>
                <w:color w:val="auto"/>
                <w:kern w:val="0"/>
                <w:szCs w:val="24"/>
                <w:lang w:bidi="ar"/>
              </w:rPr>
              <w:t>医务人员生活垃圾</w:t>
            </w:r>
          </w:p>
          <w:p w14:paraId="5F5E8C93">
            <w:pPr>
              <w:widowControl/>
              <w:ind w:firstLine="480"/>
              <w:jc w:val="left"/>
              <w:rPr>
                <w:rFonts w:hint="eastAsia" w:eastAsia="宋体"/>
                <w:color w:val="auto"/>
                <w:lang w:eastAsia="zh-CN"/>
              </w:rPr>
            </w:pPr>
            <w:r>
              <w:rPr>
                <w:color w:val="auto"/>
                <w:kern w:val="0"/>
                <w:szCs w:val="24"/>
                <w:lang w:bidi="ar"/>
              </w:rPr>
              <w:t>项目生活垃圾来源为医务人员的生活垃圾，</w:t>
            </w:r>
            <w:r>
              <w:rPr>
                <w:rFonts w:hint="eastAsia"/>
                <w:color w:val="auto"/>
                <w:kern w:val="0"/>
                <w:szCs w:val="24"/>
                <w:lang w:val="en-US" w:eastAsia="zh-CN" w:bidi="ar"/>
              </w:rPr>
              <w:t>本次扩建不新增医务人员，没有新增生活垃圾</w:t>
            </w:r>
            <w:r>
              <w:rPr>
                <w:color w:val="auto"/>
                <w:kern w:val="0"/>
                <w:szCs w:val="24"/>
                <w:lang w:bidi="ar"/>
              </w:rPr>
              <w:t>。</w:t>
            </w:r>
          </w:p>
          <w:p w14:paraId="7EA81817">
            <w:pPr>
              <w:pStyle w:val="55"/>
              <w:widowControl/>
              <w:numPr>
                <w:ilvl w:val="0"/>
                <w:numId w:val="10"/>
              </w:numPr>
              <w:ind w:firstLineChars="0"/>
              <w:jc w:val="left"/>
              <w:rPr>
                <w:color w:val="auto"/>
              </w:rPr>
            </w:pPr>
            <w:r>
              <w:rPr>
                <w:color w:val="auto"/>
                <w:kern w:val="0"/>
                <w:szCs w:val="24"/>
                <w:lang w:bidi="ar"/>
              </w:rPr>
              <w:t>病床及门诊生活垃圾</w:t>
            </w:r>
          </w:p>
          <w:p w14:paraId="5520854E">
            <w:pPr>
              <w:widowControl/>
              <w:ind w:firstLine="480"/>
              <w:jc w:val="left"/>
              <w:rPr>
                <w:rFonts w:hint="eastAsia" w:eastAsia="宋体"/>
                <w:color w:val="auto"/>
                <w:lang w:eastAsia="zh-CN"/>
              </w:rPr>
            </w:pPr>
            <w:r>
              <w:rPr>
                <w:rFonts w:hint="eastAsia"/>
                <w:color w:val="auto"/>
                <w:kern w:val="0"/>
                <w:szCs w:val="24"/>
                <w:lang w:val="en-US" w:eastAsia="zh-CN" w:bidi="ar"/>
              </w:rPr>
              <w:t>江城卫生院</w:t>
            </w:r>
            <w:r>
              <w:rPr>
                <w:color w:val="auto"/>
                <w:kern w:val="0"/>
                <w:szCs w:val="24"/>
                <w:lang w:bidi="ar"/>
              </w:rPr>
              <w:t>项目新增</w:t>
            </w:r>
            <w:r>
              <w:rPr>
                <w:rFonts w:hint="eastAsia"/>
                <w:color w:val="auto"/>
                <w:kern w:val="0"/>
                <w:szCs w:val="24"/>
                <w:lang w:val="en-US" w:eastAsia="zh-CN" w:bidi="ar"/>
              </w:rPr>
              <w:t>45</w:t>
            </w:r>
            <w:r>
              <w:rPr>
                <w:color w:val="auto"/>
                <w:kern w:val="0"/>
                <w:szCs w:val="24"/>
                <w:lang w:bidi="ar"/>
              </w:rPr>
              <w:t>张床位（入住率按100%），按每个床位1.5kg/d·床（住院病人1.0kg/d·人，病人家属0.5kg/d人）计，则病床产生的生活垃圾量为</w:t>
            </w:r>
            <w:r>
              <w:rPr>
                <w:rFonts w:hint="eastAsia"/>
                <w:color w:val="auto"/>
                <w:kern w:val="0"/>
                <w:szCs w:val="24"/>
                <w:lang w:val="en-US" w:eastAsia="zh-CN" w:bidi="ar"/>
              </w:rPr>
              <w:t>67.5</w:t>
            </w:r>
            <w:r>
              <w:rPr>
                <w:color w:val="auto"/>
                <w:kern w:val="0"/>
                <w:szCs w:val="24"/>
                <w:lang w:bidi="ar"/>
              </w:rPr>
              <w:t>kg/d；预计新增门诊病人</w:t>
            </w:r>
            <w:r>
              <w:rPr>
                <w:rFonts w:hint="eastAsia"/>
                <w:color w:val="auto"/>
                <w:kern w:val="0"/>
                <w:szCs w:val="24"/>
                <w:lang w:val="en-US" w:eastAsia="zh-CN" w:bidi="ar"/>
              </w:rPr>
              <w:t>145</w:t>
            </w:r>
            <w:r>
              <w:rPr>
                <w:color w:val="auto"/>
                <w:kern w:val="0"/>
                <w:szCs w:val="24"/>
                <w:lang w:bidi="ar"/>
              </w:rPr>
              <w:t>人/d，按0.2kg/d·人计，则门诊病人产生的生活垃圾量为</w:t>
            </w:r>
            <w:r>
              <w:rPr>
                <w:rFonts w:hint="eastAsia"/>
                <w:color w:val="auto"/>
                <w:kern w:val="0"/>
                <w:szCs w:val="24"/>
                <w:lang w:val="en-US" w:eastAsia="zh-CN" w:bidi="ar"/>
              </w:rPr>
              <w:t>29k</w:t>
            </w:r>
            <w:r>
              <w:rPr>
                <w:color w:val="auto"/>
                <w:kern w:val="0"/>
                <w:szCs w:val="24"/>
                <w:lang w:bidi="ar"/>
              </w:rPr>
              <w:t>g/d。病床及门诊生活垃圾共约</w:t>
            </w:r>
            <w:r>
              <w:rPr>
                <w:rFonts w:hint="eastAsia"/>
                <w:color w:val="auto"/>
                <w:kern w:val="0"/>
                <w:szCs w:val="24"/>
                <w:lang w:val="en-US" w:eastAsia="zh-CN" w:bidi="ar"/>
              </w:rPr>
              <w:t>96.5</w:t>
            </w:r>
            <w:r>
              <w:rPr>
                <w:color w:val="auto"/>
                <w:kern w:val="0"/>
                <w:szCs w:val="24"/>
                <w:lang w:bidi="ar"/>
              </w:rPr>
              <w:t>kg/d。本项目各种生活垃圾量共计</w:t>
            </w:r>
            <w:r>
              <w:rPr>
                <w:rFonts w:hint="eastAsia"/>
                <w:color w:val="auto"/>
                <w:kern w:val="0"/>
                <w:szCs w:val="24"/>
                <w:lang w:val="en-US" w:eastAsia="zh-CN" w:bidi="ar"/>
              </w:rPr>
              <w:t>96.5</w:t>
            </w:r>
            <w:r>
              <w:rPr>
                <w:color w:val="auto"/>
                <w:kern w:val="0"/>
                <w:szCs w:val="24"/>
                <w:lang w:bidi="ar"/>
              </w:rPr>
              <w:t>kg/d（</w:t>
            </w:r>
            <w:r>
              <w:rPr>
                <w:rFonts w:hint="eastAsia"/>
                <w:color w:val="auto"/>
                <w:kern w:val="0"/>
                <w:szCs w:val="24"/>
                <w:lang w:val="en-US" w:eastAsia="zh-CN" w:bidi="ar"/>
              </w:rPr>
              <w:t>35.2</w:t>
            </w:r>
            <w:r>
              <w:rPr>
                <w:color w:val="auto"/>
                <w:kern w:val="0"/>
                <w:szCs w:val="24"/>
                <w:lang w:bidi="ar"/>
              </w:rPr>
              <w:t>t/a），生活垃圾采用垃圾桶收集，</w:t>
            </w:r>
            <w:r>
              <w:rPr>
                <w:color w:val="auto"/>
              </w:rPr>
              <w:t>收集后</w:t>
            </w:r>
            <w:r>
              <w:rPr>
                <w:color w:val="auto"/>
                <w:kern w:val="0"/>
                <w:szCs w:val="24"/>
                <w:lang w:bidi="ar"/>
              </w:rPr>
              <w:t>定期</w:t>
            </w:r>
            <w:r>
              <w:rPr>
                <w:color w:val="auto"/>
              </w:rPr>
              <w:t>由环卫部门统一清运</w:t>
            </w:r>
            <w:r>
              <w:rPr>
                <w:color w:val="auto"/>
                <w:kern w:val="0"/>
                <w:szCs w:val="24"/>
                <w:lang w:bidi="ar"/>
              </w:rPr>
              <w:t>。</w:t>
            </w:r>
          </w:p>
          <w:p w14:paraId="71FA43CD">
            <w:pPr>
              <w:widowControl/>
              <w:ind w:firstLine="480"/>
              <w:jc w:val="left"/>
              <w:rPr>
                <w:rFonts w:hint="eastAsia" w:eastAsia="宋体"/>
                <w:color w:val="auto"/>
                <w:lang w:eastAsia="zh-CN"/>
              </w:rPr>
            </w:pPr>
            <w:r>
              <w:rPr>
                <w:color w:val="auto"/>
              </w:rPr>
              <w:t>（2）</w:t>
            </w:r>
            <w:r>
              <w:rPr>
                <w:color w:val="auto"/>
                <w:kern w:val="0"/>
                <w:szCs w:val="24"/>
                <w:lang w:bidi="ar"/>
              </w:rPr>
              <w:t>医疗废物</w:t>
            </w:r>
          </w:p>
          <w:p w14:paraId="14B62961">
            <w:pPr>
              <w:widowControl/>
              <w:ind w:firstLine="480"/>
              <w:jc w:val="left"/>
              <w:rPr>
                <w:color w:val="auto"/>
              </w:rPr>
            </w:pPr>
            <w:r>
              <w:rPr>
                <w:color w:val="auto"/>
                <w:kern w:val="0"/>
                <w:szCs w:val="24"/>
                <w:lang w:bidi="ar"/>
              </w:rPr>
              <w:t>医疗废物：医疗废弃物来源广泛、成分复杂，如化学试剂、过期药品、一次性医疗器具、手术产生的病理废弃物等；废弃物成分包括金属、玻璃、塑料、纸类、纱布等，往往还带有大量病毒、细菌，具有较高的感染性。本项目产生的医疗废物主要为HW01类医疗废物，必须安全处置。</w:t>
            </w:r>
          </w:p>
          <w:p w14:paraId="67A6CC2E">
            <w:pPr>
              <w:pStyle w:val="35"/>
              <w:tabs>
                <w:tab w:val="left" w:pos="2040"/>
              </w:tabs>
              <w:spacing w:beforeLines="0" w:afterLines="0"/>
              <w:ind w:firstLine="480"/>
              <w:rPr>
                <w:color w:val="auto"/>
                <w:kern w:val="0"/>
              </w:rPr>
            </w:pPr>
            <w:r>
              <w:rPr>
                <w:rFonts w:hint="eastAsia" w:ascii="宋体" w:hAnsi="宋体" w:cs="宋体"/>
                <w:color w:val="auto"/>
                <w:kern w:val="0"/>
              </w:rPr>
              <w:t>①</w:t>
            </w:r>
            <w:r>
              <w:rPr>
                <w:color w:val="auto"/>
                <w:kern w:val="0"/>
              </w:rPr>
              <w:t>医疗废物的分类见表4-</w:t>
            </w:r>
            <w:r>
              <w:rPr>
                <w:rFonts w:hint="eastAsia"/>
                <w:color w:val="auto"/>
                <w:kern w:val="0"/>
                <w:lang w:val="en-US" w:eastAsia="zh-CN"/>
              </w:rPr>
              <w:t>18</w:t>
            </w:r>
            <w:r>
              <w:rPr>
                <w:color w:val="auto"/>
                <w:kern w:val="0"/>
              </w:rPr>
              <w:t>。废弃的麻醉、精神、毒性等药品及其相关的废物按《麻醉药品和精神药品管理条例》执行。</w:t>
            </w:r>
          </w:p>
          <w:p w14:paraId="4BBC57C9">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18</w:t>
            </w:r>
            <w:r>
              <w:rPr>
                <w:rFonts w:ascii="Times New Roman" w:hAnsi="Times New Roman" w:eastAsia="宋体"/>
                <w:b/>
                <w:bCs/>
                <w:color w:val="auto"/>
              </w:rPr>
              <w:t>医疗废物分类目录</w:t>
            </w:r>
          </w:p>
          <w:tbl>
            <w:tblPr>
              <w:tblStyle w:val="19"/>
              <w:tblW w:w="76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673"/>
              <w:gridCol w:w="5124"/>
            </w:tblGrid>
            <w:tr w14:paraId="6E1D6A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35" w:type="dxa"/>
                  <w:tcBorders>
                    <w:tl2br w:val="nil"/>
                    <w:tr2bl w:val="nil"/>
                  </w:tcBorders>
                  <w:vAlign w:val="center"/>
                </w:tcPr>
                <w:p w14:paraId="51ABB5D3">
                  <w:pPr>
                    <w:pStyle w:val="41"/>
                    <w:jc w:val="both"/>
                    <w:rPr>
                      <w:rFonts w:cs="Times New Roman"/>
                      <w:color w:val="auto"/>
                      <w:lang w:eastAsia="zh-CN"/>
                    </w:rPr>
                  </w:pPr>
                  <w:r>
                    <w:rPr>
                      <w:rFonts w:cs="Times New Roman"/>
                      <w:color w:val="auto"/>
                      <w:lang w:eastAsia="zh-CN"/>
                    </w:rPr>
                    <w:t>类别</w:t>
                  </w:r>
                </w:p>
              </w:tc>
              <w:tc>
                <w:tcPr>
                  <w:tcW w:w="1673" w:type="dxa"/>
                  <w:tcBorders>
                    <w:tl2br w:val="nil"/>
                    <w:tr2bl w:val="nil"/>
                  </w:tcBorders>
                  <w:vAlign w:val="center"/>
                </w:tcPr>
                <w:p w14:paraId="52D149EA">
                  <w:pPr>
                    <w:pStyle w:val="41"/>
                    <w:ind w:firstLine="480"/>
                    <w:rPr>
                      <w:rFonts w:cs="Times New Roman"/>
                      <w:color w:val="auto"/>
                      <w:lang w:eastAsia="zh-CN"/>
                    </w:rPr>
                  </w:pPr>
                  <w:r>
                    <w:rPr>
                      <w:rFonts w:cs="Times New Roman"/>
                      <w:color w:val="auto"/>
                      <w:lang w:eastAsia="zh-CN"/>
                    </w:rPr>
                    <w:t>特征</w:t>
                  </w:r>
                </w:p>
              </w:tc>
              <w:tc>
                <w:tcPr>
                  <w:tcW w:w="5124" w:type="dxa"/>
                  <w:tcBorders>
                    <w:tl2br w:val="nil"/>
                    <w:tr2bl w:val="nil"/>
                  </w:tcBorders>
                  <w:vAlign w:val="center"/>
                </w:tcPr>
                <w:p w14:paraId="19443867">
                  <w:pPr>
                    <w:pStyle w:val="41"/>
                    <w:ind w:firstLine="480"/>
                    <w:rPr>
                      <w:rFonts w:cs="Times New Roman"/>
                      <w:color w:val="auto"/>
                      <w:lang w:eastAsia="zh-CN"/>
                    </w:rPr>
                  </w:pPr>
                  <w:r>
                    <w:rPr>
                      <w:rFonts w:cs="Times New Roman"/>
                      <w:color w:val="auto"/>
                      <w:lang w:eastAsia="zh-CN"/>
                    </w:rPr>
                    <w:t>常见组分或者废物名称</w:t>
                  </w:r>
                </w:p>
              </w:tc>
            </w:tr>
            <w:tr w14:paraId="7A31A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835" w:type="dxa"/>
                  <w:vMerge w:val="restart"/>
                  <w:tcBorders>
                    <w:tl2br w:val="nil"/>
                    <w:tr2bl w:val="nil"/>
                  </w:tcBorders>
                  <w:vAlign w:val="center"/>
                </w:tcPr>
                <w:p w14:paraId="1645CFCC">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感染性废物</w:t>
                  </w:r>
                </w:p>
              </w:tc>
              <w:tc>
                <w:tcPr>
                  <w:tcW w:w="1673" w:type="dxa"/>
                  <w:vMerge w:val="restart"/>
                  <w:tcBorders>
                    <w:tl2br w:val="nil"/>
                    <w:tr2bl w:val="nil"/>
                  </w:tcBorders>
                  <w:vAlign w:val="center"/>
                </w:tcPr>
                <w:p w14:paraId="0D9C0D64">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携带病原微生物具有引发感染性疾病传播危险的医疗废物</w:t>
                  </w:r>
                </w:p>
              </w:tc>
              <w:tc>
                <w:tcPr>
                  <w:tcW w:w="5124" w:type="dxa"/>
                  <w:tcBorders>
                    <w:tl2br w:val="nil"/>
                    <w:tr2bl w:val="nil"/>
                  </w:tcBorders>
                  <w:vAlign w:val="center"/>
                </w:tcPr>
                <w:p w14:paraId="305D165F">
                  <w:pPr>
                    <w:tabs>
                      <w:tab w:val="left" w:pos="2040"/>
                    </w:tabs>
                    <w:autoSpaceDE w:val="0"/>
                    <w:autoSpaceDN w:val="0"/>
                    <w:adjustRightInd w:val="0"/>
                    <w:snapToGrid w:val="0"/>
                    <w:spacing w:line="240" w:lineRule="auto"/>
                    <w:ind w:firstLine="0" w:firstLineChars="0"/>
                    <w:jc w:val="left"/>
                    <w:rPr>
                      <w:color w:val="auto"/>
                      <w:sz w:val="21"/>
                      <w:szCs w:val="21"/>
                    </w:rPr>
                  </w:pPr>
                  <w:r>
                    <w:rPr>
                      <w:color w:val="auto"/>
                      <w:sz w:val="21"/>
                      <w:szCs w:val="21"/>
                    </w:rPr>
                    <w:t>1.被患者血液、体液、排泄物等污染的除锐器以外的废物;</w:t>
                  </w:r>
                </w:p>
              </w:tc>
            </w:tr>
            <w:tr w14:paraId="54AC4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835" w:type="dxa"/>
                  <w:vMerge w:val="continue"/>
                  <w:tcBorders>
                    <w:tl2br w:val="nil"/>
                    <w:tr2bl w:val="nil"/>
                  </w:tcBorders>
                  <w:vAlign w:val="center"/>
                </w:tcPr>
                <w:p w14:paraId="65CE3ADD">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5FC1C48E">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6718C456">
                  <w:pPr>
                    <w:tabs>
                      <w:tab w:val="left" w:pos="2040"/>
                    </w:tabs>
                    <w:autoSpaceDE w:val="0"/>
                    <w:autoSpaceDN w:val="0"/>
                    <w:adjustRightInd w:val="0"/>
                    <w:snapToGrid w:val="0"/>
                    <w:spacing w:line="240" w:lineRule="auto"/>
                    <w:ind w:firstLine="0" w:firstLineChars="0"/>
                    <w:jc w:val="left"/>
                    <w:rPr>
                      <w:color w:val="auto"/>
                      <w:sz w:val="21"/>
                      <w:szCs w:val="21"/>
                    </w:rPr>
                  </w:pPr>
                  <w:r>
                    <w:rPr>
                      <w:color w:val="auto"/>
                      <w:sz w:val="21"/>
                      <w:szCs w:val="21"/>
                    </w:rPr>
                    <w:t>2.使用后废弃的一次性使用医疗器械，如注射器、输液器、透析器等;</w:t>
                  </w:r>
                </w:p>
              </w:tc>
            </w:tr>
            <w:tr w14:paraId="24913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35" w:type="dxa"/>
                  <w:vMerge w:val="continue"/>
                  <w:tcBorders>
                    <w:tl2br w:val="nil"/>
                    <w:tr2bl w:val="nil"/>
                  </w:tcBorders>
                  <w:vAlign w:val="center"/>
                </w:tcPr>
                <w:p w14:paraId="378D5B87">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73609E09">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53984EFA">
                  <w:pPr>
                    <w:tabs>
                      <w:tab w:val="left" w:pos="2040"/>
                    </w:tabs>
                    <w:autoSpaceDE w:val="0"/>
                    <w:autoSpaceDN w:val="0"/>
                    <w:adjustRightInd w:val="0"/>
                    <w:snapToGrid w:val="0"/>
                    <w:spacing w:line="240" w:lineRule="auto"/>
                    <w:ind w:firstLine="0" w:firstLineChars="0"/>
                    <w:jc w:val="left"/>
                    <w:rPr>
                      <w:rFonts w:hint="eastAsia" w:eastAsia="宋体"/>
                      <w:color w:val="auto"/>
                      <w:sz w:val="21"/>
                      <w:szCs w:val="21"/>
                      <w:lang w:eastAsia="zh-CN"/>
                    </w:rPr>
                  </w:pPr>
                  <w:r>
                    <w:rPr>
                      <w:color w:val="auto"/>
                      <w:sz w:val="21"/>
                      <w:szCs w:val="21"/>
                    </w:rPr>
                    <w:t>3.病原微生物实验室废弃的病原体培养基、标本，菌种和毒种保存液及其容器;其他实验室及科室废弃的血液、血清、分泌物等标本和容器;</w:t>
                  </w:r>
                </w:p>
              </w:tc>
            </w:tr>
            <w:tr w14:paraId="515179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35" w:type="dxa"/>
                  <w:vMerge w:val="continue"/>
                  <w:tcBorders>
                    <w:tl2br w:val="nil"/>
                    <w:tr2bl w:val="nil"/>
                  </w:tcBorders>
                  <w:vAlign w:val="center"/>
                </w:tcPr>
                <w:p w14:paraId="117A0605">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64BA7AA7">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7BA6780A">
                  <w:pPr>
                    <w:tabs>
                      <w:tab w:val="left" w:pos="2040"/>
                    </w:tabs>
                    <w:autoSpaceDE w:val="0"/>
                    <w:autoSpaceDN w:val="0"/>
                    <w:adjustRightInd w:val="0"/>
                    <w:snapToGrid w:val="0"/>
                    <w:spacing w:line="240" w:lineRule="auto"/>
                    <w:ind w:firstLine="0" w:firstLineChars="0"/>
                    <w:jc w:val="left"/>
                    <w:rPr>
                      <w:rFonts w:hint="eastAsia" w:eastAsia="宋体"/>
                      <w:color w:val="auto"/>
                      <w:sz w:val="21"/>
                      <w:szCs w:val="21"/>
                      <w:lang w:eastAsia="zh-CN"/>
                    </w:rPr>
                  </w:pPr>
                  <w:r>
                    <w:rPr>
                      <w:color w:val="auto"/>
                      <w:sz w:val="21"/>
                      <w:szCs w:val="21"/>
                    </w:rPr>
                    <w:t>4.隔离传染病患者或者疑似传染病患者产生的废弃物。</w:t>
                  </w:r>
                </w:p>
              </w:tc>
            </w:tr>
            <w:tr w14:paraId="56073D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835" w:type="dxa"/>
                  <w:vMerge w:val="restart"/>
                  <w:tcBorders>
                    <w:tl2br w:val="nil"/>
                    <w:tr2bl w:val="nil"/>
                  </w:tcBorders>
                  <w:vAlign w:val="center"/>
                </w:tcPr>
                <w:p w14:paraId="50177752">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损伤性废物</w:t>
                  </w:r>
                </w:p>
              </w:tc>
              <w:tc>
                <w:tcPr>
                  <w:tcW w:w="1673" w:type="dxa"/>
                  <w:vMerge w:val="restart"/>
                  <w:tcBorders>
                    <w:tl2br w:val="nil"/>
                    <w:tr2bl w:val="nil"/>
                  </w:tcBorders>
                  <w:vAlign w:val="center"/>
                </w:tcPr>
                <w:p w14:paraId="56ADCCBF">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能够刺伤或者割伤人体的废弃的医用锐器</w:t>
                  </w:r>
                </w:p>
              </w:tc>
              <w:tc>
                <w:tcPr>
                  <w:tcW w:w="5124" w:type="dxa"/>
                  <w:tcBorders>
                    <w:tl2br w:val="nil"/>
                    <w:tr2bl w:val="nil"/>
                  </w:tcBorders>
                  <w:vAlign w:val="center"/>
                </w:tcPr>
                <w:p w14:paraId="0F198626">
                  <w:pPr>
                    <w:tabs>
                      <w:tab w:val="left" w:pos="2040"/>
                    </w:tabs>
                    <w:autoSpaceDE w:val="0"/>
                    <w:autoSpaceDN w:val="0"/>
                    <w:adjustRightInd w:val="0"/>
                    <w:snapToGrid w:val="0"/>
                    <w:spacing w:line="240" w:lineRule="auto"/>
                    <w:ind w:firstLine="0" w:firstLineChars="0"/>
                    <w:rPr>
                      <w:rFonts w:hint="eastAsia" w:eastAsia="宋体"/>
                      <w:color w:val="auto"/>
                      <w:sz w:val="21"/>
                      <w:szCs w:val="21"/>
                      <w:lang w:eastAsia="zh-CN"/>
                    </w:rPr>
                  </w:pPr>
                  <w:r>
                    <w:rPr>
                      <w:color w:val="auto"/>
                      <w:sz w:val="21"/>
                      <w:szCs w:val="21"/>
                    </w:rPr>
                    <w:t>1.废弃的金属类锐器，如针头、缝合针、针灸针、探针、穿刺针、解剖刀、手术刀、手术糜、备皮刀、钢钉和导丝等;</w:t>
                  </w:r>
                </w:p>
              </w:tc>
            </w:tr>
            <w:tr w14:paraId="4B2A5A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835" w:type="dxa"/>
                  <w:vMerge w:val="continue"/>
                  <w:tcBorders>
                    <w:tl2br w:val="nil"/>
                    <w:tr2bl w:val="nil"/>
                  </w:tcBorders>
                  <w:vAlign w:val="center"/>
                </w:tcPr>
                <w:p w14:paraId="36B4EB5A">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3EC6E3F5">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0674CE7C">
                  <w:pPr>
                    <w:tabs>
                      <w:tab w:val="left" w:pos="2040"/>
                    </w:tabs>
                    <w:autoSpaceDE w:val="0"/>
                    <w:autoSpaceDN w:val="0"/>
                    <w:adjustRightInd w:val="0"/>
                    <w:snapToGrid w:val="0"/>
                    <w:spacing w:line="240" w:lineRule="auto"/>
                    <w:ind w:firstLine="0" w:firstLineChars="0"/>
                    <w:rPr>
                      <w:rFonts w:hint="eastAsia" w:eastAsia="宋体"/>
                      <w:color w:val="auto"/>
                      <w:sz w:val="21"/>
                      <w:szCs w:val="21"/>
                      <w:lang w:eastAsia="zh-CN"/>
                    </w:rPr>
                  </w:pPr>
                  <w:r>
                    <w:rPr>
                      <w:color w:val="auto"/>
                      <w:sz w:val="21"/>
                      <w:szCs w:val="21"/>
                    </w:rPr>
                    <w:t>2.废弃的玻璃类锐器，如盖玻片、载玻片、玻璃安部等;</w:t>
                  </w:r>
                </w:p>
              </w:tc>
            </w:tr>
            <w:tr w14:paraId="34119A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35" w:type="dxa"/>
                  <w:vMerge w:val="continue"/>
                  <w:tcBorders>
                    <w:tl2br w:val="nil"/>
                    <w:tr2bl w:val="nil"/>
                  </w:tcBorders>
                  <w:vAlign w:val="center"/>
                </w:tcPr>
                <w:p w14:paraId="26FFD31A">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76BC4AE2">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79130A7D">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3.废弃的其他材质类锐器。</w:t>
                  </w:r>
                </w:p>
              </w:tc>
            </w:tr>
            <w:tr w14:paraId="0E651F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35" w:type="dxa"/>
                  <w:vMerge w:val="restart"/>
                  <w:tcBorders>
                    <w:tl2br w:val="nil"/>
                    <w:tr2bl w:val="nil"/>
                  </w:tcBorders>
                  <w:vAlign w:val="center"/>
                </w:tcPr>
                <w:p w14:paraId="40AA062A">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病理性废物</w:t>
                  </w:r>
                </w:p>
              </w:tc>
              <w:tc>
                <w:tcPr>
                  <w:tcW w:w="1673" w:type="dxa"/>
                  <w:vMerge w:val="restart"/>
                  <w:tcBorders>
                    <w:tl2br w:val="nil"/>
                    <w:tr2bl w:val="nil"/>
                  </w:tcBorders>
                  <w:vAlign w:val="center"/>
                </w:tcPr>
                <w:p w14:paraId="083F10F0">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诊疗过程中产生的人体废弃物和医学实验动物尸体等。</w:t>
                  </w:r>
                </w:p>
              </w:tc>
              <w:tc>
                <w:tcPr>
                  <w:tcW w:w="5124" w:type="dxa"/>
                  <w:tcBorders>
                    <w:tl2br w:val="nil"/>
                    <w:tr2bl w:val="nil"/>
                  </w:tcBorders>
                  <w:vAlign w:val="center"/>
                </w:tcPr>
                <w:p w14:paraId="62BE61AE">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1.手术及其他医学服务过程中产生的废弃的人体组织、器官;</w:t>
                  </w:r>
                </w:p>
              </w:tc>
            </w:tr>
            <w:tr w14:paraId="4BA38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835" w:type="dxa"/>
                  <w:vMerge w:val="continue"/>
                  <w:tcBorders>
                    <w:tl2br w:val="nil"/>
                    <w:tr2bl w:val="nil"/>
                  </w:tcBorders>
                  <w:vAlign w:val="center"/>
                </w:tcPr>
                <w:p w14:paraId="504FE795">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6DEF1EBB">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2CA78676">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2.病理切片后废弃的人体组织、病理蜡块;</w:t>
                  </w:r>
                </w:p>
              </w:tc>
            </w:tr>
            <w:tr w14:paraId="63A9F7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35" w:type="dxa"/>
                  <w:vMerge w:val="continue"/>
                  <w:tcBorders>
                    <w:tl2br w:val="nil"/>
                    <w:tr2bl w:val="nil"/>
                  </w:tcBorders>
                  <w:vAlign w:val="center"/>
                </w:tcPr>
                <w:p w14:paraId="43463DE7">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7046C58A">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48629800">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3.废弃的医学实验动物的组织和尸体;</w:t>
                  </w:r>
                </w:p>
              </w:tc>
            </w:tr>
            <w:tr w14:paraId="55FA13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35" w:type="dxa"/>
                  <w:vMerge w:val="continue"/>
                  <w:tcBorders>
                    <w:tl2br w:val="nil"/>
                    <w:tr2bl w:val="nil"/>
                  </w:tcBorders>
                  <w:vAlign w:val="center"/>
                </w:tcPr>
                <w:p w14:paraId="28DCF3F3">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49FD220B">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036D2F9A">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4.16周胎龄以下或重量不足500克的胚胎组织等;</w:t>
                  </w:r>
                </w:p>
              </w:tc>
            </w:tr>
            <w:tr w14:paraId="27BAE9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835" w:type="dxa"/>
                  <w:vMerge w:val="continue"/>
                  <w:tcBorders>
                    <w:tl2br w:val="nil"/>
                    <w:tr2bl w:val="nil"/>
                  </w:tcBorders>
                  <w:vAlign w:val="center"/>
                </w:tcPr>
                <w:p w14:paraId="4819CF49">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22EAF679">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24BC3072">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5.确诊、疑似传染病或携带传染病病原体的产妇的胎盘。</w:t>
                  </w:r>
                </w:p>
              </w:tc>
            </w:tr>
            <w:tr w14:paraId="207F8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35" w:type="dxa"/>
                  <w:vMerge w:val="restart"/>
                  <w:tcBorders>
                    <w:tl2br w:val="nil"/>
                    <w:tr2bl w:val="nil"/>
                  </w:tcBorders>
                  <w:vAlign w:val="center"/>
                </w:tcPr>
                <w:p w14:paraId="5E1A3466">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药物性废物</w:t>
                  </w:r>
                </w:p>
              </w:tc>
              <w:tc>
                <w:tcPr>
                  <w:tcW w:w="1673" w:type="dxa"/>
                  <w:vMerge w:val="restart"/>
                  <w:tcBorders>
                    <w:tl2br w:val="nil"/>
                    <w:tr2bl w:val="nil"/>
                  </w:tcBorders>
                  <w:vAlign w:val="center"/>
                </w:tcPr>
                <w:p w14:paraId="7BE96EDB">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过期、淘汰、变质或者被污染的废弃的药品</w:t>
                  </w:r>
                </w:p>
              </w:tc>
              <w:tc>
                <w:tcPr>
                  <w:tcW w:w="5124" w:type="dxa"/>
                  <w:tcBorders>
                    <w:tl2br w:val="nil"/>
                    <w:tr2bl w:val="nil"/>
                  </w:tcBorders>
                  <w:vAlign w:val="center"/>
                </w:tcPr>
                <w:p w14:paraId="670A78D7">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1.废弃的一般性药物;</w:t>
                  </w:r>
                </w:p>
              </w:tc>
            </w:tr>
            <w:tr w14:paraId="5161B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835" w:type="dxa"/>
                  <w:vMerge w:val="continue"/>
                  <w:tcBorders>
                    <w:tl2br w:val="nil"/>
                    <w:tr2bl w:val="nil"/>
                  </w:tcBorders>
                  <w:vAlign w:val="center"/>
                </w:tcPr>
                <w:p w14:paraId="729DBEF9">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0EB44E54">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4DCA165F">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2.废弃的细胞毒性药物和遗传毒性药物;</w:t>
                  </w:r>
                </w:p>
              </w:tc>
            </w:tr>
            <w:tr w14:paraId="451FA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35" w:type="dxa"/>
                  <w:vMerge w:val="continue"/>
                  <w:tcBorders>
                    <w:tl2br w:val="nil"/>
                    <w:tr2bl w:val="nil"/>
                  </w:tcBorders>
                  <w:vAlign w:val="center"/>
                </w:tcPr>
                <w:p w14:paraId="40A406AF">
                  <w:pPr>
                    <w:tabs>
                      <w:tab w:val="left" w:pos="2040"/>
                    </w:tabs>
                    <w:autoSpaceDE w:val="0"/>
                    <w:autoSpaceDN w:val="0"/>
                    <w:adjustRightInd w:val="0"/>
                    <w:snapToGrid w:val="0"/>
                    <w:spacing w:line="240" w:lineRule="auto"/>
                    <w:ind w:firstLine="0" w:firstLineChars="0"/>
                    <w:jc w:val="center"/>
                    <w:rPr>
                      <w:color w:val="auto"/>
                      <w:sz w:val="21"/>
                      <w:szCs w:val="21"/>
                    </w:rPr>
                  </w:pPr>
                </w:p>
              </w:tc>
              <w:tc>
                <w:tcPr>
                  <w:tcW w:w="1673" w:type="dxa"/>
                  <w:vMerge w:val="continue"/>
                  <w:tcBorders>
                    <w:tl2br w:val="nil"/>
                    <w:tr2bl w:val="nil"/>
                  </w:tcBorders>
                  <w:vAlign w:val="center"/>
                </w:tcPr>
                <w:p w14:paraId="15279EED">
                  <w:pPr>
                    <w:tabs>
                      <w:tab w:val="left" w:pos="2040"/>
                    </w:tabs>
                    <w:autoSpaceDE w:val="0"/>
                    <w:autoSpaceDN w:val="0"/>
                    <w:adjustRightInd w:val="0"/>
                    <w:snapToGrid w:val="0"/>
                    <w:spacing w:line="240" w:lineRule="auto"/>
                    <w:ind w:firstLine="0" w:firstLineChars="0"/>
                    <w:jc w:val="center"/>
                    <w:rPr>
                      <w:color w:val="auto"/>
                      <w:sz w:val="21"/>
                      <w:szCs w:val="21"/>
                    </w:rPr>
                  </w:pPr>
                </w:p>
              </w:tc>
              <w:tc>
                <w:tcPr>
                  <w:tcW w:w="5124" w:type="dxa"/>
                  <w:tcBorders>
                    <w:tl2br w:val="nil"/>
                    <w:tr2bl w:val="nil"/>
                  </w:tcBorders>
                  <w:vAlign w:val="center"/>
                </w:tcPr>
                <w:p w14:paraId="43CBBA97">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3.废弃的疫苗及血液制品。</w:t>
                  </w:r>
                </w:p>
              </w:tc>
            </w:tr>
            <w:tr w14:paraId="287AC9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835" w:type="dxa"/>
                  <w:tcBorders>
                    <w:tl2br w:val="nil"/>
                    <w:tr2bl w:val="nil"/>
                  </w:tcBorders>
                  <w:vAlign w:val="center"/>
                </w:tcPr>
                <w:p w14:paraId="44E42EF0">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化学性废物</w:t>
                  </w:r>
                </w:p>
              </w:tc>
              <w:tc>
                <w:tcPr>
                  <w:tcW w:w="1673" w:type="dxa"/>
                  <w:tcBorders>
                    <w:tl2br w:val="nil"/>
                    <w:tr2bl w:val="nil"/>
                  </w:tcBorders>
                  <w:vAlign w:val="center"/>
                </w:tcPr>
                <w:p w14:paraId="34EA6F03">
                  <w:pPr>
                    <w:tabs>
                      <w:tab w:val="left" w:pos="2040"/>
                    </w:tabs>
                    <w:autoSpaceDE w:val="0"/>
                    <w:autoSpaceDN w:val="0"/>
                    <w:adjustRightInd w:val="0"/>
                    <w:snapToGrid w:val="0"/>
                    <w:spacing w:line="240" w:lineRule="auto"/>
                    <w:ind w:firstLine="0" w:firstLineChars="0"/>
                    <w:jc w:val="center"/>
                    <w:rPr>
                      <w:color w:val="auto"/>
                      <w:sz w:val="21"/>
                      <w:szCs w:val="21"/>
                    </w:rPr>
                  </w:pPr>
                  <w:r>
                    <w:rPr>
                      <w:color w:val="auto"/>
                      <w:sz w:val="21"/>
                      <w:szCs w:val="21"/>
                    </w:rPr>
                    <w:t>具有毒性、腐蚀性、易燃易爆性的废弃的化学物品</w:t>
                  </w:r>
                </w:p>
              </w:tc>
              <w:tc>
                <w:tcPr>
                  <w:tcW w:w="5124" w:type="dxa"/>
                  <w:tcBorders>
                    <w:tl2br w:val="nil"/>
                    <w:tr2bl w:val="nil"/>
                  </w:tcBorders>
                  <w:vAlign w:val="center"/>
                </w:tcPr>
                <w:p w14:paraId="3008B82A">
                  <w:pPr>
                    <w:tabs>
                      <w:tab w:val="left" w:pos="2040"/>
                    </w:tabs>
                    <w:autoSpaceDE w:val="0"/>
                    <w:autoSpaceDN w:val="0"/>
                    <w:adjustRightInd w:val="0"/>
                    <w:snapToGrid w:val="0"/>
                    <w:spacing w:line="240" w:lineRule="auto"/>
                    <w:ind w:firstLine="0" w:firstLineChars="0"/>
                    <w:rPr>
                      <w:color w:val="auto"/>
                      <w:sz w:val="21"/>
                      <w:szCs w:val="21"/>
                    </w:rPr>
                  </w:pPr>
                  <w:r>
                    <w:rPr>
                      <w:color w:val="auto"/>
                      <w:sz w:val="21"/>
                      <w:szCs w:val="21"/>
                    </w:rPr>
                    <w:t>列入《国家危险废物名录》中的废弃危险化学品，如甲醛、二甲苯等;非特定行业来源的危险废物，如含汞血压计、含汞体温计，废弃的牙科汞合金材料及其残余物等。</w:t>
                  </w:r>
                </w:p>
              </w:tc>
            </w:tr>
          </w:tbl>
          <w:p w14:paraId="5107E1F2">
            <w:pPr>
              <w:pStyle w:val="35"/>
              <w:spacing w:beforeLines="0" w:afterLines="0"/>
              <w:ind w:firstLine="480"/>
              <w:rPr>
                <w:color w:val="auto"/>
                <w:kern w:val="0"/>
              </w:rPr>
            </w:pPr>
            <w:r>
              <w:rPr>
                <w:color w:val="auto"/>
                <w:kern w:val="0"/>
              </w:rPr>
              <w:t>根据本项目开设的诊疗科目，医疗固体废物产生的种类细分为含有感染性废物、损伤性废物、病理性废物、药物性废物、化学性废物。具体如下：</w:t>
            </w:r>
          </w:p>
          <w:p w14:paraId="1FA18D82">
            <w:pPr>
              <w:pStyle w:val="35"/>
              <w:spacing w:beforeLines="0" w:afterLines="0"/>
              <w:ind w:firstLine="480"/>
              <w:rPr>
                <w:color w:val="auto"/>
                <w:kern w:val="0"/>
              </w:rPr>
            </w:pPr>
            <w:r>
              <w:rPr>
                <w:rFonts w:hint="eastAsia" w:ascii="宋体" w:hAnsi="宋体" w:cs="宋体"/>
                <w:color w:val="auto"/>
                <w:kern w:val="0"/>
              </w:rPr>
              <w:t>①</w:t>
            </w:r>
            <w:r>
              <w:rPr>
                <w:color w:val="auto"/>
                <w:kern w:val="0"/>
              </w:rPr>
              <w:t>感染性废物：感染性废物是医院的重要污染物，来自各个治疗科室、病房等，带有感染性和潜在感染性的废物。本卫生院产生的感染性废物有：被病人血液、体液、排泄物污染的棉球、棉签、纱布、一次性使用卫生用品、一次性使用医疗用品及一次性医疗器械、废弃的被服等</w:t>
            </w:r>
            <w:r>
              <w:rPr>
                <w:rFonts w:hint="eastAsia"/>
                <w:color w:val="auto"/>
                <w:kern w:val="0"/>
                <w:lang w:eastAsia="zh-CN"/>
              </w:rPr>
              <w:t>，</w:t>
            </w:r>
            <w:r>
              <w:rPr>
                <w:rFonts w:hint="eastAsia"/>
                <w:color w:val="auto"/>
                <w:kern w:val="0"/>
                <w:lang w:val="en-US" w:eastAsia="zh-CN"/>
              </w:rPr>
              <w:t>根据本项目医废台账比例计算，</w:t>
            </w:r>
            <w:r>
              <w:rPr>
                <w:rFonts w:hint="eastAsia"/>
                <w:color w:val="auto"/>
                <w:kern w:val="0"/>
                <w:lang w:val="en-US" w:eastAsia="zh-CN"/>
              </w:rPr>
              <w:t>本项目感染性废物产生量约为12t/a，</w:t>
            </w:r>
            <w:r>
              <w:rPr>
                <w:color w:val="auto"/>
                <w:kern w:val="0"/>
              </w:rPr>
              <w:t>由</w:t>
            </w:r>
            <w:r>
              <w:rPr>
                <w:rFonts w:hint="eastAsia"/>
                <w:color w:val="auto"/>
                <w:kern w:val="0"/>
                <w:lang w:val="en-US" w:eastAsia="zh-CN"/>
              </w:rPr>
              <w:t>云南正晓环保投资有限公司</w:t>
            </w:r>
            <w:r>
              <w:rPr>
                <w:color w:val="auto"/>
                <w:kern w:val="0"/>
              </w:rPr>
              <w:t>统一运走</w:t>
            </w:r>
            <w:r>
              <w:rPr>
                <w:rFonts w:hint="eastAsia"/>
                <w:color w:val="auto"/>
                <w:kern w:val="0"/>
                <w:lang w:eastAsia="zh-CN"/>
              </w:rPr>
              <w:t>，</w:t>
            </w:r>
            <w:r>
              <w:rPr>
                <w:rFonts w:hint="eastAsia"/>
                <w:color w:val="auto"/>
                <w:kern w:val="0"/>
                <w:lang w:val="en-US" w:eastAsia="zh-CN"/>
              </w:rPr>
              <w:t>项目输液袋由云南蓝嘉环保科技有限公司回收处理</w:t>
            </w:r>
            <w:r>
              <w:rPr>
                <w:color w:val="auto"/>
                <w:kern w:val="0"/>
              </w:rPr>
              <w:t>。</w:t>
            </w:r>
          </w:p>
          <w:p w14:paraId="4CE97F8A">
            <w:pPr>
              <w:pStyle w:val="35"/>
              <w:spacing w:beforeLines="0" w:afterLines="0"/>
              <w:ind w:firstLine="480"/>
              <w:rPr>
                <w:color w:val="auto"/>
                <w:kern w:val="0"/>
              </w:rPr>
            </w:pPr>
            <w:r>
              <w:rPr>
                <w:rFonts w:hint="eastAsia" w:ascii="宋体" w:hAnsi="宋体" w:cs="宋体"/>
                <w:color w:val="auto"/>
                <w:kern w:val="0"/>
              </w:rPr>
              <w:t>②</w:t>
            </w:r>
            <w:r>
              <w:rPr>
                <w:color w:val="auto"/>
                <w:kern w:val="0"/>
              </w:rPr>
              <w:t>病理性废物：手术及其他医学服务过程中产生的废弃的人体组织、器官；病理切片后废弃的人体组织、病理蜡块；废弃的医学实验动物的组织和尸体；16周胎龄以下或重量不足500克的胚胎组织等；确诊、疑似传染病或携带传染病病原体的产妇的胎盘。本院病理性废物收集后由</w:t>
            </w:r>
            <w:r>
              <w:rPr>
                <w:rFonts w:hint="eastAsia"/>
                <w:color w:val="auto"/>
                <w:kern w:val="0"/>
                <w:lang w:val="en-US" w:eastAsia="zh-CN"/>
              </w:rPr>
              <w:t>云南正晓环保投资有限公司</w:t>
            </w:r>
            <w:r>
              <w:rPr>
                <w:color w:val="auto"/>
                <w:kern w:val="0"/>
              </w:rPr>
              <w:t>统一运走。</w:t>
            </w:r>
            <w:r>
              <w:rPr>
                <w:rFonts w:hint="eastAsia"/>
                <w:color w:val="auto"/>
                <w:lang w:eastAsia="zh-CN"/>
              </w:rPr>
              <w:t>根据建设单位提供的医疗废弃物清运台账，本项目近</w:t>
            </w:r>
            <w:r>
              <w:rPr>
                <w:rFonts w:hint="eastAsia"/>
                <w:color w:val="auto"/>
                <w:lang w:val="en-US" w:eastAsia="zh-CN"/>
              </w:rPr>
              <w:t>1年</w:t>
            </w:r>
            <w:r>
              <w:rPr>
                <w:rFonts w:hint="eastAsia"/>
                <w:color w:val="auto"/>
                <w:lang w:eastAsia="zh-CN"/>
              </w:rPr>
              <w:t>未产生病理性废物。</w:t>
            </w:r>
          </w:p>
          <w:p w14:paraId="1ECC7EC8">
            <w:pPr>
              <w:pStyle w:val="35"/>
              <w:spacing w:beforeLines="0" w:afterLines="0"/>
              <w:ind w:firstLine="480"/>
              <w:rPr>
                <w:rFonts w:hint="eastAsia" w:eastAsia="宋体"/>
                <w:color w:val="auto"/>
                <w:kern w:val="0"/>
                <w:lang w:eastAsia="zh-CN"/>
              </w:rPr>
            </w:pPr>
            <w:r>
              <w:rPr>
                <w:rFonts w:hint="eastAsia" w:ascii="宋体" w:hAnsi="宋体" w:cs="宋体"/>
                <w:color w:val="auto"/>
                <w:kern w:val="0"/>
              </w:rPr>
              <w:t>③</w:t>
            </w:r>
            <w:r>
              <w:rPr>
                <w:color w:val="auto"/>
                <w:kern w:val="0"/>
              </w:rPr>
              <w:t>损伤性废物：医疗过程中用过废弃的或一次性的注射器、针头及其他可能引起切伤刺伤的器物。损伤性废物应贮存利器盒内，利器盒整体为硬制材料制成，防锐器穿透，易于焚烧，利器盒整体颜色为黄色，在盒体侧面注明“损伤性废物”。</w:t>
            </w:r>
            <w:r>
              <w:rPr>
                <w:rFonts w:hint="eastAsia"/>
                <w:color w:val="auto"/>
                <w:kern w:val="0"/>
                <w:lang w:val="en-US" w:eastAsia="zh-CN"/>
              </w:rPr>
              <w:t>根据本项目医废台账比例计算，本项目损伤性废物产生量约为4.8t/a，</w:t>
            </w:r>
            <w:r>
              <w:rPr>
                <w:color w:val="auto"/>
                <w:kern w:val="0"/>
              </w:rPr>
              <w:t>由</w:t>
            </w:r>
            <w:r>
              <w:rPr>
                <w:rFonts w:hint="eastAsia"/>
                <w:color w:val="auto"/>
                <w:kern w:val="0"/>
                <w:lang w:val="en-US" w:eastAsia="zh-CN"/>
              </w:rPr>
              <w:t>云南正晓环保投资有限公司</w:t>
            </w:r>
            <w:r>
              <w:rPr>
                <w:color w:val="auto"/>
                <w:kern w:val="0"/>
              </w:rPr>
              <w:t>统一运走</w:t>
            </w:r>
            <w:r>
              <w:rPr>
                <w:rFonts w:hint="eastAsia"/>
                <w:color w:val="auto"/>
                <w:kern w:val="0"/>
                <w:lang w:eastAsia="zh-CN"/>
              </w:rPr>
              <w:t>。</w:t>
            </w:r>
          </w:p>
          <w:p w14:paraId="109B45EF">
            <w:pPr>
              <w:pStyle w:val="35"/>
              <w:spacing w:beforeLines="0" w:afterLines="0"/>
              <w:ind w:firstLine="480"/>
              <w:rPr>
                <w:rFonts w:hint="eastAsia" w:eastAsia="宋体"/>
                <w:color w:val="auto"/>
                <w:kern w:val="0"/>
                <w:lang w:eastAsia="zh-CN"/>
              </w:rPr>
            </w:pPr>
            <w:r>
              <w:rPr>
                <w:rFonts w:hint="eastAsia" w:ascii="宋体" w:hAnsi="宋体" w:cs="宋体"/>
                <w:color w:val="auto"/>
                <w:kern w:val="0"/>
              </w:rPr>
              <w:t>④</w:t>
            </w:r>
            <w:r>
              <w:rPr>
                <w:color w:val="auto"/>
                <w:kern w:val="0"/>
              </w:rPr>
              <w:t>化学性废物：包括废消毒剂和废血压计等。化学性废物需要根据使用化学品的不同性质单独收集，并有明显区分标识。</w:t>
            </w:r>
            <w:r>
              <w:rPr>
                <w:rFonts w:hint="eastAsia"/>
                <w:color w:val="auto"/>
                <w:lang w:eastAsia="zh-CN"/>
              </w:rPr>
              <w:t>根据建设单位提供的医疗废弃物清运台账，本项目近</w:t>
            </w:r>
            <w:r>
              <w:rPr>
                <w:rFonts w:hint="eastAsia"/>
                <w:color w:val="auto"/>
                <w:lang w:val="en-US" w:eastAsia="zh-CN"/>
              </w:rPr>
              <w:t>1年</w:t>
            </w:r>
            <w:r>
              <w:rPr>
                <w:rFonts w:hint="eastAsia"/>
                <w:color w:val="auto"/>
                <w:lang w:eastAsia="zh-CN"/>
              </w:rPr>
              <w:t>未产生化学性废物。</w:t>
            </w:r>
          </w:p>
          <w:p w14:paraId="4D1B69D7">
            <w:pPr>
              <w:widowControl/>
              <w:ind w:firstLine="480"/>
              <w:jc w:val="left"/>
              <w:rPr>
                <w:rFonts w:hint="eastAsia" w:eastAsia="宋体"/>
                <w:color w:val="auto"/>
                <w:kern w:val="0"/>
                <w:szCs w:val="24"/>
                <w:lang w:eastAsia="zh-CN" w:bidi="ar"/>
              </w:rPr>
            </w:pPr>
            <w:r>
              <w:rPr>
                <w:rFonts w:hint="eastAsia" w:ascii="宋体" w:hAnsi="宋体" w:cs="宋体"/>
                <w:color w:val="auto"/>
                <w:kern w:val="0"/>
              </w:rPr>
              <w:t>⑤</w:t>
            </w:r>
            <w:r>
              <w:rPr>
                <w:color w:val="auto"/>
                <w:kern w:val="0"/>
              </w:rPr>
              <w:t>药物性废物：主要为医院过期的、废弃的药品、从病房退回的药品和淘汰的药物等。药物性废物属于危废，</w:t>
            </w:r>
            <w:r>
              <w:rPr>
                <w:rFonts w:hint="eastAsia"/>
                <w:color w:val="auto"/>
                <w:kern w:val="0"/>
                <w:lang w:val="en-US" w:eastAsia="zh-CN"/>
              </w:rPr>
              <w:t>根据本项目医废台账比例计算，本项目药物性废物产生量约为0.37t/a，</w:t>
            </w:r>
            <w:r>
              <w:rPr>
                <w:color w:val="auto"/>
                <w:kern w:val="0"/>
              </w:rPr>
              <w:t>应单独收集后与其他医疗废物一同交由</w:t>
            </w:r>
            <w:r>
              <w:rPr>
                <w:rFonts w:hint="eastAsia"/>
                <w:color w:val="auto"/>
                <w:kern w:val="0"/>
                <w:lang w:val="en-US" w:eastAsia="zh-CN"/>
              </w:rPr>
              <w:t>云南正晓环保投资有限公司</w:t>
            </w:r>
            <w:r>
              <w:rPr>
                <w:color w:val="auto"/>
                <w:kern w:val="0"/>
              </w:rPr>
              <w:t>处置。</w:t>
            </w:r>
          </w:p>
          <w:p w14:paraId="756DE6F7">
            <w:pPr>
              <w:widowControl/>
              <w:ind w:firstLine="480"/>
              <w:jc w:val="left"/>
              <w:rPr>
                <w:color w:val="auto"/>
                <w:kern w:val="0"/>
                <w:szCs w:val="24"/>
                <w:highlight w:val="none"/>
                <w:lang w:bidi="ar"/>
              </w:rPr>
            </w:pPr>
            <w:r>
              <w:rPr>
                <w:color w:val="auto"/>
                <w:kern w:val="0"/>
                <w:szCs w:val="24"/>
                <w:highlight w:val="none"/>
                <w:lang w:bidi="ar"/>
              </w:rPr>
              <w:t>按照国家环保部的统计方法，医疗废物的产生量核算：省会城市、计划单列市按照每个床位每天0.6kg计算，地级市、地区所在城市，按照每个床位每天0.48kg计算，一般城市、县级市按照每个床位每天0.4kg计算，全国平均按照每个床位每天0.51kg计算。本评价取0.4kg/（床·d），项目运营期病房医疗废物</w:t>
            </w:r>
            <w:r>
              <w:rPr>
                <w:rFonts w:hint="eastAsia"/>
                <w:color w:val="auto"/>
                <w:kern w:val="0"/>
                <w:szCs w:val="24"/>
                <w:highlight w:val="none"/>
                <w:lang w:val="en-US" w:eastAsia="zh-CN" w:bidi="ar"/>
              </w:rPr>
              <w:t>新增</w:t>
            </w:r>
            <w:r>
              <w:rPr>
                <w:color w:val="auto"/>
                <w:kern w:val="0"/>
                <w:szCs w:val="24"/>
                <w:highlight w:val="none"/>
                <w:lang w:bidi="ar"/>
              </w:rPr>
              <w:t>产生量为</w:t>
            </w:r>
            <w:r>
              <w:rPr>
                <w:rFonts w:hint="eastAsia"/>
                <w:color w:val="auto"/>
                <w:kern w:val="0"/>
                <w:szCs w:val="24"/>
                <w:highlight w:val="none"/>
                <w:lang w:val="en-US" w:eastAsia="zh-CN" w:bidi="ar"/>
              </w:rPr>
              <w:t>18k</w:t>
            </w:r>
            <w:r>
              <w:rPr>
                <w:color w:val="auto"/>
                <w:kern w:val="0"/>
                <w:szCs w:val="24"/>
                <w:highlight w:val="none"/>
                <w:lang w:bidi="ar"/>
              </w:rPr>
              <w:t>g/d，即</w:t>
            </w:r>
            <w:r>
              <w:rPr>
                <w:rFonts w:hint="eastAsia"/>
                <w:color w:val="auto"/>
                <w:kern w:val="0"/>
                <w:szCs w:val="24"/>
                <w:highlight w:val="none"/>
                <w:lang w:val="en-US" w:eastAsia="zh-CN" w:bidi="ar"/>
              </w:rPr>
              <w:t>6.57t</w:t>
            </w:r>
            <w:r>
              <w:rPr>
                <w:color w:val="auto"/>
                <w:kern w:val="0"/>
                <w:szCs w:val="24"/>
                <w:highlight w:val="none"/>
                <w:lang w:bidi="ar"/>
              </w:rPr>
              <w:t>/a；门诊医疗垃圾按每人次产生0.2kg，则门诊医疗垃圾产生量为</w:t>
            </w:r>
            <w:r>
              <w:rPr>
                <w:rFonts w:hint="eastAsia"/>
                <w:color w:val="auto"/>
                <w:kern w:val="0"/>
                <w:szCs w:val="24"/>
                <w:highlight w:val="none"/>
                <w:lang w:val="en-US" w:eastAsia="zh-CN" w:bidi="ar"/>
              </w:rPr>
              <w:t>29kg/d、10.6t</w:t>
            </w:r>
            <w:r>
              <w:rPr>
                <w:color w:val="auto"/>
                <w:kern w:val="0"/>
                <w:szCs w:val="24"/>
                <w:highlight w:val="none"/>
                <w:lang w:bidi="ar"/>
              </w:rPr>
              <w:t>/a。则</w:t>
            </w:r>
            <w:r>
              <w:rPr>
                <w:rFonts w:hint="eastAsia"/>
                <w:color w:val="auto"/>
                <w:kern w:val="0"/>
                <w:szCs w:val="24"/>
                <w:highlight w:val="none"/>
                <w:lang w:val="en-US" w:eastAsia="zh-CN" w:bidi="ar"/>
              </w:rPr>
              <w:t>江城卫生院</w:t>
            </w:r>
            <w:r>
              <w:rPr>
                <w:color w:val="auto"/>
                <w:kern w:val="0"/>
                <w:szCs w:val="24"/>
                <w:highlight w:val="none"/>
                <w:lang w:bidi="ar"/>
              </w:rPr>
              <w:t>院区医疗废物共新增</w:t>
            </w:r>
            <w:r>
              <w:rPr>
                <w:rFonts w:hint="eastAsia"/>
                <w:color w:val="auto"/>
                <w:kern w:val="0"/>
                <w:szCs w:val="24"/>
                <w:highlight w:val="none"/>
                <w:lang w:val="en-US" w:eastAsia="zh-CN" w:bidi="ar"/>
              </w:rPr>
              <w:t>17.17</w:t>
            </w:r>
            <w:r>
              <w:rPr>
                <w:color w:val="auto"/>
                <w:kern w:val="0"/>
                <w:szCs w:val="24"/>
                <w:highlight w:val="none"/>
                <w:lang w:bidi="ar"/>
              </w:rPr>
              <w:t>t/a</w:t>
            </w:r>
            <w:r>
              <w:rPr>
                <w:rFonts w:hint="eastAsia"/>
                <w:color w:val="auto"/>
                <w:kern w:val="0"/>
                <w:szCs w:val="24"/>
                <w:highlight w:val="none"/>
                <w:lang w:eastAsia="zh-CN" w:bidi="ar"/>
              </w:rPr>
              <w:t>，</w:t>
            </w:r>
            <w:r>
              <w:rPr>
                <w:rFonts w:hint="eastAsia"/>
                <w:color w:val="auto"/>
                <w:kern w:val="0"/>
                <w:szCs w:val="24"/>
                <w:highlight w:val="none"/>
                <w:lang w:val="en-US" w:eastAsia="zh-CN" w:bidi="ar"/>
              </w:rPr>
              <w:t>医疗废物暂存于医疗废物暂存间后交由</w:t>
            </w:r>
            <w:r>
              <w:rPr>
                <w:rFonts w:hint="eastAsia"/>
                <w:color w:val="auto"/>
                <w:kern w:val="0"/>
                <w:lang w:val="en-US" w:eastAsia="zh-CN"/>
              </w:rPr>
              <w:t>云南正晓环保投资有限公司定期处置，项目输液袋由云南蓝嘉环保科技有限公司回收处理</w:t>
            </w:r>
            <w:r>
              <w:rPr>
                <w:color w:val="auto"/>
                <w:kern w:val="0"/>
                <w:szCs w:val="24"/>
                <w:highlight w:val="none"/>
                <w:lang w:bidi="ar"/>
              </w:rPr>
              <w:t>。</w:t>
            </w:r>
          </w:p>
          <w:p w14:paraId="7FE05101">
            <w:pPr>
              <w:widowControl/>
              <w:ind w:firstLine="480"/>
              <w:jc w:val="left"/>
              <w:rPr>
                <w:rFonts w:hint="eastAsia" w:eastAsia="宋体"/>
                <w:color w:val="auto"/>
                <w:lang w:eastAsia="zh-CN"/>
              </w:rPr>
            </w:pPr>
            <w:r>
              <w:rPr>
                <w:color w:val="auto"/>
                <w:kern w:val="0"/>
                <w:szCs w:val="24"/>
                <w:lang w:bidi="ar"/>
              </w:rPr>
              <w:t>（3）污泥</w:t>
            </w:r>
          </w:p>
          <w:p w14:paraId="4E4A7547">
            <w:pPr>
              <w:pStyle w:val="35"/>
              <w:spacing w:beforeLines="0" w:afterLines="0"/>
              <w:ind w:firstLine="480"/>
              <w:rPr>
                <w:rFonts w:hint="eastAsia"/>
                <w:color w:val="auto"/>
                <w:szCs w:val="24"/>
                <w:lang w:eastAsia="zh-CN"/>
              </w:rPr>
            </w:pPr>
            <w:r>
              <w:rPr>
                <w:color w:val="auto"/>
                <w:kern w:val="0"/>
              </w:rPr>
              <w:t>污泥来源于医院污水处理站、化粪池、格栅渣，污泥产生量与原水的固体悬浮物和污水处理工艺有关，去除污泥量按照COD、SS去除量进行计算，本项目污泥新增产生量约为</w:t>
            </w:r>
            <w:r>
              <w:rPr>
                <w:rFonts w:hint="eastAsia"/>
                <w:color w:val="auto"/>
                <w:kern w:val="0"/>
                <w:lang w:val="en-US" w:eastAsia="zh-CN"/>
              </w:rPr>
              <w:t>1.47</w:t>
            </w:r>
            <w:r>
              <w:rPr>
                <w:color w:val="auto"/>
                <w:szCs w:val="24"/>
              </w:rPr>
              <w:t>t/a</w:t>
            </w:r>
            <w:r>
              <w:rPr>
                <w:rFonts w:hint="eastAsia"/>
                <w:color w:val="auto"/>
                <w:szCs w:val="24"/>
                <w:lang w:eastAsia="zh-CN"/>
              </w:rPr>
              <w:t>，</w:t>
            </w:r>
            <w:r>
              <w:rPr>
                <w:rFonts w:hint="eastAsia"/>
                <w:color w:val="auto"/>
                <w:szCs w:val="24"/>
                <w:lang w:val="en-US" w:eastAsia="zh-CN"/>
              </w:rPr>
              <w:t>项目污泥属于医疗废弃物，污泥处置需监测达标后</w:t>
            </w:r>
            <w:r>
              <w:rPr>
                <w:rFonts w:hint="eastAsia"/>
                <w:color w:val="auto"/>
                <w:szCs w:val="24"/>
                <w:lang w:val="en-US" w:eastAsia="zh-CN"/>
              </w:rPr>
              <w:t>委托云南大地丰源环保有限公司定期清掏清运处置</w:t>
            </w:r>
            <w:r>
              <w:rPr>
                <w:rFonts w:hint="eastAsia"/>
                <w:color w:val="auto"/>
                <w:szCs w:val="24"/>
                <w:lang w:eastAsia="zh-CN"/>
              </w:rPr>
              <w:t>。</w:t>
            </w:r>
          </w:p>
          <w:p w14:paraId="690D698A">
            <w:pPr>
              <w:pStyle w:val="57"/>
              <w:spacing w:before="165" w:line="367" w:lineRule="auto"/>
              <w:ind w:right="108"/>
              <w:rPr>
                <w:rFonts w:hint="eastAsia"/>
                <w:color w:val="auto"/>
                <w:spacing w:val="10"/>
                <w:lang w:val="en-US" w:eastAsia="zh-CN"/>
              </w:rPr>
            </w:pPr>
            <w:r>
              <w:rPr>
                <w:rFonts w:hint="eastAsia"/>
                <w:color w:val="auto"/>
                <w:spacing w:val="10"/>
                <w:lang w:val="en-US" w:eastAsia="zh-CN"/>
              </w:rPr>
              <w:t>本项目固体废物总汇见表4-19。</w:t>
            </w:r>
          </w:p>
          <w:p w14:paraId="37DBE68B">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19</w:t>
            </w:r>
            <w:r>
              <w:rPr>
                <w:rFonts w:ascii="Times New Roman" w:hAnsi="Times New Roman" w:eastAsia="宋体"/>
                <w:b/>
                <w:bCs/>
                <w:color w:val="auto"/>
              </w:rPr>
              <w:t>本项目固体废物预计产生类型及产生量</w:t>
            </w:r>
          </w:p>
          <w:tbl>
            <w:tblPr>
              <w:tblStyle w:val="20"/>
              <w:tblW w:w="8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599"/>
              <w:gridCol w:w="802"/>
              <w:gridCol w:w="802"/>
              <w:gridCol w:w="928"/>
              <w:gridCol w:w="778"/>
              <w:gridCol w:w="599"/>
              <w:gridCol w:w="805"/>
              <w:gridCol w:w="1549"/>
            </w:tblGrid>
            <w:tr w14:paraId="4A701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9" w:hRule="atLeast"/>
              </w:trPr>
              <w:tc>
                <w:tcPr>
                  <w:tcW w:w="1146" w:type="dxa"/>
                  <w:vMerge w:val="restart"/>
                  <w:vAlign w:val="center"/>
                </w:tcPr>
                <w:p w14:paraId="2B993351">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工序</w:t>
                  </w:r>
                </w:p>
              </w:tc>
              <w:tc>
                <w:tcPr>
                  <w:tcW w:w="599" w:type="dxa"/>
                  <w:vMerge w:val="restart"/>
                  <w:vAlign w:val="center"/>
                </w:tcPr>
                <w:p w14:paraId="252889DA">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装置</w:t>
                  </w:r>
                </w:p>
              </w:tc>
              <w:tc>
                <w:tcPr>
                  <w:tcW w:w="802" w:type="dxa"/>
                  <w:vMerge w:val="restart"/>
                  <w:vAlign w:val="center"/>
                </w:tcPr>
                <w:p w14:paraId="31D13E6A">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固废名称</w:t>
                  </w:r>
                </w:p>
              </w:tc>
              <w:tc>
                <w:tcPr>
                  <w:tcW w:w="802" w:type="dxa"/>
                  <w:vMerge w:val="restart"/>
                  <w:vAlign w:val="center"/>
                </w:tcPr>
                <w:p w14:paraId="56B370C6">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固废属性</w:t>
                  </w:r>
                </w:p>
              </w:tc>
              <w:tc>
                <w:tcPr>
                  <w:tcW w:w="1706" w:type="dxa"/>
                  <w:gridSpan w:val="2"/>
                  <w:vAlign w:val="center"/>
                </w:tcPr>
                <w:p w14:paraId="0BD9CF19">
                  <w:pPr>
                    <w:pStyle w:val="38"/>
                    <w:ind w:firstLine="361"/>
                    <w:rPr>
                      <w:rFonts w:ascii="Times New Roman" w:hAnsi="Times New Roman" w:eastAsia="宋体"/>
                      <w:b/>
                      <w:bCs/>
                      <w:snapToGrid/>
                      <w:color w:val="auto"/>
                      <w:kern w:val="2"/>
                      <w:sz w:val="18"/>
                      <w:szCs w:val="18"/>
                    </w:rPr>
                  </w:pPr>
                  <w:r>
                    <w:rPr>
                      <w:rFonts w:ascii="Times New Roman" w:hAnsi="Times New Roman" w:eastAsia="宋体"/>
                      <w:b/>
                      <w:bCs/>
                      <w:snapToGrid/>
                      <w:color w:val="auto"/>
                      <w:kern w:val="2"/>
                      <w:sz w:val="18"/>
                      <w:szCs w:val="18"/>
                    </w:rPr>
                    <w:t>产生情况</w:t>
                  </w:r>
                </w:p>
              </w:tc>
              <w:tc>
                <w:tcPr>
                  <w:tcW w:w="1404" w:type="dxa"/>
                  <w:gridSpan w:val="2"/>
                  <w:vAlign w:val="center"/>
                </w:tcPr>
                <w:p w14:paraId="45CFE3D0">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处置措施</w:t>
                  </w:r>
                </w:p>
              </w:tc>
              <w:tc>
                <w:tcPr>
                  <w:tcW w:w="1549" w:type="dxa"/>
                  <w:vMerge w:val="restart"/>
                  <w:vAlign w:val="center"/>
                </w:tcPr>
                <w:p w14:paraId="7C8F4B96">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最终去向</w:t>
                  </w:r>
                </w:p>
              </w:tc>
            </w:tr>
            <w:tr w14:paraId="65E65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146" w:type="dxa"/>
                  <w:vMerge w:val="continue"/>
                  <w:vAlign w:val="center"/>
                </w:tcPr>
                <w:p w14:paraId="04EE6C71">
                  <w:pPr>
                    <w:tabs>
                      <w:tab w:val="left" w:pos="2040"/>
                    </w:tabs>
                    <w:autoSpaceDE w:val="0"/>
                    <w:autoSpaceDN w:val="0"/>
                    <w:adjustRightInd w:val="0"/>
                    <w:spacing w:line="300" w:lineRule="exact"/>
                    <w:ind w:firstLine="0" w:firstLineChars="0"/>
                    <w:jc w:val="center"/>
                    <w:rPr>
                      <w:b/>
                      <w:bCs/>
                      <w:color w:val="auto"/>
                      <w:sz w:val="18"/>
                      <w:szCs w:val="18"/>
                    </w:rPr>
                  </w:pPr>
                </w:p>
              </w:tc>
              <w:tc>
                <w:tcPr>
                  <w:tcW w:w="599" w:type="dxa"/>
                  <w:vMerge w:val="continue"/>
                  <w:vAlign w:val="center"/>
                </w:tcPr>
                <w:p w14:paraId="2F478F66">
                  <w:pPr>
                    <w:tabs>
                      <w:tab w:val="left" w:pos="2040"/>
                    </w:tabs>
                    <w:autoSpaceDE w:val="0"/>
                    <w:autoSpaceDN w:val="0"/>
                    <w:adjustRightInd w:val="0"/>
                    <w:spacing w:line="300" w:lineRule="exact"/>
                    <w:ind w:firstLine="0" w:firstLineChars="0"/>
                    <w:jc w:val="center"/>
                    <w:rPr>
                      <w:b/>
                      <w:bCs/>
                      <w:color w:val="auto"/>
                      <w:sz w:val="18"/>
                      <w:szCs w:val="18"/>
                    </w:rPr>
                  </w:pPr>
                </w:p>
              </w:tc>
              <w:tc>
                <w:tcPr>
                  <w:tcW w:w="802" w:type="dxa"/>
                  <w:vMerge w:val="continue"/>
                  <w:vAlign w:val="center"/>
                </w:tcPr>
                <w:p w14:paraId="4427CBFE">
                  <w:pPr>
                    <w:tabs>
                      <w:tab w:val="left" w:pos="2040"/>
                    </w:tabs>
                    <w:autoSpaceDE w:val="0"/>
                    <w:autoSpaceDN w:val="0"/>
                    <w:adjustRightInd w:val="0"/>
                    <w:spacing w:line="300" w:lineRule="exact"/>
                    <w:ind w:firstLine="0" w:firstLineChars="0"/>
                    <w:jc w:val="center"/>
                    <w:rPr>
                      <w:b/>
                      <w:bCs/>
                      <w:color w:val="auto"/>
                      <w:sz w:val="18"/>
                      <w:szCs w:val="18"/>
                    </w:rPr>
                  </w:pPr>
                </w:p>
              </w:tc>
              <w:tc>
                <w:tcPr>
                  <w:tcW w:w="802" w:type="dxa"/>
                  <w:vMerge w:val="continue"/>
                  <w:vAlign w:val="center"/>
                </w:tcPr>
                <w:p w14:paraId="75E7815F">
                  <w:pPr>
                    <w:tabs>
                      <w:tab w:val="left" w:pos="2040"/>
                    </w:tabs>
                    <w:autoSpaceDE w:val="0"/>
                    <w:autoSpaceDN w:val="0"/>
                    <w:adjustRightInd w:val="0"/>
                    <w:spacing w:line="300" w:lineRule="exact"/>
                    <w:ind w:firstLine="0" w:firstLineChars="0"/>
                    <w:jc w:val="center"/>
                    <w:rPr>
                      <w:b/>
                      <w:bCs/>
                      <w:color w:val="auto"/>
                      <w:sz w:val="18"/>
                      <w:szCs w:val="18"/>
                    </w:rPr>
                  </w:pPr>
                </w:p>
              </w:tc>
              <w:tc>
                <w:tcPr>
                  <w:tcW w:w="928" w:type="dxa"/>
                  <w:vAlign w:val="center"/>
                </w:tcPr>
                <w:p w14:paraId="176D21C4">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核算方法</w:t>
                  </w:r>
                </w:p>
              </w:tc>
              <w:tc>
                <w:tcPr>
                  <w:tcW w:w="778" w:type="dxa"/>
                  <w:vAlign w:val="center"/>
                </w:tcPr>
                <w:p w14:paraId="0D5B9CF9">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产生量（t/a）</w:t>
                  </w:r>
                </w:p>
              </w:tc>
              <w:tc>
                <w:tcPr>
                  <w:tcW w:w="599" w:type="dxa"/>
                  <w:vAlign w:val="center"/>
                </w:tcPr>
                <w:p w14:paraId="0584996D">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工艺</w:t>
                  </w:r>
                </w:p>
              </w:tc>
              <w:tc>
                <w:tcPr>
                  <w:tcW w:w="805" w:type="dxa"/>
                  <w:vAlign w:val="center"/>
                </w:tcPr>
                <w:p w14:paraId="394A952E">
                  <w:pPr>
                    <w:tabs>
                      <w:tab w:val="left" w:pos="2040"/>
                    </w:tabs>
                    <w:autoSpaceDE w:val="0"/>
                    <w:autoSpaceDN w:val="0"/>
                    <w:adjustRightInd w:val="0"/>
                    <w:spacing w:line="300" w:lineRule="exact"/>
                    <w:ind w:firstLine="0" w:firstLineChars="0"/>
                    <w:jc w:val="center"/>
                    <w:rPr>
                      <w:b/>
                      <w:bCs/>
                      <w:color w:val="auto"/>
                      <w:sz w:val="18"/>
                      <w:szCs w:val="18"/>
                    </w:rPr>
                  </w:pPr>
                  <w:r>
                    <w:rPr>
                      <w:b/>
                      <w:bCs/>
                      <w:color w:val="auto"/>
                      <w:sz w:val="18"/>
                      <w:szCs w:val="18"/>
                    </w:rPr>
                    <w:t>处置量（t/a）</w:t>
                  </w:r>
                </w:p>
              </w:tc>
              <w:tc>
                <w:tcPr>
                  <w:tcW w:w="1549" w:type="dxa"/>
                  <w:vMerge w:val="continue"/>
                  <w:vAlign w:val="center"/>
                </w:tcPr>
                <w:p w14:paraId="39EC6CC4">
                  <w:pPr>
                    <w:tabs>
                      <w:tab w:val="left" w:pos="2040"/>
                    </w:tabs>
                    <w:autoSpaceDE w:val="0"/>
                    <w:autoSpaceDN w:val="0"/>
                    <w:adjustRightInd w:val="0"/>
                    <w:spacing w:line="300" w:lineRule="exact"/>
                    <w:ind w:firstLine="0" w:firstLineChars="0"/>
                    <w:jc w:val="center"/>
                    <w:rPr>
                      <w:color w:val="auto"/>
                      <w:sz w:val="18"/>
                      <w:szCs w:val="18"/>
                    </w:rPr>
                  </w:pPr>
                </w:p>
              </w:tc>
            </w:tr>
            <w:tr w14:paraId="28230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008" w:type="dxa"/>
                  <w:gridSpan w:val="9"/>
                  <w:vAlign w:val="center"/>
                </w:tcPr>
                <w:p w14:paraId="69D18E6B">
                  <w:pPr>
                    <w:tabs>
                      <w:tab w:val="left" w:pos="2040"/>
                    </w:tabs>
                    <w:autoSpaceDE w:val="0"/>
                    <w:autoSpaceDN w:val="0"/>
                    <w:adjustRightInd w:val="0"/>
                    <w:spacing w:line="300" w:lineRule="exact"/>
                    <w:ind w:firstLine="0" w:firstLineChars="0"/>
                    <w:jc w:val="center"/>
                    <w:rPr>
                      <w:rFonts w:hint="eastAsia" w:eastAsia="宋体"/>
                      <w:color w:val="auto"/>
                      <w:sz w:val="18"/>
                      <w:szCs w:val="18"/>
                      <w:highlight w:val="none"/>
                      <w:lang w:eastAsia="zh-CN"/>
                    </w:rPr>
                  </w:pPr>
                  <w:r>
                    <w:rPr>
                      <w:rFonts w:hint="eastAsia"/>
                      <w:b/>
                      <w:bCs/>
                      <w:color w:val="auto"/>
                      <w:sz w:val="18"/>
                      <w:szCs w:val="18"/>
                      <w:highlight w:val="none"/>
                      <w:lang w:eastAsia="zh-CN"/>
                    </w:rPr>
                    <w:t>江川区医共体总院</w:t>
                  </w:r>
                </w:p>
              </w:tc>
            </w:tr>
            <w:tr w14:paraId="14295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6F33927B">
                  <w:pPr>
                    <w:tabs>
                      <w:tab w:val="left" w:pos="2040"/>
                    </w:tabs>
                    <w:autoSpaceDE w:val="0"/>
                    <w:autoSpaceDN w:val="0"/>
                    <w:adjustRightInd w:val="0"/>
                    <w:spacing w:line="300" w:lineRule="exact"/>
                    <w:ind w:firstLine="0" w:firstLineChars="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消毒中心</w:t>
                  </w:r>
                </w:p>
              </w:tc>
              <w:tc>
                <w:tcPr>
                  <w:tcW w:w="599" w:type="dxa"/>
                  <w:vAlign w:val="center"/>
                </w:tcPr>
                <w:p w14:paraId="4DE3A95E">
                  <w:pPr>
                    <w:tabs>
                      <w:tab w:val="left" w:pos="2040"/>
                    </w:tabs>
                    <w:autoSpaceDE w:val="0"/>
                    <w:autoSpaceDN w:val="0"/>
                    <w:adjustRightInd w:val="0"/>
                    <w:spacing w:line="300" w:lineRule="exact"/>
                    <w:ind w:firstLine="0" w:firstLineChars="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802" w:type="dxa"/>
                  <w:vAlign w:val="center"/>
                </w:tcPr>
                <w:p w14:paraId="680434DF">
                  <w:pPr>
                    <w:tabs>
                      <w:tab w:val="left" w:pos="2040"/>
                    </w:tabs>
                    <w:autoSpaceDE w:val="0"/>
                    <w:autoSpaceDN w:val="0"/>
                    <w:adjustRightInd w:val="0"/>
                    <w:spacing w:line="300" w:lineRule="exact"/>
                    <w:ind w:firstLine="0" w:firstLineChars="0"/>
                    <w:jc w:val="center"/>
                    <w:rPr>
                      <w:color w:val="auto"/>
                      <w:sz w:val="18"/>
                      <w:szCs w:val="18"/>
                      <w:highlight w:val="none"/>
                    </w:rPr>
                  </w:pPr>
                  <w:r>
                    <w:rPr>
                      <w:rFonts w:hint="eastAsia"/>
                      <w:color w:val="auto"/>
                      <w:sz w:val="18"/>
                      <w:szCs w:val="18"/>
                      <w:highlight w:val="none"/>
                    </w:rPr>
                    <w:t>废包装材料</w:t>
                  </w:r>
                </w:p>
              </w:tc>
              <w:tc>
                <w:tcPr>
                  <w:tcW w:w="802" w:type="dxa"/>
                  <w:vAlign w:val="center"/>
                </w:tcPr>
                <w:p w14:paraId="3F304558">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一般固废</w:t>
                  </w:r>
                </w:p>
              </w:tc>
              <w:tc>
                <w:tcPr>
                  <w:tcW w:w="928" w:type="dxa"/>
                  <w:vAlign w:val="center"/>
                </w:tcPr>
                <w:p w14:paraId="1E995E18">
                  <w:pPr>
                    <w:tabs>
                      <w:tab w:val="left" w:pos="2040"/>
                    </w:tabs>
                    <w:autoSpaceDE w:val="0"/>
                    <w:autoSpaceDN w:val="0"/>
                    <w:adjustRightInd w:val="0"/>
                    <w:spacing w:line="300" w:lineRule="exact"/>
                    <w:ind w:firstLine="0" w:firstLineChars="0"/>
                    <w:jc w:val="center"/>
                    <w:rPr>
                      <w:color w:val="auto"/>
                      <w:sz w:val="18"/>
                      <w:szCs w:val="18"/>
                      <w:highlight w:val="none"/>
                    </w:rPr>
                  </w:pPr>
                  <w:r>
                    <w:rPr>
                      <w:color w:val="auto"/>
                      <w:sz w:val="18"/>
                      <w:szCs w:val="18"/>
                      <w:highlight w:val="none"/>
                    </w:rPr>
                    <w:t>产污系数法</w:t>
                  </w:r>
                </w:p>
              </w:tc>
              <w:tc>
                <w:tcPr>
                  <w:tcW w:w="778" w:type="dxa"/>
                  <w:vAlign w:val="center"/>
                </w:tcPr>
                <w:p w14:paraId="76B935F6">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0.04</w:t>
                  </w:r>
                </w:p>
              </w:tc>
              <w:tc>
                <w:tcPr>
                  <w:tcW w:w="599" w:type="dxa"/>
                  <w:vAlign w:val="center"/>
                </w:tcPr>
                <w:p w14:paraId="5CA8683A">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固废暂存间</w:t>
                  </w:r>
                </w:p>
              </w:tc>
              <w:tc>
                <w:tcPr>
                  <w:tcW w:w="805" w:type="dxa"/>
                  <w:vAlign w:val="center"/>
                </w:tcPr>
                <w:p w14:paraId="38DE768B">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0.04</w:t>
                  </w:r>
                </w:p>
              </w:tc>
              <w:tc>
                <w:tcPr>
                  <w:tcW w:w="1549" w:type="dxa"/>
                  <w:vAlign w:val="center"/>
                </w:tcPr>
                <w:p w14:paraId="16A7335F">
                  <w:pPr>
                    <w:tabs>
                      <w:tab w:val="left" w:pos="2040"/>
                    </w:tabs>
                    <w:autoSpaceDE w:val="0"/>
                    <w:autoSpaceDN w:val="0"/>
                    <w:adjustRightInd w:val="0"/>
                    <w:spacing w:line="300" w:lineRule="exact"/>
                    <w:ind w:firstLine="0" w:firstLineChars="0"/>
                    <w:jc w:val="center"/>
                    <w:rPr>
                      <w:color w:val="auto"/>
                      <w:sz w:val="18"/>
                      <w:szCs w:val="18"/>
                      <w:highlight w:val="none"/>
                    </w:rPr>
                  </w:pPr>
                  <w:r>
                    <w:rPr>
                      <w:color w:val="auto"/>
                      <w:sz w:val="18"/>
                      <w:szCs w:val="18"/>
                      <w:highlight w:val="none"/>
                    </w:rPr>
                    <w:t>有资质的单位处置</w:t>
                  </w:r>
                </w:p>
              </w:tc>
            </w:tr>
            <w:tr w14:paraId="26C1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134803A5">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消毒中心</w:t>
                  </w:r>
                </w:p>
              </w:tc>
              <w:tc>
                <w:tcPr>
                  <w:tcW w:w="599" w:type="dxa"/>
                  <w:vAlign w:val="center"/>
                </w:tcPr>
                <w:p w14:paraId="3321FE17">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802" w:type="dxa"/>
                  <w:vAlign w:val="center"/>
                </w:tcPr>
                <w:p w14:paraId="52B922E2">
                  <w:pPr>
                    <w:tabs>
                      <w:tab w:val="left" w:pos="2040"/>
                    </w:tabs>
                    <w:autoSpaceDE w:val="0"/>
                    <w:autoSpaceDN w:val="0"/>
                    <w:adjustRightInd w:val="0"/>
                    <w:spacing w:line="300" w:lineRule="exact"/>
                    <w:ind w:firstLine="0" w:firstLineChars="0"/>
                    <w:jc w:val="center"/>
                    <w:rPr>
                      <w:rFonts w:hint="eastAsia" w:eastAsia="宋体"/>
                      <w:color w:val="auto"/>
                      <w:sz w:val="18"/>
                      <w:szCs w:val="18"/>
                      <w:highlight w:val="none"/>
                      <w:lang w:eastAsia="zh-CN"/>
                    </w:rPr>
                  </w:pPr>
                  <w:r>
                    <w:rPr>
                      <w:rFonts w:hint="eastAsia"/>
                      <w:color w:val="auto"/>
                      <w:sz w:val="18"/>
                      <w:szCs w:val="18"/>
                      <w:highlight w:val="none"/>
                    </w:rPr>
                    <w:t>废紫外灯管</w:t>
                  </w:r>
                </w:p>
              </w:tc>
              <w:tc>
                <w:tcPr>
                  <w:tcW w:w="802" w:type="dxa"/>
                  <w:vAlign w:val="center"/>
                </w:tcPr>
                <w:p w14:paraId="544B6A45">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危险废物</w:t>
                  </w:r>
                </w:p>
              </w:tc>
              <w:tc>
                <w:tcPr>
                  <w:tcW w:w="928" w:type="dxa"/>
                  <w:vAlign w:val="center"/>
                </w:tcPr>
                <w:p w14:paraId="1BEF8341">
                  <w:pPr>
                    <w:tabs>
                      <w:tab w:val="left" w:pos="2040"/>
                    </w:tabs>
                    <w:autoSpaceDE w:val="0"/>
                    <w:autoSpaceDN w:val="0"/>
                    <w:adjustRightInd w:val="0"/>
                    <w:spacing w:line="300" w:lineRule="exact"/>
                    <w:ind w:firstLine="0" w:firstLineChars="0"/>
                    <w:jc w:val="center"/>
                    <w:rPr>
                      <w:color w:val="auto"/>
                      <w:sz w:val="18"/>
                      <w:szCs w:val="18"/>
                      <w:highlight w:val="none"/>
                    </w:rPr>
                  </w:pPr>
                  <w:r>
                    <w:rPr>
                      <w:color w:val="auto"/>
                      <w:sz w:val="18"/>
                      <w:szCs w:val="18"/>
                      <w:highlight w:val="none"/>
                    </w:rPr>
                    <w:t>产污系数法</w:t>
                  </w:r>
                </w:p>
              </w:tc>
              <w:tc>
                <w:tcPr>
                  <w:tcW w:w="778" w:type="dxa"/>
                  <w:vAlign w:val="center"/>
                </w:tcPr>
                <w:p w14:paraId="1E3998AA">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0.01</w:t>
                  </w:r>
                </w:p>
              </w:tc>
              <w:tc>
                <w:tcPr>
                  <w:tcW w:w="599" w:type="dxa"/>
                  <w:vAlign w:val="center"/>
                </w:tcPr>
                <w:p w14:paraId="2E197E9A">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危险废物暂存间</w:t>
                  </w:r>
                </w:p>
              </w:tc>
              <w:tc>
                <w:tcPr>
                  <w:tcW w:w="805" w:type="dxa"/>
                  <w:vAlign w:val="center"/>
                </w:tcPr>
                <w:p w14:paraId="4306B1E8">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0.01</w:t>
                  </w:r>
                </w:p>
              </w:tc>
              <w:tc>
                <w:tcPr>
                  <w:tcW w:w="1549" w:type="dxa"/>
                  <w:vAlign w:val="center"/>
                </w:tcPr>
                <w:p w14:paraId="58151313">
                  <w:pPr>
                    <w:tabs>
                      <w:tab w:val="left" w:pos="2040"/>
                    </w:tabs>
                    <w:autoSpaceDE w:val="0"/>
                    <w:autoSpaceDN w:val="0"/>
                    <w:adjustRightInd w:val="0"/>
                    <w:spacing w:line="300" w:lineRule="exact"/>
                    <w:ind w:firstLine="0" w:firstLineChars="0"/>
                    <w:jc w:val="center"/>
                    <w:rPr>
                      <w:color w:val="auto"/>
                      <w:sz w:val="18"/>
                      <w:szCs w:val="18"/>
                      <w:highlight w:val="none"/>
                    </w:rPr>
                  </w:pPr>
                  <w:r>
                    <w:rPr>
                      <w:rFonts w:hint="eastAsia"/>
                      <w:color w:val="auto"/>
                      <w:sz w:val="18"/>
                      <w:szCs w:val="18"/>
                      <w:highlight w:val="none"/>
                      <w:lang w:val="en-US" w:eastAsia="zh-CN"/>
                    </w:rPr>
                    <w:t>玉溪兴洁垃圾处理有限公司</w:t>
                  </w:r>
                </w:p>
              </w:tc>
            </w:tr>
            <w:tr w14:paraId="0FCF7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33F01B5B">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江川区医共体总院扩建</w:t>
                  </w:r>
                  <w:r>
                    <w:rPr>
                      <w:color w:val="auto"/>
                      <w:sz w:val="18"/>
                      <w:szCs w:val="18"/>
                      <w:highlight w:val="none"/>
                    </w:rPr>
                    <w:t>污水处理</w:t>
                  </w:r>
                </w:p>
              </w:tc>
              <w:tc>
                <w:tcPr>
                  <w:tcW w:w="599" w:type="dxa"/>
                  <w:vAlign w:val="center"/>
                </w:tcPr>
                <w:p w14:paraId="6E42B9FC">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污水处理站</w:t>
                  </w:r>
                </w:p>
              </w:tc>
              <w:tc>
                <w:tcPr>
                  <w:tcW w:w="802" w:type="dxa"/>
                  <w:vAlign w:val="center"/>
                </w:tcPr>
                <w:p w14:paraId="443469C3">
                  <w:pPr>
                    <w:tabs>
                      <w:tab w:val="left" w:pos="2040"/>
                    </w:tabs>
                    <w:autoSpaceDE w:val="0"/>
                    <w:autoSpaceDN w:val="0"/>
                    <w:adjustRightInd w:val="0"/>
                    <w:spacing w:line="300" w:lineRule="exact"/>
                    <w:ind w:firstLine="0" w:firstLineChars="0"/>
                    <w:jc w:val="center"/>
                    <w:rPr>
                      <w:rFonts w:hint="eastAsia"/>
                      <w:color w:val="auto"/>
                      <w:sz w:val="18"/>
                      <w:szCs w:val="18"/>
                      <w:highlight w:val="none"/>
                    </w:rPr>
                  </w:pPr>
                  <w:r>
                    <w:rPr>
                      <w:color w:val="auto"/>
                      <w:sz w:val="18"/>
                      <w:szCs w:val="18"/>
                      <w:highlight w:val="none"/>
                    </w:rPr>
                    <w:t>污泥</w:t>
                  </w:r>
                </w:p>
              </w:tc>
              <w:tc>
                <w:tcPr>
                  <w:tcW w:w="802" w:type="dxa"/>
                  <w:vAlign w:val="center"/>
                </w:tcPr>
                <w:p w14:paraId="4E811ED7">
                  <w:pPr>
                    <w:tabs>
                      <w:tab w:val="left" w:pos="2040"/>
                    </w:tabs>
                    <w:autoSpaceDE w:val="0"/>
                    <w:autoSpaceDN w:val="0"/>
                    <w:adjustRightInd w:val="0"/>
                    <w:spacing w:line="300" w:lineRule="exact"/>
                    <w:ind w:firstLine="0" w:firstLineChars="0"/>
                    <w:jc w:val="center"/>
                    <w:rPr>
                      <w:color w:val="auto"/>
                      <w:sz w:val="18"/>
                      <w:szCs w:val="18"/>
                      <w:highlight w:val="none"/>
                    </w:rPr>
                  </w:pPr>
                  <w:r>
                    <w:rPr>
                      <w:rFonts w:hint="eastAsia"/>
                      <w:color w:val="auto"/>
                      <w:sz w:val="18"/>
                      <w:szCs w:val="18"/>
                      <w:highlight w:val="none"/>
                    </w:rPr>
                    <w:t>医疗废物</w:t>
                  </w:r>
                </w:p>
              </w:tc>
              <w:tc>
                <w:tcPr>
                  <w:tcW w:w="928" w:type="dxa"/>
                  <w:vAlign w:val="center"/>
                </w:tcPr>
                <w:p w14:paraId="364122DA">
                  <w:pPr>
                    <w:tabs>
                      <w:tab w:val="left" w:pos="2040"/>
                    </w:tabs>
                    <w:autoSpaceDE w:val="0"/>
                    <w:autoSpaceDN w:val="0"/>
                    <w:adjustRightInd w:val="0"/>
                    <w:spacing w:line="300" w:lineRule="exact"/>
                    <w:ind w:firstLine="0" w:firstLineChars="0"/>
                    <w:jc w:val="center"/>
                    <w:rPr>
                      <w:color w:val="auto"/>
                      <w:sz w:val="18"/>
                      <w:szCs w:val="18"/>
                      <w:highlight w:val="none"/>
                    </w:rPr>
                  </w:pPr>
                  <w:r>
                    <w:rPr>
                      <w:color w:val="auto"/>
                      <w:sz w:val="18"/>
                      <w:szCs w:val="18"/>
                      <w:highlight w:val="none"/>
                    </w:rPr>
                    <w:t>产污系数法</w:t>
                  </w:r>
                </w:p>
              </w:tc>
              <w:tc>
                <w:tcPr>
                  <w:tcW w:w="778" w:type="dxa"/>
                  <w:vAlign w:val="center"/>
                </w:tcPr>
                <w:p w14:paraId="4D384268">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9.93</w:t>
                  </w:r>
                </w:p>
              </w:tc>
              <w:tc>
                <w:tcPr>
                  <w:tcW w:w="599" w:type="dxa"/>
                  <w:vAlign w:val="center"/>
                </w:tcPr>
                <w:p w14:paraId="48F29358">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专用容器桶</w:t>
                  </w:r>
                </w:p>
              </w:tc>
              <w:tc>
                <w:tcPr>
                  <w:tcW w:w="805" w:type="dxa"/>
                  <w:vAlign w:val="center"/>
                </w:tcPr>
                <w:p w14:paraId="3CED7454">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9.93</w:t>
                  </w:r>
                </w:p>
              </w:tc>
              <w:tc>
                <w:tcPr>
                  <w:tcW w:w="1549" w:type="dxa"/>
                  <w:vAlign w:val="center"/>
                </w:tcPr>
                <w:p w14:paraId="5034F9FA">
                  <w:pPr>
                    <w:tabs>
                      <w:tab w:val="left" w:pos="2040"/>
                    </w:tabs>
                    <w:autoSpaceDE w:val="0"/>
                    <w:autoSpaceDN w:val="0"/>
                    <w:adjustRightInd w:val="0"/>
                    <w:spacing w:line="300" w:lineRule="exact"/>
                    <w:ind w:firstLine="0" w:firstLineChars="0"/>
                    <w:jc w:val="center"/>
                    <w:rPr>
                      <w:color w:val="auto"/>
                      <w:sz w:val="18"/>
                      <w:szCs w:val="18"/>
                      <w:highlight w:val="none"/>
                    </w:rPr>
                  </w:pPr>
                  <w:r>
                    <w:rPr>
                      <w:rFonts w:hint="eastAsia"/>
                      <w:color w:val="auto"/>
                      <w:sz w:val="18"/>
                      <w:szCs w:val="18"/>
                      <w:highlight w:val="none"/>
                      <w:lang w:val="en-US" w:eastAsia="zh-CN"/>
                    </w:rPr>
                    <w:t>云南大地丰源环保有限公司定期清掏清运</w:t>
                  </w:r>
                </w:p>
              </w:tc>
            </w:tr>
            <w:tr w14:paraId="0851D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48A72427">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消毒中心</w:t>
                  </w:r>
                </w:p>
              </w:tc>
              <w:tc>
                <w:tcPr>
                  <w:tcW w:w="599" w:type="dxa"/>
                  <w:vAlign w:val="center"/>
                </w:tcPr>
                <w:p w14:paraId="30BC005E">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802" w:type="dxa"/>
                  <w:vAlign w:val="center"/>
                </w:tcPr>
                <w:p w14:paraId="3C45C01C">
                  <w:pPr>
                    <w:tabs>
                      <w:tab w:val="left" w:pos="2040"/>
                    </w:tabs>
                    <w:autoSpaceDE w:val="0"/>
                    <w:autoSpaceDN w:val="0"/>
                    <w:adjustRightInd w:val="0"/>
                    <w:spacing w:line="300" w:lineRule="exact"/>
                    <w:ind w:firstLine="0" w:firstLineChars="0"/>
                    <w:jc w:val="center"/>
                    <w:rPr>
                      <w:color w:val="auto"/>
                      <w:sz w:val="18"/>
                      <w:szCs w:val="18"/>
                      <w:highlight w:val="none"/>
                    </w:rPr>
                  </w:pPr>
                  <w:r>
                    <w:rPr>
                      <w:rFonts w:hint="eastAsia"/>
                      <w:color w:val="auto"/>
                      <w:sz w:val="18"/>
                      <w:szCs w:val="18"/>
                      <w:highlight w:val="none"/>
                    </w:rPr>
                    <w:t>废过滤材料</w:t>
                  </w:r>
                </w:p>
              </w:tc>
              <w:tc>
                <w:tcPr>
                  <w:tcW w:w="802" w:type="dxa"/>
                  <w:vAlign w:val="center"/>
                </w:tcPr>
                <w:p w14:paraId="544813AA">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一般固废</w:t>
                  </w:r>
                </w:p>
              </w:tc>
              <w:tc>
                <w:tcPr>
                  <w:tcW w:w="928" w:type="dxa"/>
                  <w:vAlign w:val="center"/>
                </w:tcPr>
                <w:p w14:paraId="2739AFB0">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rFonts w:hint="default" w:eastAsia="宋体"/>
                      <w:color w:val="auto"/>
                      <w:sz w:val="18"/>
                      <w:szCs w:val="18"/>
                      <w:highlight w:val="none"/>
                      <w:lang w:val="en-US" w:eastAsia="zh-CN"/>
                    </w:rPr>
                    <w:t>根据建设单位提供的资料</w:t>
                  </w:r>
                </w:p>
              </w:tc>
              <w:tc>
                <w:tcPr>
                  <w:tcW w:w="778" w:type="dxa"/>
                  <w:vAlign w:val="center"/>
                </w:tcPr>
                <w:p w14:paraId="6DF9B076">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0.8</w:t>
                  </w:r>
                </w:p>
              </w:tc>
              <w:tc>
                <w:tcPr>
                  <w:tcW w:w="599" w:type="dxa"/>
                  <w:vAlign w:val="center"/>
                </w:tcPr>
                <w:p w14:paraId="19144145">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固废暂存间</w:t>
                  </w:r>
                </w:p>
              </w:tc>
              <w:tc>
                <w:tcPr>
                  <w:tcW w:w="805" w:type="dxa"/>
                  <w:vAlign w:val="center"/>
                </w:tcPr>
                <w:p w14:paraId="547398D4">
                  <w:pPr>
                    <w:tabs>
                      <w:tab w:val="left" w:pos="2040"/>
                    </w:tabs>
                    <w:autoSpaceDE w:val="0"/>
                    <w:autoSpaceDN w:val="0"/>
                    <w:adjustRightInd w:val="0"/>
                    <w:spacing w:line="300" w:lineRule="exact"/>
                    <w:ind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0.8</w:t>
                  </w:r>
                </w:p>
              </w:tc>
              <w:tc>
                <w:tcPr>
                  <w:tcW w:w="1549" w:type="dxa"/>
                  <w:vAlign w:val="center"/>
                </w:tcPr>
                <w:p w14:paraId="78B2DC9F">
                  <w:pPr>
                    <w:tabs>
                      <w:tab w:val="left" w:pos="2040"/>
                    </w:tabs>
                    <w:autoSpaceDE w:val="0"/>
                    <w:autoSpaceDN w:val="0"/>
                    <w:adjustRightInd w:val="0"/>
                    <w:spacing w:line="300" w:lineRule="exact"/>
                    <w:ind w:firstLine="0" w:firstLineChars="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外售</w:t>
                  </w:r>
                </w:p>
              </w:tc>
            </w:tr>
            <w:tr w14:paraId="3AFBC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008" w:type="dxa"/>
                  <w:gridSpan w:val="9"/>
                  <w:vAlign w:val="center"/>
                </w:tcPr>
                <w:p w14:paraId="07BBF909">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b/>
                      <w:bCs/>
                      <w:color w:val="auto"/>
                      <w:sz w:val="18"/>
                      <w:szCs w:val="18"/>
                      <w:lang w:eastAsia="zh-CN"/>
                    </w:rPr>
                    <w:t>江城镇卫生院</w:t>
                  </w:r>
                </w:p>
              </w:tc>
            </w:tr>
            <w:tr w14:paraId="5F70F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24DA92B3">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江城卫生院扩建</w:t>
                  </w:r>
                  <w:r>
                    <w:rPr>
                      <w:color w:val="auto"/>
                      <w:sz w:val="18"/>
                      <w:szCs w:val="18"/>
                      <w:highlight w:val="none"/>
                    </w:rPr>
                    <w:t>生活办公</w:t>
                  </w:r>
                </w:p>
              </w:tc>
              <w:tc>
                <w:tcPr>
                  <w:tcW w:w="599" w:type="dxa"/>
                  <w:vAlign w:val="center"/>
                </w:tcPr>
                <w:p w14:paraId="0480943E">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w:t>
                  </w:r>
                </w:p>
              </w:tc>
              <w:tc>
                <w:tcPr>
                  <w:tcW w:w="802" w:type="dxa"/>
                  <w:vAlign w:val="center"/>
                </w:tcPr>
                <w:p w14:paraId="53AC2062">
                  <w:pPr>
                    <w:tabs>
                      <w:tab w:val="left" w:pos="2040"/>
                    </w:tabs>
                    <w:autoSpaceDE w:val="0"/>
                    <w:autoSpaceDN w:val="0"/>
                    <w:adjustRightInd w:val="0"/>
                    <w:spacing w:line="300" w:lineRule="exact"/>
                    <w:ind w:firstLine="0" w:firstLineChars="0"/>
                    <w:jc w:val="center"/>
                    <w:rPr>
                      <w:rFonts w:hint="eastAsia"/>
                      <w:color w:val="auto"/>
                      <w:sz w:val="18"/>
                      <w:szCs w:val="18"/>
                      <w:highlight w:val="none"/>
                    </w:rPr>
                  </w:pPr>
                  <w:r>
                    <w:rPr>
                      <w:color w:val="auto"/>
                      <w:sz w:val="18"/>
                      <w:szCs w:val="18"/>
                      <w:highlight w:val="none"/>
                    </w:rPr>
                    <w:t>生活垃圾</w:t>
                  </w:r>
                </w:p>
              </w:tc>
              <w:tc>
                <w:tcPr>
                  <w:tcW w:w="802" w:type="dxa"/>
                  <w:vAlign w:val="center"/>
                </w:tcPr>
                <w:p w14:paraId="0790124E">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一般生活固废</w:t>
                  </w:r>
                </w:p>
              </w:tc>
              <w:tc>
                <w:tcPr>
                  <w:tcW w:w="928" w:type="dxa"/>
                  <w:vAlign w:val="center"/>
                </w:tcPr>
                <w:p w14:paraId="203EB9F7">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color w:val="auto"/>
                      <w:sz w:val="18"/>
                      <w:szCs w:val="18"/>
                      <w:highlight w:val="none"/>
                    </w:rPr>
                    <w:t>产污系数法</w:t>
                  </w:r>
                </w:p>
              </w:tc>
              <w:tc>
                <w:tcPr>
                  <w:tcW w:w="778" w:type="dxa"/>
                  <w:vAlign w:val="center"/>
                </w:tcPr>
                <w:p w14:paraId="0A574933">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35.2</w:t>
                  </w:r>
                </w:p>
              </w:tc>
              <w:tc>
                <w:tcPr>
                  <w:tcW w:w="599" w:type="dxa"/>
                  <w:vAlign w:val="center"/>
                </w:tcPr>
                <w:p w14:paraId="66B24E0F">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w:t>
                  </w:r>
                </w:p>
              </w:tc>
              <w:tc>
                <w:tcPr>
                  <w:tcW w:w="805" w:type="dxa"/>
                  <w:vAlign w:val="center"/>
                </w:tcPr>
                <w:p w14:paraId="05CE9266">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35.2</w:t>
                  </w:r>
                </w:p>
              </w:tc>
              <w:tc>
                <w:tcPr>
                  <w:tcW w:w="1549" w:type="dxa"/>
                  <w:vAlign w:val="center"/>
                </w:tcPr>
                <w:p w14:paraId="7B744023">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定期清运至生活垃圾中转站</w:t>
                  </w:r>
                </w:p>
              </w:tc>
            </w:tr>
            <w:tr w14:paraId="04F0C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2A05069B">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江城卫生院扩建</w:t>
                  </w:r>
                  <w:r>
                    <w:rPr>
                      <w:color w:val="auto"/>
                      <w:sz w:val="18"/>
                      <w:szCs w:val="18"/>
                      <w:highlight w:val="none"/>
                    </w:rPr>
                    <w:t>污水处理</w:t>
                  </w:r>
                </w:p>
              </w:tc>
              <w:tc>
                <w:tcPr>
                  <w:tcW w:w="599" w:type="dxa"/>
                  <w:vAlign w:val="center"/>
                </w:tcPr>
                <w:p w14:paraId="2ACA966E">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沉淀池</w:t>
                  </w:r>
                </w:p>
              </w:tc>
              <w:tc>
                <w:tcPr>
                  <w:tcW w:w="802" w:type="dxa"/>
                  <w:vAlign w:val="center"/>
                </w:tcPr>
                <w:p w14:paraId="65BB782F">
                  <w:pPr>
                    <w:tabs>
                      <w:tab w:val="left" w:pos="2040"/>
                    </w:tabs>
                    <w:autoSpaceDE w:val="0"/>
                    <w:autoSpaceDN w:val="0"/>
                    <w:adjustRightInd w:val="0"/>
                    <w:spacing w:line="300" w:lineRule="exact"/>
                    <w:ind w:firstLine="0" w:firstLineChars="0"/>
                    <w:jc w:val="center"/>
                    <w:rPr>
                      <w:rFonts w:hint="eastAsia"/>
                      <w:color w:val="auto"/>
                      <w:sz w:val="18"/>
                      <w:szCs w:val="18"/>
                      <w:highlight w:val="none"/>
                    </w:rPr>
                  </w:pPr>
                  <w:r>
                    <w:rPr>
                      <w:color w:val="auto"/>
                      <w:sz w:val="18"/>
                      <w:szCs w:val="18"/>
                      <w:highlight w:val="none"/>
                    </w:rPr>
                    <w:t>污泥</w:t>
                  </w:r>
                </w:p>
              </w:tc>
              <w:tc>
                <w:tcPr>
                  <w:tcW w:w="802" w:type="dxa"/>
                  <w:vAlign w:val="center"/>
                </w:tcPr>
                <w:p w14:paraId="54B704E3">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危险</w:t>
                  </w:r>
                  <w:r>
                    <w:rPr>
                      <w:rFonts w:hint="eastAsia"/>
                      <w:color w:val="auto"/>
                      <w:sz w:val="18"/>
                      <w:szCs w:val="18"/>
                      <w:highlight w:val="none"/>
                    </w:rPr>
                    <w:t>废物</w:t>
                  </w:r>
                </w:p>
              </w:tc>
              <w:tc>
                <w:tcPr>
                  <w:tcW w:w="928" w:type="dxa"/>
                  <w:vAlign w:val="center"/>
                </w:tcPr>
                <w:p w14:paraId="577AA331">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color w:val="auto"/>
                      <w:sz w:val="18"/>
                      <w:szCs w:val="18"/>
                      <w:highlight w:val="none"/>
                    </w:rPr>
                    <w:t>产污系数法</w:t>
                  </w:r>
                </w:p>
              </w:tc>
              <w:tc>
                <w:tcPr>
                  <w:tcW w:w="778" w:type="dxa"/>
                  <w:vAlign w:val="center"/>
                </w:tcPr>
                <w:p w14:paraId="451A2105">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1.47</w:t>
                  </w:r>
                </w:p>
              </w:tc>
              <w:tc>
                <w:tcPr>
                  <w:tcW w:w="599" w:type="dxa"/>
                  <w:vAlign w:val="center"/>
                </w:tcPr>
                <w:p w14:paraId="17193B2A">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w:t>
                  </w:r>
                </w:p>
              </w:tc>
              <w:tc>
                <w:tcPr>
                  <w:tcW w:w="805" w:type="dxa"/>
                  <w:vAlign w:val="center"/>
                </w:tcPr>
                <w:p w14:paraId="2012E2F1">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1.47</w:t>
                  </w:r>
                </w:p>
              </w:tc>
              <w:tc>
                <w:tcPr>
                  <w:tcW w:w="1549" w:type="dxa"/>
                  <w:vAlign w:val="center"/>
                </w:tcPr>
                <w:p w14:paraId="5EF7D638">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云南大地丰源环保有限公司定期清掏清运</w:t>
                  </w:r>
                </w:p>
              </w:tc>
            </w:tr>
            <w:tr w14:paraId="0E7E8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46" w:type="dxa"/>
                  <w:vAlign w:val="center"/>
                </w:tcPr>
                <w:p w14:paraId="283CDF06">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rPr>
                    <w:t>江城卫生院扩建</w:t>
                  </w:r>
                  <w:r>
                    <w:rPr>
                      <w:color w:val="auto"/>
                      <w:sz w:val="18"/>
                      <w:szCs w:val="18"/>
                      <w:highlight w:val="none"/>
                    </w:rPr>
                    <w:t>医治过程</w:t>
                  </w:r>
                </w:p>
              </w:tc>
              <w:tc>
                <w:tcPr>
                  <w:tcW w:w="599" w:type="dxa"/>
                  <w:vAlign w:val="center"/>
                </w:tcPr>
                <w:p w14:paraId="6996E5AF">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w:t>
                  </w:r>
                </w:p>
              </w:tc>
              <w:tc>
                <w:tcPr>
                  <w:tcW w:w="802" w:type="dxa"/>
                  <w:vAlign w:val="center"/>
                </w:tcPr>
                <w:p w14:paraId="485C7B4F">
                  <w:pPr>
                    <w:tabs>
                      <w:tab w:val="left" w:pos="2040"/>
                    </w:tabs>
                    <w:autoSpaceDE w:val="0"/>
                    <w:autoSpaceDN w:val="0"/>
                    <w:adjustRightInd w:val="0"/>
                    <w:spacing w:line="300" w:lineRule="exact"/>
                    <w:ind w:firstLine="0" w:firstLineChars="0"/>
                    <w:jc w:val="center"/>
                    <w:rPr>
                      <w:rFonts w:hint="eastAsia"/>
                      <w:color w:val="auto"/>
                      <w:sz w:val="18"/>
                      <w:szCs w:val="18"/>
                      <w:highlight w:val="none"/>
                    </w:rPr>
                  </w:pPr>
                  <w:r>
                    <w:rPr>
                      <w:color w:val="auto"/>
                      <w:sz w:val="18"/>
                      <w:szCs w:val="18"/>
                      <w:highlight w:val="none"/>
                    </w:rPr>
                    <w:t>医疗废物</w:t>
                  </w:r>
                </w:p>
              </w:tc>
              <w:tc>
                <w:tcPr>
                  <w:tcW w:w="802" w:type="dxa"/>
                  <w:vAlign w:val="center"/>
                </w:tcPr>
                <w:p w14:paraId="31E54BB1">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医疗废物</w:t>
                  </w:r>
                </w:p>
              </w:tc>
              <w:tc>
                <w:tcPr>
                  <w:tcW w:w="928" w:type="dxa"/>
                  <w:vAlign w:val="center"/>
                </w:tcPr>
                <w:p w14:paraId="1D077D40">
                  <w:pPr>
                    <w:tabs>
                      <w:tab w:val="left" w:pos="2040"/>
                    </w:tabs>
                    <w:autoSpaceDE w:val="0"/>
                    <w:autoSpaceDN w:val="0"/>
                    <w:adjustRightInd w:val="0"/>
                    <w:spacing w:line="300" w:lineRule="exact"/>
                    <w:ind w:firstLine="0" w:firstLineChars="0"/>
                    <w:jc w:val="center"/>
                    <w:rPr>
                      <w:rFonts w:hint="default" w:eastAsia="宋体"/>
                      <w:color w:val="auto"/>
                      <w:sz w:val="18"/>
                      <w:szCs w:val="18"/>
                      <w:highlight w:val="none"/>
                      <w:lang w:val="en-US" w:eastAsia="zh-CN"/>
                    </w:rPr>
                  </w:pPr>
                  <w:r>
                    <w:rPr>
                      <w:color w:val="auto"/>
                      <w:sz w:val="18"/>
                      <w:szCs w:val="18"/>
                      <w:highlight w:val="none"/>
                    </w:rPr>
                    <w:t>产污系数法</w:t>
                  </w:r>
                </w:p>
              </w:tc>
              <w:tc>
                <w:tcPr>
                  <w:tcW w:w="778" w:type="dxa"/>
                  <w:vAlign w:val="center"/>
                </w:tcPr>
                <w:p w14:paraId="36CBD8E9">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17.17</w:t>
                  </w:r>
                </w:p>
              </w:tc>
              <w:tc>
                <w:tcPr>
                  <w:tcW w:w="599" w:type="dxa"/>
                  <w:vAlign w:val="center"/>
                </w:tcPr>
                <w:p w14:paraId="4A7BD186">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color w:val="auto"/>
                      <w:sz w:val="18"/>
                      <w:szCs w:val="18"/>
                      <w:highlight w:val="none"/>
                    </w:rPr>
                    <w:t>医疗废物暂存间</w:t>
                  </w:r>
                </w:p>
              </w:tc>
              <w:tc>
                <w:tcPr>
                  <w:tcW w:w="805" w:type="dxa"/>
                  <w:vAlign w:val="center"/>
                </w:tcPr>
                <w:p w14:paraId="28CBA63E">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17.17</w:t>
                  </w:r>
                </w:p>
              </w:tc>
              <w:tc>
                <w:tcPr>
                  <w:tcW w:w="1549" w:type="dxa"/>
                  <w:vAlign w:val="center"/>
                </w:tcPr>
                <w:p w14:paraId="1C9C2080">
                  <w:pPr>
                    <w:tabs>
                      <w:tab w:val="left" w:pos="2040"/>
                    </w:tabs>
                    <w:autoSpaceDE w:val="0"/>
                    <w:autoSpaceDN w:val="0"/>
                    <w:adjustRightInd w:val="0"/>
                    <w:spacing w:line="300" w:lineRule="exact"/>
                    <w:ind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医疗废物暂存于医疗废物暂存间后交由云南正晓环保投资有限公司定期处置，项目输液袋由云南蓝嘉环保科技有限公司回收处理</w:t>
                  </w:r>
                </w:p>
              </w:tc>
            </w:tr>
          </w:tbl>
          <w:p w14:paraId="21E53E4E">
            <w:pPr>
              <w:pStyle w:val="38"/>
              <w:jc w:val="both"/>
              <w:rPr>
                <w:rFonts w:ascii="Times New Roman" w:hAnsi="Times New Roman" w:eastAsia="宋体"/>
                <w:b/>
                <w:bCs/>
                <w:color w:val="auto"/>
              </w:rPr>
            </w:pPr>
          </w:p>
          <w:p w14:paraId="75514384">
            <w:pPr>
              <w:widowControl/>
              <w:ind w:firstLine="482"/>
              <w:jc w:val="left"/>
              <w:rPr>
                <w:rFonts w:hint="eastAsia" w:eastAsia="宋体"/>
                <w:color w:val="auto"/>
                <w:lang w:eastAsia="zh-CN"/>
              </w:rPr>
            </w:pPr>
            <w:r>
              <w:rPr>
                <w:b/>
                <w:bCs/>
                <w:color w:val="auto"/>
                <w:kern w:val="0"/>
                <w:szCs w:val="24"/>
                <w:lang w:bidi="ar"/>
              </w:rPr>
              <w:t>2、固废环境影响分析</w:t>
            </w:r>
          </w:p>
          <w:p w14:paraId="74EA21C2">
            <w:pPr>
              <w:widowControl/>
              <w:ind w:firstLine="480"/>
              <w:jc w:val="left"/>
              <w:rPr>
                <w:rFonts w:hint="eastAsia" w:eastAsia="宋体"/>
                <w:color w:val="auto"/>
                <w:lang w:eastAsia="zh-CN"/>
              </w:rPr>
            </w:pPr>
            <w:r>
              <w:rPr>
                <w:color w:val="auto"/>
                <w:kern w:val="0"/>
                <w:szCs w:val="24"/>
                <w:lang w:bidi="ar"/>
              </w:rPr>
              <w:t>（1）一般生活垃圾</w:t>
            </w:r>
          </w:p>
          <w:p w14:paraId="23E3607A">
            <w:pPr>
              <w:widowControl/>
              <w:ind w:firstLine="480"/>
              <w:jc w:val="left"/>
              <w:rPr>
                <w:rFonts w:hint="eastAsia" w:eastAsia="宋体"/>
                <w:color w:val="auto"/>
                <w:lang w:eastAsia="zh-CN"/>
              </w:rPr>
            </w:pPr>
            <w:r>
              <w:rPr>
                <w:color w:val="auto"/>
                <w:kern w:val="0"/>
                <w:szCs w:val="24"/>
                <w:lang w:bidi="ar"/>
              </w:rPr>
              <w:t>本项目生活垃圾采用垃圾桶收集，定期由环卫部门清运至垃圾中转站，对周围环境影响较小。</w:t>
            </w:r>
          </w:p>
          <w:p w14:paraId="382C77F2">
            <w:pPr>
              <w:widowControl/>
              <w:numPr>
                <w:ilvl w:val="0"/>
                <w:numId w:val="14"/>
              </w:numPr>
              <w:ind w:firstLine="480"/>
              <w:jc w:val="left"/>
              <w:rPr>
                <w:rFonts w:hint="eastAsia" w:asciiTheme="minorEastAsia" w:hAnsiTheme="minorEastAsia" w:eastAsiaTheme="minorEastAsia" w:cstheme="minorEastAsia"/>
                <w:color w:val="auto"/>
                <w:sz w:val="24"/>
                <w:szCs w:val="24"/>
              </w:rPr>
            </w:pPr>
            <w:r>
              <w:rPr>
                <w:color w:val="auto"/>
                <w:kern w:val="0"/>
                <w:szCs w:val="24"/>
                <w:lang w:bidi="ar"/>
              </w:rPr>
              <w:t>医疗废物</w:t>
            </w:r>
          </w:p>
          <w:p w14:paraId="41DF9B62">
            <w:pPr>
              <w:pStyle w:val="2"/>
              <w:rPr>
                <w:rFonts w:hint="eastAsia" w:eastAsia="宋体"/>
                <w:b/>
                <w:bCs/>
                <w:color w:val="auto"/>
                <w:sz w:val="24"/>
                <w:szCs w:val="24"/>
                <w:lang w:eastAsia="zh-CN"/>
              </w:rPr>
            </w:pPr>
            <w:r>
              <w:rPr>
                <w:rFonts w:hint="eastAsia"/>
                <w:b/>
                <w:bCs/>
                <w:color w:val="auto"/>
                <w:kern w:val="0"/>
                <w:sz w:val="24"/>
                <w:szCs w:val="24"/>
                <w:lang w:eastAsia="zh-CN" w:bidi="ar"/>
              </w:rPr>
              <w:t>江川区医共体总院：</w:t>
            </w:r>
          </w:p>
          <w:p w14:paraId="3745A01A">
            <w:pPr>
              <w:widowControl/>
              <w:numPr>
                <w:ilvl w:val="0"/>
                <w:numId w:val="0"/>
              </w:numPr>
              <w:ind w:firstLine="480" w:firstLineChars="200"/>
              <w:jc w:val="left"/>
              <w:rPr>
                <w:color w:val="auto"/>
                <w:kern w:val="0"/>
                <w:szCs w:val="24"/>
                <w:lang w:bidi="ar"/>
              </w:rPr>
            </w:pPr>
            <w:r>
              <w:rPr>
                <w:rFonts w:hint="eastAsia"/>
                <w:color w:val="auto"/>
                <w:kern w:val="0"/>
                <w:szCs w:val="24"/>
                <w:lang w:eastAsia="zh-CN" w:bidi="ar"/>
              </w:rPr>
              <w:t>项目</w:t>
            </w:r>
            <w:r>
              <w:rPr>
                <w:rFonts w:hint="eastAsia"/>
                <w:color w:val="auto"/>
                <w:kern w:val="0"/>
                <w:szCs w:val="24"/>
                <w:lang w:val="en-US" w:eastAsia="zh-CN" w:bidi="ar"/>
              </w:rPr>
              <w:t>,扩建后医疗废物暂存量为0.43t/d（158.18t/a）,</w:t>
            </w:r>
            <w:r>
              <w:rPr>
                <w:color w:val="auto"/>
                <w:kern w:val="0"/>
                <w:szCs w:val="24"/>
                <w:lang w:bidi="ar"/>
              </w:rPr>
              <w:t>项目已设置1座医疗废物暂存间</w:t>
            </w:r>
            <w:r>
              <w:rPr>
                <w:rFonts w:hint="eastAsia"/>
                <w:color w:val="auto"/>
                <w:kern w:val="0"/>
                <w:szCs w:val="24"/>
                <w:lang w:eastAsia="zh-CN" w:bidi="ar"/>
              </w:rPr>
              <w:t>（</w:t>
            </w:r>
            <w:r>
              <w:rPr>
                <w:rFonts w:hint="eastAsia"/>
                <w:color w:val="auto"/>
                <w:kern w:val="0"/>
                <w:szCs w:val="24"/>
                <w:lang w:val="en-US" w:eastAsia="zh-CN" w:bidi="ar"/>
              </w:rPr>
              <w:t>45m³）</w:t>
            </w:r>
            <w:r>
              <w:rPr>
                <w:color w:val="auto"/>
                <w:kern w:val="0"/>
                <w:szCs w:val="24"/>
                <w:lang w:bidi="ar"/>
              </w:rPr>
              <w:t>，</w:t>
            </w:r>
            <w:r>
              <w:rPr>
                <w:rFonts w:hint="eastAsia"/>
                <w:color w:val="auto"/>
                <w:kern w:val="0"/>
                <w:szCs w:val="24"/>
                <w:lang w:val="en-US" w:eastAsia="zh-CN" w:bidi="ar"/>
              </w:rPr>
              <w:t>本项目转运周期为2天一次，</w:t>
            </w:r>
            <w:r>
              <w:rPr>
                <w:rFonts w:hint="eastAsia"/>
                <w:color w:val="auto"/>
                <w:kern w:val="0"/>
                <w:szCs w:val="24"/>
                <w:lang w:eastAsia="zh-CN" w:bidi="ar"/>
              </w:rPr>
              <w:t>根据医疗废物分级分类收运技术规范</w:t>
            </w:r>
            <w:r>
              <w:rPr>
                <w:rFonts w:hint="eastAsia"/>
                <w:color w:val="auto"/>
                <w:kern w:val="0"/>
                <w:szCs w:val="24"/>
                <w:lang w:val="en-US" w:eastAsia="zh-CN" w:bidi="ar"/>
              </w:rPr>
              <w:t>DB31/T 1641-2025(上海市地方标准）中医疗废物堆积密度参考值按0.2t/m³，本项目扩建后医疗废物暂存间有效空间可以暂存9t医疗废物，能够满足扩建后医疗废弃物暂存。</w:t>
            </w:r>
            <w:r>
              <w:rPr>
                <w:color w:val="auto"/>
                <w:kern w:val="0"/>
                <w:szCs w:val="24"/>
                <w:lang w:bidi="ar"/>
              </w:rPr>
              <w:t>各科室设置医疗废物周转桶收集医疗废物后暂存于医疗废物暂存间内，交由</w:t>
            </w:r>
            <w:r>
              <w:rPr>
                <w:rFonts w:hint="eastAsia"/>
                <w:color w:val="auto"/>
                <w:spacing w:val="9"/>
                <w:highlight w:val="none"/>
                <w:lang w:val="en-US" w:eastAsia="zh-CN"/>
              </w:rPr>
              <w:t>玉溪兴洁垃圾处理有限公司</w:t>
            </w:r>
            <w:r>
              <w:rPr>
                <w:color w:val="auto"/>
                <w:kern w:val="0"/>
                <w:szCs w:val="24"/>
                <w:lang w:bidi="ar"/>
              </w:rPr>
              <w:t>进行统一处置。</w:t>
            </w:r>
          </w:p>
          <w:p w14:paraId="6F03F803">
            <w:pPr>
              <w:pStyle w:val="2"/>
              <w:rPr>
                <w:rFonts w:hint="eastAsia"/>
                <w:b/>
                <w:bCs/>
                <w:color w:val="auto"/>
                <w:kern w:val="0"/>
                <w:sz w:val="24"/>
                <w:szCs w:val="24"/>
                <w:lang w:eastAsia="zh-CN" w:bidi="ar"/>
              </w:rPr>
            </w:pPr>
            <w:r>
              <w:rPr>
                <w:rFonts w:hint="eastAsia"/>
                <w:b/>
                <w:bCs/>
                <w:color w:val="auto"/>
                <w:kern w:val="0"/>
                <w:sz w:val="24"/>
                <w:szCs w:val="24"/>
                <w:lang w:eastAsia="zh-CN" w:bidi="ar"/>
              </w:rPr>
              <w:t>江城镇卫生院：</w:t>
            </w:r>
          </w:p>
          <w:p w14:paraId="417B8355">
            <w:pPr>
              <w:widowControl/>
              <w:numPr>
                <w:ilvl w:val="0"/>
                <w:numId w:val="0"/>
              </w:numPr>
              <w:ind w:firstLine="480" w:firstLineChars="200"/>
              <w:jc w:val="left"/>
              <w:rPr>
                <w:rFonts w:hint="eastAsia"/>
                <w:b/>
                <w:bCs/>
                <w:color w:val="auto"/>
                <w:kern w:val="0"/>
                <w:sz w:val="24"/>
                <w:szCs w:val="24"/>
                <w:lang w:eastAsia="zh-CN" w:bidi="ar"/>
              </w:rPr>
            </w:pPr>
            <w:r>
              <w:rPr>
                <w:rFonts w:hint="eastAsia"/>
                <w:color w:val="auto"/>
                <w:kern w:val="0"/>
                <w:szCs w:val="24"/>
                <w:lang w:val="en-US" w:eastAsia="zh-CN" w:bidi="ar"/>
              </w:rPr>
              <w:t>扩建后医疗废物暂存量为0.047t/d（17.17t/a）,本项目扩建后新建危险废物暂存间（不小于5m³），本项目转运周期为2天一次，医疗废物暂存量为0.047t/d（</w:t>
            </w:r>
            <w:r>
              <w:rPr>
                <w:rFonts w:hint="eastAsia"/>
                <w:color w:val="auto"/>
                <w:sz w:val="24"/>
                <w:szCs w:val="24"/>
                <w:highlight w:val="none"/>
                <w:lang w:val="en-US" w:eastAsia="zh-CN"/>
              </w:rPr>
              <w:t>17.17t/a</w:t>
            </w:r>
            <w:r>
              <w:rPr>
                <w:rFonts w:hint="eastAsia"/>
                <w:color w:val="auto"/>
                <w:kern w:val="0"/>
                <w:szCs w:val="24"/>
                <w:lang w:val="en-US" w:eastAsia="zh-CN" w:bidi="ar"/>
              </w:rPr>
              <w:t>），</w:t>
            </w:r>
            <w:r>
              <w:rPr>
                <w:rFonts w:hint="eastAsia"/>
                <w:color w:val="auto"/>
                <w:kern w:val="0"/>
                <w:szCs w:val="24"/>
                <w:lang w:eastAsia="zh-CN" w:bidi="ar"/>
              </w:rPr>
              <w:t>根</w:t>
            </w:r>
            <w:r>
              <w:rPr>
                <w:rFonts w:hint="eastAsia"/>
                <w:color w:val="auto"/>
                <w:kern w:val="0"/>
                <w:szCs w:val="24"/>
                <w:lang w:eastAsia="zh-CN" w:bidi="ar"/>
              </w:rPr>
              <w:t>据医疗废物分级分类收运技术规范</w:t>
            </w:r>
            <w:r>
              <w:rPr>
                <w:rFonts w:hint="eastAsia"/>
                <w:color w:val="auto"/>
                <w:kern w:val="0"/>
                <w:szCs w:val="24"/>
                <w:lang w:val="en-US" w:eastAsia="zh-CN" w:bidi="ar"/>
              </w:rPr>
              <w:t>DB31/T 1641-2025(上海市地方标准）中医疗废物堆积密度参考值按0.2t/m³，本项目扩建后医疗废物暂存间有效空间不得小于5m³。</w:t>
            </w:r>
            <w:r>
              <w:rPr>
                <w:color w:val="auto"/>
                <w:kern w:val="0"/>
                <w:szCs w:val="24"/>
                <w:lang w:bidi="ar"/>
              </w:rPr>
              <w:t>各科室设置医疗废物周转桶收集医疗废物后暂存于医疗废物暂存间内，交由</w:t>
            </w:r>
            <w:r>
              <w:rPr>
                <w:rFonts w:hint="eastAsia"/>
                <w:color w:val="auto"/>
                <w:kern w:val="0"/>
                <w:szCs w:val="24"/>
                <w:lang w:val="en-US" w:eastAsia="zh-CN" w:bidi="ar"/>
              </w:rPr>
              <w:t>云南正晓环保投资有限公司</w:t>
            </w:r>
            <w:r>
              <w:rPr>
                <w:color w:val="auto"/>
                <w:kern w:val="0"/>
                <w:szCs w:val="24"/>
                <w:lang w:bidi="ar"/>
              </w:rPr>
              <w:t>进行统一处置。</w:t>
            </w:r>
          </w:p>
          <w:p w14:paraId="61AF14CE">
            <w:pPr>
              <w:widowControl/>
              <w:ind w:firstLine="482"/>
              <w:jc w:val="left"/>
              <w:rPr>
                <w:rFonts w:hint="eastAsia" w:eastAsia="宋体"/>
                <w:b/>
                <w:bCs/>
                <w:color w:val="auto"/>
                <w:kern w:val="0"/>
                <w:szCs w:val="24"/>
                <w:lang w:eastAsia="zh-CN" w:bidi="ar"/>
              </w:rPr>
            </w:pPr>
            <w:r>
              <w:rPr>
                <w:rFonts w:hint="eastAsia"/>
                <w:b/>
                <w:bCs/>
                <w:color w:val="auto"/>
                <w:kern w:val="0"/>
                <w:szCs w:val="24"/>
                <w:lang w:bidi="ar"/>
              </w:rPr>
              <w:t>医疗废物的收集、暂存、运输要求如下：</w:t>
            </w:r>
          </w:p>
          <w:p w14:paraId="5CDD1ADF">
            <w:pPr>
              <w:widowControl/>
              <w:ind w:firstLine="480"/>
              <w:jc w:val="left"/>
              <w:rPr>
                <w:rFonts w:hint="eastAsia" w:eastAsia="宋体"/>
                <w:color w:val="auto"/>
                <w:kern w:val="0"/>
                <w:szCs w:val="24"/>
                <w:lang w:eastAsia="zh-CN" w:bidi="ar"/>
              </w:rPr>
            </w:pPr>
            <w:r>
              <w:rPr>
                <w:rFonts w:hint="eastAsia"/>
                <w:color w:val="auto"/>
                <w:kern w:val="0"/>
                <w:szCs w:val="24"/>
                <w:lang w:bidi="ar"/>
              </w:rPr>
              <w:t>①项目运营期产生所有医疗废物应分类放入标明适当颜色或标识的垃圾袋或垃圾桶中，在盛装的医疗废物达到盛装垃圾容器的四分之三时，应当使用有效的封口方式对包装物或者容器进行紧实严密的封口，废物一旦装入袋或容器中后就不宜取出。收集感染性或任何潜在危害的废物时，必须穿戴手套和防护服；对感染性废物必须采用安全、有效、经济的隔离和处理方法，所有收集感染性废物的容器都应由“生物危险品”标志。收集使用过废弃的或一次行的注射器、针头、刀片及其他可能引起切伤刺伤的锐器时，应由产生科室分类收集装入防渗漏、防刺透的专用收集容器，经消毒并作毁形处理后由专职人员送至暂时存放间，严禁买卖。处理含有锐利物品的感染性废料时应使用防刺破手套。</w:t>
            </w:r>
          </w:p>
          <w:p w14:paraId="62221A4F">
            <w:pPr>
              <w:widowControl/>
              <w:ind w:firstLine="480"/>
              <w:jc w:val="left"/>
              <w:rPr>
                <w:rFonts w:hint="eastAsia" w:eastAsia="宋体"/>
                <w:color w:val="auto"/>
                <w:kern w:val="0"/>
                <w:szCs w:val="24"/>
                <w:lang w:eastAsia="zh-CN" w:bidi="ar"/>
              </w:rPr>
            </w:pPr>
            <w:r>
              <w:rPr>
                <w:rFonts w:hint="eastAsia"/>
                <w:color w:val="auto"/>
                <w:kern w:val="0"/>
                <w:szCs w:val="24"/>
                <w:lang w:bidi="ar"/>
              </w:rPr>
              <w:t>②项目医疗废物暂存应按《医疗废物集中处置技术规范（试行）》要求进行，具体要求如下：</w:t>
            </w:r>
          </w:p>
          <w:p w14:paraId="0299EE04">
            <w:pPr>
              <w:widowControl/>
              <w:ind w:firstLine="480"/>
              <w:jc w:val="left"/>
              <w:rPr>
                <w:rFonts w:hint="eastAsia" w:eastAsia="宋体"/>
                <w:color w:val="auto"/>
                <w:kern w:val="0"/>
                <w:szCs w:val="24"/>
                <w:lang w:eastAsia="zh-CN" w:bidi="ar"/>
              </w:rPr>
            </w:pPr>
            <w:r>
              <w:rPr>
                <w:rFonts w:hint="eastAsia"/>
                <w:color w:val="auto"/>
                <w:kern w:val="0"/>
                <w:szCs w:val="24"/>
                <w:lang w:bidi="ar"/>
              </w:rPr>
              <w:t>a、必须与生活垃圾存放地分开，有防雨淋的装置，地基高度应确保设施内不受雨洪冲击或浸泡；</w:t>
            </w:r>
          </w:p>
          <w:p w14:paraId="51748B12">
            <w:pPr>
              <w:widowControl/>
              <w:ind w:firstLine="480"/>
              <w:jc w:val="left"/>
              <w:rPr>
                <w:rFonts w:hint="eastAsia" w:eastAsia="宋体"/>
                <w:color w:val="auto"/>
                <w:kern w:val="0"/>
                <w:szCs w:val="24"/>
                <w:lang w:eastAsia="zh-CN" w:bidi="ar"/>
              </w:rPr>
            </w:pPr>
            <w:r>
              <w:rPr>
                <w:rFonts w:hint="eastAsia"/>
                <w:color w:val="auto"/>
                <w:kern w:val="0"/>
                <w:szCs w:val="24"/>
                <w:lang w:bidi="ar"/>
              </w:rPr>
              <w:t>b、必须与医疗区和人员活动密集区隔开，方便医疗废物的装卸、装卸人员及运送车辆的出入；</w:t>
            </w:r>
          </w:p>
          <w:p w14:paraId="6C0C9549">
            <w:pPr>
              <w:widowControl/>
              <w:ind w:firstLine="480"/>
              <w:jc w:val="left"/>
              <w:rPr>
                <w:rFonts w:hint="eastAsia" w:eastAsia="宋体"/>
                <w:color w:val="auto"/>
                <w:kern w:val="0"/>
                <w:szCs w:val="24"/>
                <w:lang w:eastAsia="zh-CN" w:bidi="ar"/>
              </w:rPr>
            </w:pPr>
            <w:r>
              <w:rPr>
                <w:rFonts w:hint="eastAsia"/>
                <w:color w:val="auto"/>
                <w:kern w:val="0"/>
                <w:szCs w:val="24"/>
                <w:lang w:bidi="ar"/>
              </w:rPr>
              <w:t>c、应有严密的封闭措施，设专人管理，避免非工作人员进出，以及防鼠、防蚊蝇、防蟑螂、防盗以及预防儿童接触等安全措施；</w:t>
            </w:r>
          </w:p>
          <w:p w14:paraId="2BE37643">
            <w:pPr>
              <w:widowControl/>
              <w:ind w:firstLine="480"/>
              <w:jc w:val="left"/>
              <w:rPr>
                <w:rFonts w:hint="eastAsia" w:eastAsia="宋体"/>
                <w:color w:val="auto"/>
                <w:kern w:val="0"/>
                <w:szCs w:val="24"/>
                <w:lang w:eastAsia="zh-CN" w:bidi="ar"/>
              </w:rPr>
            </w:pPr>
            <w:r>
              <w:rPr>
                <w:rFonts w:hint="eastAsia"/>
                <w:color w:val="auto"/>
                <w:kern w:val="0"/>
                <w:szCs w:val="24"/>
                <w:lang w:bidi="ar"/>
              </w:rPr>
              <w:t>d、地面和1.0米高的墙裙须进行防渗处理，地面有良好的排水性能，易于清洁和消毒，产生的废水应采用管道直接排入医疗卫生机构内的医疗废水消毒、处理系统，禁止将产生的废水直接排入外环境；</w:t>
            </w:r>
          </w:p>
          <w:p w14:paraId="00E22D98">
            <w:pPr>
              <w:widowControl/>
              <w:ind w:firstLine="480"/>
              <w:jc w:val="left"/>
              <w:rPr>
                <w:rFonts w:hint="eastAsia" w:eastAsia="宋体"/>
                <w:color w:val="auto"/>
                <w:kern w:val="0"/>
                <w:szCs w:val="24"/>
                <w:lang w:eastAsia="zh-CN" w:bidi="ar"/>
              </w:rPr>
            </w:pPr>
            <w:r>
              <w:rPr>
                <w:rFonts w:hint="eastAsia"/>
                <w:color w:val="auto"/>
                <w:kern w:val="0"/>
                <w:szCs w:val="24"/>
                <w:lang w:bidi="ar"/>
              </w:rPr>
              <w:t>e、库房外宜设有供水龙头，以供暂时贮存库房的清洗用；</w:t>
            </w:r>
          </w:p>
          <w:p w14:paraId="6750E79B">
            <w:pPr>
              <w:widowControl/>
              <w:ind w:firstLine="480"/>
              <w:jc w:val="left"/>
              <w:rPr>
                <w:rFonts w:hint="eastAsia" w:eastAsia="宋体"/>
                <w:color w:val="auto"/>
                <w:kern w:val="0"/>
                <w:szCs w:val="24"/>
                <w:lang w:eastAsia="zh-CN" w:bidi="ar"/>
              </w:rPr>
            </w:pPr>
            <w:r>
              <w:rPr>
                <w:rFonts w:hint="eastAsia"/>
                <w:color w:val="auto"/>
                <w:kern w:val="0"/>
                <w:szCs w:val="24"/>
                <w:lang w:bidi="ar"/>
              </w:rPr>
              <w:t>f、避免阳光直射库内，应有良好的照明设备和通风条件；</w:t>
            </w:r>
          </w:p>
          <w:p w14:paraId="11D5F9AE">
            <w:pPr>
              <w:widowControl/>
              <w:ind w:firstLine="480"/>
              <w:jc w:val="left"/>
              <w:rPr>
                <w:rFonts w:hint="eastAsia" w:eastAsia="宋体"/>
                <w:color w:val="auto"/>
                <w:kern w:val="0"/>
                <w:szCs w:val="24"/>
                <w:lang w:eastAsia="zh-CN" w:bidi="ar"/>
              </w:rPr>
            </w:pPr>
            <w:r>
              <w:rPr>
                <w:rFonts w:hint="eastAsia"/>
                <w:color w:val="auto"/>
                <w:kern w:val="0"/>
                <w:szCs w:val="24"/>
                <w:lang w:bidi="ar"/>
              </w:rPr>
              <w:t>g、库房内应张贴“禁止吸烟、饮食”的警示标识；</w:t>
            </w:r>
          </w:p>
          <w:p w14:paraId="583A463C">
            <w:pPr>
              <w:widowControl/>
              <w:ind w:firstLine="480"/>
              <w:jc w:val="left"/>
              <w:rPr>
                <w:rFonts w:hint="eastAsia" w:eastAsia="宋体"/>
                <w:color w:val="auto"/>
                <w:kern w:val="0"/>
                <w:szCs w:val="24"/>
                <w:lang w:eastAsia="zh-CN" w:bidi="ar"/>
              </w:rPr>
            </w:pPr>
            <w:r>
              <w:rPr>
                <w:rFonts w:hint="eastAsia"/>
                <w:color w:val="auto"/>
                <w:kern w:val="0"/>
                <w:szCs w:val="24"/>
                <w:lang w:bidi="ar"/>
              </w:rPr>
              <w:t>h、应按GB15562.2和卫生、环保部门制定的专用医疗废物警示标识要求，在库房外的明显处同时设置危险废物和医疗废物的警示标识。</w:t>
            </w:r>
          </w:p>
          <w:p w14:paraId="14857930">
            <w:pPr>
              <w:widowControl/>
              <w:ind w:firstLine="480"/>
              <w:jc w:val="left"/>
              <w:rPr>
                <w:color w:val="auto"/>
                <w:kern w:val="0"/>
                <w:szCs w:val="24"/>
                <w:lang w:bidi="ar"/>
              </w:rPr>
            </w:pPr>
            <w:r>
              <w:rPr>
                <w:rFonts w:hint="eastAsia"/>
                <w:color w:val="auto"/>
                <w:kern w:val="0"/>
                <w:szCs w:val="24"/>
                <w:lang w:bidi="ar"/>
              </w:rPr>
              <w:t>③医疗废物应委托有经营资格的危险废物处置单位处置，未取得相应许可的处置单位医疗废物运送人员不得接收化学性医疗废物。医疗卫生机构交予处置的废物采用危险废物转移联单管理；医疗废物运送应当使用专用车辆。车辆厢体应与驾驶室分离并密闭；厢体应达到气密性要求，内壁光滑平整，易于清洗消毒；厢体材料防水、耐腐蚀；厢体底部防液体渗漏，并设清洗污水的排水收集装置；医疗废物处置单位应为每辆运送车指定负责人，对医疗废物运送过程负责，对于有住院病床的医疗卫生机构，处置单位必须定期派车上门收集。医疗废物运送车辆不得搭乘其他无关人员，不得装载或混装其他货物和动植物。车辆行驶时应锁闭车厢门，确保安全，不得丢失、遗撒和打开包装取出医疗废物。运送路线应尽量避开人口密集区域和交通拥堵道路；医疗废物处置单位必须设置医疗废物运送车辆清洗场所和污水收集消毒处理设施。清洗污水应收集入污水消毒处理设施，不可在不具备污水收集消毒处理条件时清洗内壁，禁止任意向环境排放清洗污水。</w:t>
            </w:r>
          </w:p>
          <w:p w14:paraId="2115ACE1">
            <w:pPr>
              <w:widowControl/>
              <w:ind w:firstLine="480"/>
              <w:jc w:val="left"/>
              <w:rPr>
                <w:rFonts w:hint="eastAsia" w:eastAsia="宋体"/>
                <w:color w:val="auto"/>
                <w:lang w:eastAsia="zh-CN"/>
              </w:rPr>
            </w:pPr>
            <w:r>
              <w:rPr>
                <w:color w:val="auto"/>
                <w:kern w:val="0"/>
                <w:szCs w:val="24"/>
                <w:lang w:bidi="ar"/>
              </w:rPr>
              <w:t>（3）污水处理站污泥</w:t>
            </w:r>
          </w:p>
          <w:p w14:paraId="3093E73B">
            <w:pPr>
              <w:widowControl/>
              <w:ind w:firstLine="480"/>
              <w:jc w:val="left"/>
              <w:rPr>
                <w:color w:val="auto"/>
              </w:rPr>
            </w:pPr>
            <w:r>
              <w:rPr>
                <w:color w:val="auto"/>
                <w:kern w:val="0"/>
                <w:szCs w:val="24"/>
                <w:lang w:bidi="ar"/>
              </w:rPr>
              <w:t>本项目去除污泥量按照COD、SS去除量进行计算，本项目</w:t>
            </w:r>
            <w:r>
              <w:rPr>
                <w:rFonts w:hint="eastAsia"/>
                <w:color w:val="auto"/>
                <w:kern w:val="0"/>
                <w:szCs w:val="24"/>
                <w:lang w:val="en-US" w:eastAsia="zh-CN" w:bidi="ar"/>
              </w:rPr>
              <w:t>江城卫生院</w:t>
            </w:r>
            <w:r>
              <w:rPr>
                <w:color w:val="auto"/>
                <w:kern w:val="0"/>
                <w:szCs w:val="24"/>
                <w:lang w:bidi="ar"/>
              </w:rPr>
              <w:t>污泥产生量约为</w:t>
            </w:r>
            <w:r>
              <w:rPr>
                <w:rFonts w:hint="eastAsia"/>
                <w:color w:val="auto"/>
                <w:kern w:val="0"/>
                <w:szCs w:val="24"/>
                <w:lang w:val="en-US" w:eastAsia="zh-CN" w:bidi="ar"/>
              </w:rPr>
              <w:t>1.47t</w:t>
            </w:r>
            <w:r>
              <w:rPr>
                <w:color w:val="auto"/>
                <w:kern w:val="0"/>
                <w:szCs w:val="24"/>
                <w:lang w:bidi="ar"/>
              </w:rPr>
              <w:t>/a，</w:t>
            </w:r>
            <w:r>
              <w:rPr>
                <w:rFonts w:hint="eastAsia"/>
                <w:color w:val="auto"/>
                <w:kern w:val="0"/>
                <w:szCs w:val="24"/>
                <w:lang w:val="en-US" w:eastAsia="zh-CN" w:bidi="ar"/>
              </w:rPr>
              <w:t>江川区医共体总院污泥产生量为9.93t/a</w:t>
            </w:r>
            <w:r>
              <w:rPr>
                <w:color w:val="auto"/>
                <w:kern w:val="0"/>
                <w:szCs w:val="24"/>
                <w:lang w:bidi="ar"/>
              </w:rPr>
              <w:t>按《医疗机构水污染物排放标准》（GB18466－2005）中要求执行</w:t>
            </w:r>
            <w:r>
              <w:rPr>
                <w:color w:val="auto"/>
                <w:szCs w:val="24"/>
              </w:rPr>
              <w:t>。对周围环境影响较小。</w:t>
            </w:r>
          </w:p>
          <w:p w14:paraId="772563FE">
            <w:pPr>
              <w:widowControl/>
              <w:ind w:firstLine="480"/>
              <w:jc w:val="left"/>
              <w:rPr>
                <w:color w:val="auto"/>
                <w:kern w:val="0"/>
                <w:szCs w:val="24"/>
                <w:highlight w:val="none"/>
                <w:lang w:bidi="ar"/>
              </w:rPr>
            </w:pPr>
            <w:r>
              <w:rPr>
                <w:color w:val="auto"/>
                <w:kern w:val="0"/>
                <w:szCs w:val="24"/>
                <w:highlight w:val="none"/>
                <w:lang w:bidi="ar"/>
              </w:rPr>
              <w:t>（4）废紫外灯管</w:t>
            </w:r>
          </w:p>
          <w:p w14:paraId="381F554A">
            <w:pPr>
              <w:ind w:firstLine="480"/>
              <w:rPr>
                <w:color w:val="auto"/>
                <w:kern w:val="0"/>
                <w:szCs w:val="24"/>
                <w:lang w:bidi="ar"/>
              </w:rPr>
            </w:pPr>
            <w:r>
              <w:rPr>
                <w:color w:val="auto"/>
                <w:kern w:val="0"/>
                <w:szCs w:val="24"/>
                <w:highlight w:val="none"/>
                <w:lang w:bidi="ar"/>
              </w:rPr>
              <w:t>根据工程分析，本项目废紫外灯管产生量为</w:t>
            </w:r>
            <w:r>
              <w:rPr>
                <w:rFonts w:hint="eastAsia"/>
                <w:color w:val="auto"/>
                <w:kern w:val="0"/>
                <w:szCs w:val="24"/>
                <w:highlight w:val="none"/>
                <w:lang w:val="en-US" w:eastAsia="zh-CN" w:bidi="ar"/>
              </w:rPr>
              <w:t>0.01</w:t>
            </w:r>
            <w:r>
              <w:rPr>
                <w:color w:val="auto"/>
                <w:kern w:val="0"/>
                <w:szCs w:val="24"/>
                <w:highlight w:val="none"/>
                <w:lang w:bidi="ar"/>
              </w:rPr>
              <w:t>/a。</w:t>
            </w:r>
            <w:r>
              <w:rPr>
                <w:color w:val="auto"/>
                <w:kern w:val="0"/>
                <w:szCs w:val="24"/>
                <w:lang w:bidi="ar"/>
              </w:rPr>
              <w:t>暂存于医疗废物暂存间内，定期交由有医疗废物处理资质单位进行统一处置。对周围环境影响较小。</w:t>
            </w:r>
          </w:p>
          <w:p w14:paraId="509C2E04">
            <w:pPr>
              <w:pStyle w:val="2"/>
              <w:ind w:firstLine="480" w:firstLineChars="200"/>
              <w:rPr>
                <w:color w:val="auto"/>
              </w:rPr>
            </w:pPr>
            <w:r>
              <w:rPr>
                <w:rFonts w:hint="eastAsia" w:asciiTheme="minorEastAsia" w:hAnsiTheme="minorEastAsia" w:eastAsiaTheme="minorEastAsia" w:cstheme="minorEastAsia"/>
                <w:color w:val="auto"/>
                <w:kern w:val="0"/>
                <w:sz w:val="24"/>
                <w:szCs w:val="24"/>
                <w:lang w:eastAsia="zh-CN" w:bidi="ar"/>
              </w:rPr>
              <w:t>本项目扩建后固废处置率为</w:t>
            </w:r>
            <w:r>
              <w:rPr>
                <w:rFonts w:hint="eastAsia" w:asciiTheme="minorEastAsia" w:hAnsiTheme="minorEastAsia" w:eastAsiaTheme="minorEastAsia" w:cstheme="minorEastAsia"/>
                <w:color w:val="auto"/>
                <w:kern w:val="0"/>
                <w:sz w:val="24"/>
                <w:szCs w:val="24"/>
                <w:lang w:val="en-US" w:eastAsia="zh-CN" w:bidi="ar"/>
              </w:rPr>
              <w:t>100%，对环境影响较小。</w:t>
            </w:r>
          </w:p>
          <w:p w14:paraId="6A4DE6DF">
            <w:pPr>
              <w:ind w:firstLine="482"/>
              <w:rPr>
                <w:b/>
                <w:bCs/>
                <w:color w:val="auto"/>
              </w:rPr>
            </w:pPr>
            <w:r>
              <w:rPr>
                <w:b/>
                <w:bCs/>
                <w:color w:val="auto"/>
              </w:rPr>
              <w:t>五、土壤、地下水</w:t>
            </w:r>
          </w:p>
          <w:p w14:paraId="0159C779">
            <w:pPr>
              <w:ind w:firstLine="480"/>
              <w:rPr>
                <w:rFonts w:hint="eastAsia" w:eastAsia="宋体"/>
                <w:color w:val="auto"/>
                <w:lang w:eastAsia="zh-CN"/>
              </w:rPr>
            </w:pPr>
            <w:r>
              <w:rPr>
                <w:color w:val="auto"/>
              </w:rPr>
              <w:t>本项目产生的医疗废物，依托现有医疗废物暂存间；目前已采取防渗措施</w:t>
            </w:r>
            <w:r>
              <w:rPr>
                <w:rFonts w:hint="eastAsia"/>
                <w:color w:val="auto"/>
                <w:lang w:eastAsia="zh-CN"/>
              </w:rPr>
              <w:t>：</w:t>
            </w:r>
          </w:p>
          <w:p w14:paraId="497915C9">
            <w:pPr>
              <w:ind w:firstLine="480"/>
              <w:rPr>
                <w:color w:val="auto"/>
              </w:rPr>
            </w:pPr>
            <w:r>
              <w:rPr>
                <w:color w:val="auto"/>
              </w:rPr>
              <w:t>重点防渗区：</w:t>
            </w:r>
            <w:r>
              <w:rPr>
                <w:rFonts w:hint="eastAsia"/>
                <w:color w:val="auto"/>
                <w:lang w:eastAsia="zh-CN"/>
              </w:rPr>
              <w:t>医疗</w:t>
            </w:r>
            <w:r>
              <w:rPr>
                <w:color w:val="auto"/>
              </w:rPr>
              <w:t>废物暂存间已采取防渗；</w:t>
            </w:r>
          </w:p>
          <w:p w14:paraId="3DB9B2F1">
            <w:pPr>
              <w:ind w:firstLine="480"/>
              <w:rPr>
                <w:color w:val="auto"/>
              </w:rPr>
            </w:pPr>
            <w:r>
              <w:rPr>
                <w:color w:val="auto"/>
              </w:rPr>
              <w:t>一般防渗区：化粪池、污水处理设施等依托原有；</w:t>
            </w:r>
          </w:p>
          <w:p w14:paraId="34D793A5">
            <w:pPr>
              <w:ind w:firstLine="480"/>
              <w:rPr>
                <w:rFonts w:hint="default" w:eastAsia="宋体"/>
                <w:color w:val="auto"/>
                <w:lang w:val="en-US" w:eastAsia="zh-CN"/>
              </w:rPr>
            </w:pPr>
            <w:r>
              <w:rPr>
                <w:color w:val="auto"/>
              </w:rPr>
              <w:t>简单防渗区：其他区域进行水泥硬化。</w:t>
            </w:r>
          </w:p>
          <w:p w14:paraId="1C49DE6B">
            <w:pPr>
              <w:ind w:firstLine="482"/>
              <w:rPr>
                <w:b/>
                <w:bCs/>
                <w:color w:val="auto"/>
              </w:rPr>
            </w:pPr>
            <w:r>
              <w:rPr>
                <w:b/>
                <w:bCs/>
                <w:color w:val="auto"/>
              </w:rPr>
              <w:t>六、环境风险分析</w:t>
            </w:r>
          </w:p>
          <w:p w14:paraId="2F34E0B1">
            <w:pPr>
              <w:pStyle w:val="42"/>
              <w:rPr>
                <w:color w:val="auto"/>
              </w:rPr>
            </w:pPr>
            <w:r>
              <w:rPr>
                <w:color w:val="auto"/>
              </w:rPr>
              <w:t>（1）风险识别</w:t>
            </w:r>
          </w:p>
          <w:p w14:paraId="442A632C">
            <w:pPr>
              <w:pStyle w:val="42"/>
              <w:rPr>
                <w:rFonts w:hint="eastAsia" w:eastAsia="宋体"/>
                <w:color w:val="auto"/>
                <w:lang w:eastAsia="zh-CN"/>
              </w:rPr>
            </w:pPr>
            <w:r>
              <w:rPr>
                <w:color w:val="auto"/>
              </w:rPr>
              <w:t>综合性医院的风险主要是在运营期产生的，本项目对原辅材料、产品、副产品以及生产过程中排放的污染物进行危险性识别，筛选风险评价因子。本项目运营过程中风险源主要为次氯酸钠、医用酒精、危险废物、</w:t>
            </w:r>
            <w:r>
              <w:rPr>
                <w:rFonts w:hint="eastAsia"/>
                <w:color w:val="auto"/>
              </w:rPr>
              <w:t>液氧、柴油、</w:t>
            </w:r>
            <w:r>
              <w:rPr>
                <w:color w:val="auto"/>
              </w:rPr>
              <w:t>废水。</w:t>
            </w:r>
          </w:p>
          <w:p w14:paraId="2FE9C884">
            <w:pPr>
              <w:pStyle w:val="42"/>
              <w:rPr>
                <w:rFonts w:hint="eastAsia" w:ascii="宋体" w:hAnsi="宋体" w:eastAsia="宋体" w:cs="宋体"/>
                <w:color w:val="auto"/>
              </w:rPr>
            </w:pPr>
            <w:r>
              <w:rPr>
                <w:color w:val="auto"/>
              </w:rPr>
              <w:t>根据《建设项目环境风险评价技术导则》（HJ/T169-2018）附录B中的</w:t>
            </w:r>
            <w:r>
              <w:rPr>
                <w:rFonts w:hint="eastAsia" w:ascii="宋体" w:hAnsi="宋体" w:eastAsia="宋体" w:cs="宋体"/>
                <w:color w:val="auto"/>
              </w:rPr>
              <w:t>“重点关注的危险物质及临界量”及《危险化学品重大危险源辨识》（GB18218-2018）中表1危险化学品名称及其临界量，检验科用到的试剂均为外购成品试剂，不在附录B危险物质的目录中，故不考虑临界量；本项目涉及Q值计算的风险物质主要为乙醇、柴油和污水处理站所使用的次氯酸钠药剂，其中乙醇在各科室均有分布，柴油位于备用柴油发电间，次氯酸钠分布于污水处理设施用房。</w:t>
            </w:r>
          </w:p>
          <w:p w14:paraId="5E687101">
            <w:pPr>
              <w:pStyle w:val="42"/>
              <w:rPr>
                <w:color w:val="auto"/>
              </w:rPr>
            </w:pPr>
            <w:r>
              <w:rPr>
                <w:color w:val="auto"/>
              </w:rPr>
              <w:t>（2）风险潜势初判及评价等级</w:t>
            </w:r>
          </w:p>
          <w:p w14:paraId="40395F95">
            <w:pPr>
              <w:pStyle w:val="42"/>
              <w:rPr>
                <w:color w:val="auto"/>
              </w:rPr>
            </w:pPr>
            <w:r>
              <w:rPr>
                <w:color w:val="auto"/>
              </w:rPr>
              <w:t>1）评价等级</w:t>
            </w:r>
          </w:p>
          <w:p w14:paraId="3FF7D03C">
            <w:pPr>
              <w:pStyle w:val="42"/>
              <w:rPr>
                <w:color w:val="auto"/>
              </w:rPr>
            </w:pPr>
            <w:r>
              <w:rPr>
                <w:color w:val="auto"/>
              </w:rPr>
              <w:t>根据《建设项目环境风险评价技术导则》（HJ169-2018），环境风险评价工作等级见表4-</w:t>
            </w:r>
            <w:r>
              <w:rPr>
                <w:rFonts w:hint="eastAsia"/>
                <w:color w:val="auto"/>
                <w:lang w:val="en-US" w:eastAsia="zh-CN"/>
              </w:rPr>
              <w:t>20</w:t>
            </w:r>
            <w:r>
              <w:rPr>
                <w:color w:val="auto"/>
              </w:rPr>
              <w:t>。</w:t>
            </w:r>
          </w:p>
          <w:p w14:paraId="25B63F67">
            <w:pPr>
              <w:pStyle w:val="38"/>
              <w:rPr>
                <w:rFonts w:ascii="Times New Roman" w:hAnsi="Times New Roman" w:eastAsia="宋体"/>
                <w:b/>
                <w:bCs/>
                <w:color w:val="auto"/>
              </w:rPr>
            </w:pPr>
            <w:r>
              <w:rPr>
                <w:rFonts w:ascii="Times New Roman" w:hAnsi="Times New Roman" w:eastAsia="宋体"/>
                <w:b/>
                <w:bCs/>
                <w:color w:val="auto"/>
              </w:rPr>
              <w:t>表4-</w:t>
            </w:r>
            <w:r>
              <w:rPr>
                <w:rFonts w:hint="eastAsia" w:ascii="Times New Roman" w:hAnsi="Times New Roman" w:eastAsia="宋体"/>
                <w:b/>
                <w:bCs/>
                <w:color w:val="auto"/>
                <w:lang w:val="en-US" w:eastAsia="zh-CN"/>
              </w:rPr>
              <w:t>20</w:t>
            </w:r>
            <w:r>
              <w:rPr>
                <w:rFonts w:ascii="Times New Roman" w:hAnsi="Times New Roman" w:eastAsia="宋体"/>
                <w:b/>
                <w:bCs/>
                <w:color w:val="auto"/>
              </w:rPr>
              <w:t>评价工作等级划分</w:t>
            </w:r>
          </w:p>
          <w:tbl>
            <w:tblPr>
              <w:tblStyle w:val="20"/>
              <w:tblW w:w="7666"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657"/>
              <w:gridCol w:w="1408"/>
              <w:gridCol w:w="1533"/>
              <w:gridCol w:w="1533"/>
              <w:gridCol w:w="1535"/>
            </w:tblGrid>
            <w:tr w14:paraId="73A29DE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62" w:hRule="atLeast"/>
              </w:trPr>
              <w:tc>
                <w:tcPr>
                  <w:tcW w:w="1657" w:type="dxa"/>
                  <w:tcBorders>
                    <w:tl2br w:val="nil"/>
                    <w:tr2bl w:val="nil"/>
                  </w:tcBorders>
                  <w:vAlign w:val="center"/>
                </w:tcPr>
                <w:p w14:paraId="074C99DA">
                  <w:pPr>
                    <w:pStyle w:val="2"/>
                    <w:jc w:val="center"/>
                    <w:rPr>
                      <w:color w:val="auto"/>
                      <w:sz w:val="21"/>
                      <w:szCs w:val="21"/>
                    </w:rPr>
                  </w:pPr>
                  <w:bookmarkStart w:id="6" w:name="_Toc24448494"/>
                  <w:r>
                    <w:rPr>
                      <w:color w:val="auto"/>
                      <w:sz w:val="21"/>
                      <w:szCs w:val="21"/>
                    </w:rPr>
                    <w:t>环境风险潜势</w:t>
                  </w:r>
                  <w:bookmarkEnd w:id="6"/>
                </w:p>
              </w:tc>
              <w:tc>
                <w:tcPr>
                  <w:tcW w:w="1408" w:type="dxa"/>
                  <w:tcBorders>
                    <w:tl2br w:val="nil"/>
                    <w:tr2bl w:val="nil"/>
                  </w:tcBorders>
                  <w:vAlign w:val="center"/>
                </w:tcPr>
                <w:p w14:paraId="7D73B918">
                  <w:pPr>
                    <w:pStyle w:val="2"/>
                    <w:jc w:val="center"/>
                    <w:rPr>
                      <w:color w:val="auto"/>
                      <w:sz w:val="21"/>
                      <w:szCs w:val="21"/>
                    </w:rPr>
                  </w:pPr>
                  <w:bookmarkStart w:id="7" w:name="_Toc24448495"/>
                  <w:r>
                    <w:rPr>
                      <w:color w:val="auto"/>
                      <w:sz w:val="21"/>
                      <w:szCs w:val="21"/>
                    </w:rPr>
                    <w:t>IV、IV+</w:t>
                  </w:r>
                  <w:bookmarkEnd w:id="7"/>
                </w:p>
              </w:tc>
              <w:tc>
                <w:tcPr>
                  <w:tcW w:w="1533" w:type="dxa"/>
                  <w:tcBorders>
                    <w:tl2br w:val="nil"/>
                    <w:tr2bl w:val="nil"/>
                  </w:tcBorders>
                  <w:vAlign w:val="center"/>
                </w:tcPr>
                <w:p w14:paraId="6FDD4492">
                  <w:pPr>
                    <w:pStyle w:val="2"/>
                    <w:jc w:val="center"/>
                    <w:rPr>
                      <w:color w:val="auto"/>
                      <w:sz w:val="21"/>
                      <w:szCs w:val="21"/>
                    </w:rPr>
                  </w:pPr>
                  <w:bookmarkStart w:id="8" w:name="_Toc24448496"/>
                  <w:r>
                    <w:rPr>
                      <w:color w:val="auto"/>
                      <w:sz w:val="21"/>
                      <w:szCs w:val="21"/>
                    </w:rPr>
                    <w:t>III</w:t>
                  </w:r>
                  <w:bookmarkEnd w:id="8"/>
                </w:p>
              </w:tc>
              <w:tc>
                <w:tcPr>
                  <w:tcW w:w="1533" w:type="dxa"/>
                  <w:tcBorders>
                    <w:tl2br w:val="nil"/>
                    <w:tr2bl w:val="nil"/>
                  </w:tcBorders>
                  <w:vAlign w:val="center"/>
                </w:tcPr>
                <w:p w14:paraId="62A9D427">
                  <w:pPr>
                    <w:pStyle w:val="2"/>
                    <w:jc w:val="center"/>
                    <w:rPr>
                      <w:color w:val="auto"/>
                      <w:sz w:val="21"/>
                      <w:szCs w:val="21"/>
                    </w:rPr>
                  </w:pPr>
                  <w:bookmarkStart w:id="9" w:name="_Toc24448497"/>
                  <w:r>
                    <w:rPr>
                      <w:color w:val="auto"/>
                      <w:sz w:val="21"/>
                      <w:szCs w:val="21"/>
                    </w:rPr>
                    <w:t>II</w:t>
                  </w:r>
                  <w:bookmarkEnd w:id="9"/>
                </w:p>
              </w:tc>
              <w:tc>
                <w:tcPr>
                  <w:tcW w:w="1534" w:type="dxa"/>
                  <w:tcBorders>
                    <w:tl2br w:val="nil"/>
                    <w:tr2bl w:val="nil"/>
                  </w:tcBorders>
                  <w:vAlign w:val="center"/>
                </w:tcPr>
                <w:p w14:paraId="7345ED7A">
                  <w:pPr>
                    <w:pStyle w:val="2"/>
                    <w:jc w:val="center"/>
                    <w:rPr>
                      <w:color w:val="auto"/>
                      <w:sz w:val="21"/>
                      <w:szCs w:val="21"/>
                    </w:rPr>
                  </w:pPr>
                  <w:bookmarkStart w:id="10" w:name="_Toc24448498"/>
                  <w:r>
                    <w:rPr>
                      <w:color w:val="auto"/>
                      <w:sz w:val="21"/>
                      <w:szCs w:val="21"/>
                    </w:rPr>
                    <w:t>I</w:t>
                  </w:r>
                  <w:bookmarkEnd w:id="10"/>
                </w:p>
              </w:tc>
            </w:tr>
            <w:tr w14:paraId="5CD50C3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7" w:hRule="atLeast"/>
              </w:trPr>
              <w:tc>
                <w:tcPr>
                  <w:tcW w:w="1657" w:type="dxa"/>
                  <w:tcBorders>
                    <w:tl2br w:val="nil"/>
                    <w:tr2bl w:val="nil"/>
                  </w:tcBorders>
                  <w:vAlign w:val="center"/>
                </w:tcPr>
                <w:p w14:paraId="5F6B6EA2">
                  <w:pPr>
                    <w:pStyle w:val="2"/>
                    <w:jc w:val="center"/>
                    <w:rPr>
                      <w:color w:val="auto"/>
                      <w:sz w:val="21"/>
                      <w:szCs w:val="21"/>
                    </w:rPr>
                  </w:pPr>
                  <w:bookmarkStart w:id="11" w:name="_Toc24448499"/>
                  <w:r>
                    <w:rPr>
                      <w:color w:val="auto"/>
                      <w:sz w:val="21"/>
                      <w:szCs w:val="21"/>
                    </w:rPr>
                    <w:t>评价工作等级</w:t>
                  </w:r>
                  <w:bookmarkEnd w:id="11"/>
                </w:p>
              </w:tc>
              <w:tc>
                <w:tcPr>
                  <w:tcW w:w="1408" w:type="dxa"/>
                  <w:tcBorders>
                    <w:tl2br w:val="nil"/>
                    <w:tr2bl w:val="nil"/>
                  </w:tcBorders>
                  <w:vAlign w:val="center"/>
                </w:tcPr>
                <w:p w14:paraId="16B442C2">
                  <w:pPr>
                    <w:pStyle w:val="2"/>
                    <w:jc w:val="center"/>
                    <w:rPr>
                      <w:color w:val="auto"/>
                      <w:sz w:val="21"/>
                      <w:szCs w:val="21"/>
                    </w:rPr>
                  </w:pPr>
                  <w:bookmarkStart w:id="12" w:name="_Toc24448500"/>
                  <w:r>
                    <w:rPr>
                      <w:color w:val="auto"/>
                      <w:sz w:val="21"/>
                      <w:szCs w:val="21"/>
                    </w:rPr>
                    <w:t>一</w:t>
                  </w:r>
                  <w:bookmarkEnd w:id="12"/>
                </w:p>
              </w:tc>
              <w:tc>
                <w:tcPr>
                  <w:tcW w:w="1533" w:type="dxa"/>
                  <w:tcBorders>
                    <w:tl2br w:val="nil"/>
                    <w:tr2bl w:val="nil"/>
                  </w:tcBorders>
                  <w:vAlign w:val="center"/>
                </w:tcPr>
                <w:p w14:paraId="78A4858D">
                  <w:pPr>
                    <w:pStyle w:val="2"/>
                    <w:jc w:val="center"/>
                    <w:rPr>
                      <w:color w:val="auto"/>
                      <w:sz w:val="21"/>
                      <w:szCs w:val="21"/>
                    </w:rPr>
                  </w:pPr>
                  <w:bookmarkStart w:id="13" w:name="_Toc24448501"/>
                  <w:r>
                    <w:rPr>
                      <w:color w:val="auto"/>
                      <w:sz w:val="21"/>
                      <w:szCs w:val="21"/>
                    </w:rPr>
                    <w:t>二</w:t>
                  </w:r>
                  <w:bookmarkEnd w:id="13"/>
                </w:p>
              </w:tc>
              <w:tc>
                <w:tcPr>
                  <w:tcW w:w="1533" w:type="dxa"/>
                  <w:tcBorders>
                    <w:tl2br w:val="nil"/>
                    <w:tr2bl w:val="nil"/>
                  </w:tcBorders>
                  <w:vAlign w:val="center"/>
                </w:tcPr>
                <w:p w14:paraId="24B6F478">
                  <w:pPr>
                    <w:pStyle w:val="2"/>
                    <w:jc w:val="center"/>
                    <w:rPr>
                      <w:color w:val="auto"/>
                      <w:sz w:val="21"/>
                      <w:szCs w:val="21"/>
                    </w:rPr>
                  </w:pPr>
                  <w:bookmarkStart w:id="14" w:name="_Toc24448502"/>
                  <w:r>
                    <w:rPr>
                      <w:color w:val="auto"/>
                      <w:sz w:val="21"/>
                      <w:szCs w:val="21"/>
                    </w:rPr>
                    <w:t>三</w:t>
                  </w:r>
                  <w:bookmarkEnd w:id="14"/>
                </w:p>
              </w:tc>
              <w:tc>
                <w:tcPr>
                  <w:tcW w:w="1534" w:type="dxa"/>
                  <w:tcBorders>
                    <w:tl2br w:val="nil"/>
                    <w:tr2bl w:val="nil"/>
                  </w:tcBorders>
                  <w:vAlign w:val="center"/>
                </w:tcPr>
                <w:p w14:paraId="627EE100">
                  <w:pPr>
                    <w:pStyle w:val="2"/>
                    <w:jc w:val="center"/>
                    <w:rPr>
                      <w:color w:val="auto"/>
                      <w:sz w:val="21"/>
                      <w:szCs w:val="21"/>
                    </w:rPr>
                  </w:pPr>
                  <w:bookmarkStart w:id="15" w:name="_Toc24448503"/>
                  <w:r>
                    <w:rPr>
                      <w:color w:val="auto"/>
                      <w:sz w:val="21"/>
                      <w:szCs w:val="21"/>
                    </w:rPr>
                    <w:t>简单分析a</w:t>
                  </w:r>
                  <w:bookmarkEnd w:id="15"/>
                </w:p>
              </w:tc>
            </w:tr>
            <w:tr w14:paraId="036DA16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22" w:hRule="atLeast"/>
              </w:trPr>
              <w:tc>
                <w:tcPr>
                  <w:tcW w:w="7666" w:type="dxa"/>
                  <w:gridSpan w:val="5"/>
                  <w:tcBorders>
                    <w:tl2br w:val="nil"/>
                    <w:tr2bl w:val="nil"/>
                  </w:tcBorders>
                  <w:vAlign w:val="center"/>
                </w:tcPr>
                <w:p w14:paraId="4ACF63EA">
                  <w:pPr>
                    <w:pStyle w:val="2"/>
                    <w:jc w:val="left"/>
                    <w:rPr>
                      <w:color w:val="auto"/>
                      <w:sz w:val="21"/>
                      <w:szCs w:val="21"/>
                    </w:rPr>
                  </w:pPr>
                  <w:bookmarkStart w:id="16" w:name="_Toc24448504"/>
                  <w:r>
                    <w:rPr>
                      <w:color w:val="auto"/>
                      <w:sz w:val="21"/>
                      <w:szCs w:val="21"/>
                    </w:rPr>
                    <w:t>a是相对于详细评价工作内容而言，在描述危险物质、环境影响途径、环境危害后果、风险防范措施等方面给出定性说明。见附录A。</w:t>
                  </w:r>
                  <w:bookmarkEnd w:id="16"/>
                </w:p>
              </w:tc>
            </w:tr>
          </w:tbl>
          <w:p w14:paraId="3CB3EB0F">
            <w:pPr>
              <w:pStyle w:val="42"/>
              <w:rPr>
                <w:color w:val="auto"/>
              </w:rPr>
            </w:pPr>
            <w:r>
              <w:rPr>
                <w:color w:val="auto"/>
              </w:rPr>
              <w:t>项目所涉及的每种危险物质在厂界内的最大存在总量与对应临界量的比值为Q，当只涉及一种危险物质时，计算该物质的总量与其临界量比值，当存在多种危险物质时，按下列公式计算Q值：</w:t>
            </w:r>
          </w:p>
          <w:p w14:paraId="08484EF7">
            <w:pPr>
              <w:pStyle w:val="42"/>
              <w:jc w:val="center"/>
              <w:rPr>
                <w:color w:val="auto"/>
                <w:kern w:val="0"/>
                <w:szCs w:val="24"/>
              </w:rPr>
            </w:pPr>
            <w:r>
              <w:rPr>
                <w:color w:val="auto"/>
                <w:kern w:val="0"/>
                <w:szCs w:val="24"/>
              </w:rPr>
              <w:drawing>
                <wp:inline distT="0" distB="0" distL="114300" distR="114300">
                  <wp:extent cx="1740535" cy="457200"/>
                  <wp:effectExtent l="0" t="0" r="12065" b="0"/>
                  <wp:docPr id="14" name="图片 5" descr="说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说明: 1"/>
                          <pic:cNvPicPr>
                            <a:picLocks noChangeAspect="1"/>
                          </pic:cNvPicPr>
                        </pic:nvPicPr>
                        <pic:blipFill>
                          <a:blip r:embed="rId30"/>
                          <a:stretch>
                            <a:fillRect/>
                          </a:stretch>
                        </pic:blipFill>
                        <pic:spPr>
                          <a:xfrm>
                            <a:off x="0" y="0"/>
                            <a:ext cx="1740535" cy="457200"/>
                          </a:xfrm>
                          <a:prstGeom prst="rect">
                            <a:avLst/>
                          </a:prstGeom>
                          <a:noFill/>
                          <a:ln>
                            <a:noFill/>
                          </a:ln>
                        </pic:spPr>
                      </pic:pic>
                    </a:graphicData>
                  </a:graphic>
                </wp:inline>
              </w:drawing>
            </w:r>
          </w:p>
          <w:p w14:paraId="1D36750C">
            <w:pPr>
              <w:pStyle w:val="42"/>
              <w:rPr>
                <w:color w:val="auto"/>
              </w:rPr>
            </w:pPr>
            <w:r>
              <w:rPr>
                <w:color w:val="auto"/>
              </w:rPr>
              <w:t>式中：q</w:t>
            </w:r>
            <w:r>
              <w:rPr>
                <w:color w:val="auto"/>
                <w:vertAlign w:val="subscript"/>
              </w:rPr>
              <w:t>1</w:t>
            </w:r>
            <w:r>
              <w:rPr>
                <w:color w:val="auto"/>
              </w:rPr>
              <w:t>，q</w:t>
            </w:r>
            <w:r>
              <w:rPr>
                <w:color w:val="auto"/>
                <w:vertAlign w:val="subscript"/>
              </w:rPr>
              <w:t>2</w:t>
            </w:r>
            <w:r>
              <w:rPr>
                <w:color w:val="auto"/>
              </w:rPr>
              <w:t>，…qn—每种危险物质的最大存在总量，t；</w:t>
            </w:r>
          </w:p>
          <w:p w14:paraId="655E3FFF">
            <w:pPr>
              <w:pStyle w:val="42"/>
              <w:rPr>
                <w:color w:val="auto"/>
              </w:rPr>
            </w:pPr>
            <w:r>
              <w:rPr>
                <w:color w:val="auto"/>
              </w:rPr>
              <w:t>Q</w:t>
            </w:r>
            <w:r>
              <w:rPr>
                <w:color w:val="auto"/>
                <w:vertAlign w:val="subscript"/>
              </w:rPr>
              <w:t>1</w:t>
            </w:r>
            <w:r>
              <w:rPr>
                <w:color w:val="auto"/>
              </w:rPr>
              <w:t>，Q</w:t>
            </w:r>
            <w:r>
              <w:rPr>
                <w:color w:val="auto"/>
                <w:vertAlign w:val="subscript"/>
              </w:rPr>
              <w:t>2</w:t>
            </w:r>
            <w:r>
              <w:rPr>
                <w:color w:val="auto"/>
              </w:rPr>
              <w:t>，…Qn—每种物质的临界量，t。可在HJ169-2018中附录B中查询。</w:t>
            </w:r>
          </w:p>
          <w:p w14:paraId="16A97FE4">
            <w:pPr>
              <w:pStyle w:val="42"/>
              <w:rPr>
                <w:color w:val="auto"/>
              </w:rPr>
            </w:pPr>
            <w:r>
              <w:rPr>
                <w:color w:val="auto"/>
              </w:rPr>
              <w:t>当Q＜1时，该项目环境风险潜势为Ⅰ。</w:t>
            </w:r>
          </w:p>
          <w:p w14:paraId="28A0C0F0">
            <w:pPr>
              <w:pStyle w:val="42"/>
              <w:rPr>
                <w:color w:val="auto"/>
              </w:rPr>
            </w:pPr>
            <w:r>
              <w:rPr>
                <w:color w:val="auto"/>
              </w:rPr>
              <w:t>当Q≥1时，将Q值划分为：（1）1＜≤Q＜10；（2）10≤Q＜100；（3）Q≥100。</w:t>
            </w:r>
          </w:p>
          <w:p w14:paraId="084199F5">
            <w:pPr>
              <w:pStyle w:val="42"/>
              <w:ind w:firstLine="422"/>
              <w:jc w:val="center"/>
              <w:rPr>
                <w:b/>
                <w:bCs/>
                <w:color w:val="auto"/>
                <w:sz w:val="21"/>
                <w:szCs w:val="21"/>
              </w:rPr>
            </w:pPr>
            <w:r>
              <w:rPr>
                <w:b/>
                <w:bCs/>
                <w:color w:val="auto"/>
                <w:sz w:val="21"/>
                <w:szCs w:val="21"/>
              </w:rPr>
              <w:t>表4-</w:t>
            </w:r>
            <w:r>
              <w:rPr>
                <w:rFonts w:hint="eastAsia"/>
                <w:b/>
                <w:bCs/>
                <w:color w:val="auto"/>
                <w:sz w:val="21"/>
                <w:szCs w:val="21"/>
                <w:lang w:val="en-US" w:eastAsia="zh-CN"/>
              </w:rPr>
              <w:t>21本次扩建后江川区医共体总院</w:t>
            </w:r>
            <w:r>
              <w:rPr>
                <w:b/>
                <w:bCs/>
                <w:color w:val="auto"/>
                <w:sz w:val="21"/>
                <w:szCs w:val="21"/>
              </w:rPr>
              <w:t>危险物质储量及临界量一览表</w:t>
            </w:r>
          </w:p>
          <w:tbl>
            <w:tblPr>
              <w:tblStyle w:val="20"/>
              <w:tblW w:w="76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118"/>
              <w:gridCol w:w="1923"/>
              <w:gridCol w:w="1111"/>
              <w:gridCol w:w="1531"/>
            </w:tblGrid>
            <w:tr w14:paraId="14990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47E112A4">
                  <w:pPr>
                    <w:pStyle w:val="42"/>
                    <w:spacing w:line="240" w:lineRule="auto"/>
                    <w:ind w:firstLine="0" w:firstLineChars="0"/>
                    <w:jc w:val="center"/>
                    <w:rPr>
                      <w:b/>
                      <w:bCs/>
                      <w:color w:val="auto"/>
                      <w:sz w:val="21"/>
                      <w:szCs w:val="21"/>
                      <w:highlight w:val="none"/>
                    </w:rPr>
                  </w:pPr>
                  <w:r>
                    <w:rPr>
                      <w:b/>
                      <w:bCs/>
                      <w:color w:val="auto"/>
                      <w:sz w:val="21"/>
                      <w:szCs w:val="21"/>
                      <w:highlight w:val="none"/>
                    </w:rPr>
                    <w:t>原辅料名称</w:t>
                  </w:r>
                </w:p>
              </w:tc>
              <w:tc>
                <w:tcPr>
                  <w:tcW w:w="1118" w:type="dxa"/>
                  <w:vAlign w:val="center"/>
                </w:tcPr>
                <w:p w14:paraId="35C01FF2">
                  <w:pPr>
                    <w:pStyle w:val="42"/>
                    <w:spacing w:line="240" w:lineRule="auto"/>
                    <w:ind w:firstLine="0" w:firstLineChars="0"/>
                    <w:jc w:val="center"/>
                    <w:rPr>
                      <w:b/>
                      <w:bCs/>
                      <w:color w:val="auto"/>
                      <w:sz w:val="21"/>
                      <w:szCs w:val="21"/>
                      <w:highlight w:val="none"/>
                    </w:rPr>
                  </w:pPr>
                  <w:r>
                    <w:rPr>
                      <w:b/>
                      <w:bCs/>
                      <w:color w:val="auto"/>
                      <w:sz w:val="21"/>
                      <w:szCs w:val="21"/>
                      <w:highlight w:val="none"/>
                    </w:rPr>
                    <w:t>年用量t/a</w:t>
                  </w:r>
                </w:p>
              </w:tc>
              <w:tc>
                <w:tcPr>
                  <w:tcW w:w="1923" w:type="dxa"/>
                  <w:vAlign w:val="center"/>
                </w:tcPr>
                <w:p w14:paraId="4559447A">
                  <w:pPr>
                    <w:pStyle w:val="42"/>
                    <w:spacing w:line="240" w:lineRule="auto"/>
                    <w:ind w:firstLine="0" w:firstLineChars="0"/>
                    <w:jc w:val="center"/>
                    <w:rPr>
                      <w:b/>
                      <w:bCs/>
                      <w:color w:val="auto"/>
                      <w:sz w:val="21"/>
                      <w:szCs w:val="21"/>
                      <w:highlight w:val="none"/>
                    </w:rPr>
                  </w:pPr>
                  <w:r>
                    <w:rPr>
                      <w:b/>
                      <w:bCs/>
                      <w:color w:val="auto"/>
                      <w:sz w:val="21"/>
                      <w:szCs w:val="21"/>
                      <w:highlight w:val="none"/>
                    </w:rPr>
                    <w:t>一次最大储存量t</w:t>
                  </w:r>
                </w:p>
              </w:tc>
              <w:tc>
                <w:tcPr>
                  <w:tcW w:w="1111" w:type="dxa"/>
                  <w:vAlign w:val="center"/>
                </w:tcPr>
                <w:p w14:paraId="5B91B614">
                  <w:pPr>
                    <w:pStyle w:val="42"/>
                    <w:spacing w:line="240" w:lineRule="auto"/>
                    <w:ind w:firstLine="0" w:firstLineChars="0"/>
                    <w:jc w:val="center"/>
                    <w:rPr>
                      <w:b/>
                      <w:bCs/>
                      <w:color w:val="auto"/>
                      <w:sz w:val="21"/>
                      <w:szCs w:val="21"/>
                      <w:highlight w:val="none"/>
                    </w:rPr>
                  </w:pPr>
                  <w:r>
                    <w:rPr>
                      <w:b/>
                      <w:bCs/>
                      <w:color w:val="auto"/>
                      <w:sz w:val="21"/>
                      <w:szCs w:val="21"/>
                      <w:highlight w:val="none"/>
                    </w:rPr>
                    <w:t>临界量t</w:t>
                  </w:r>
                </w:p>
              </w:tc>
              <w:tc>
                <w:tcPr>
                  <w:tcW w:w="1531" w:type="dxa"/>
                  <w:vAlign w:val="center"/>
                </w:tcPr>
                <w:p w14:paraId="4C281432">
                  <w:pPr>
                    <w:pStyle w:val="42"/>
                    <w:spacing w:line="240" w:lineRule="auto"/>
                    <w:ind w:firstLine="0" w:firstLineChars="0"/>
                    <w:jc w:val="center"/>
                    <w:rPr>
                      <w:b/>
                      <w:bCs/>
                      <w:color w:val="auto"/>
                      <w:sz w:val="21"/>
                      <w:szCs w:val="21"/>
                      <w:highlight w:val="none"/>
                    </w:rPr>
                  </w:pPr>
                  <w:r>
                    <w:rPr>
                      <w:b/>
                      <w:bCs/>
                      <w:color w:val="auto"/>
                      <w:sz w:val="21"/>
                      <w:szCs w:val="21"/>
                      <w:highlight w:val="none"/>
                    </w:rPr>
                    <w:t>比值(Q)</w:t>
                  </w:r>
                </w:p>
              </w:tc>
            </w:tr>
            <w:tr w14:paraId="79704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968" w:type="dxa"/>
                  <w:vAlign w:val="center"/>
                </w:tcPr>
                <w:p w14:paraId="2D13932B">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含氯消毒片</w:t>
                  </w:r>
                </w:p>
              </w:tc>
              <w:tc>
                <w:tcPr>
                  <w:tcW w:w="1118" w:type="dxa"/>
                  <w:vAlign w:val="center"/>
                </w:tcPr>
                <w:p w14:paraId="03A368BE">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0.03</w:t>
                  </w:r>
                </w:p>
              </w:tc>
              <w:tc>
                <w:tcPr>
                  <w:tcW w:w="1923" w:type="dxa"/>
                  <w:vAlign w:val="center"/>
                </w:tcPr>
                <w:p w14:paraId="7DE34200">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0.006</w:t>
                  </w:r>
                </w:p>
              </w:tc>
              <w:tc>
                <w:tcPr>
                  <w:tcW w:w="1111" w:type="dxa"/>
                  <w:vAlign w:val="center"/>
                </w:tcPr>
                <w:p w14:paraId="0C4992AE">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Merge w:val="restart"/>
                  <w:vAlign w:val="center"/>
                </w:tcPr>
                <w:p w14:paraId="0DF32981">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0.00035</w:t>
                  </w:r>
                </w:p>
              </w:tc>
            </w:tr>
            <w:tr w14:paraId="23364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456CE757">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乙醇</w:t>
                  </w:r>
                </w:p>
              </w:tc>
              <w:tc>
                <w:tcPr>
                  <w:tcW w:w="1118" w:type="dxa"/>
                  <w:vAlign w:val="center"/>
                </w:tcPr>
                <w:p w14:paraId="64F0EEAC">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0.99</w:t>
                  </w:r>
                </w:p>
              </w:tc>
              <w:tc>
                <w:tcPr>
                  <w:tcW w:w="1923" w:type="dxa"/>
                  <w:vAlign w:val="center"/>
                </w:tcPr>
                <w:p w14:paraId="65E293D9">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0.173</w:t>
                  </w:r>
                </w:p>
              </w:tc>
              <w:tc>
                <w:tcPr>
                  <w:tcW w:w="1111" w:type="dxa"/>
                  <w:vAlign w:val="center"/>
                </w:tcPr>
                <w:p w14:paraId="133F1726">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500</w:t>
                  </w:r>
                </w:p>
              </w:tc>
              <w:tc>
                <w:tcPr>
                  <w:tcW w:w="1531" w:type="dxa"/>
                  <w:vMerge w:val="continue"/>
                  <w:vAlign w:val="center"/>
                </w:tcPr>
                <w:p w14:paraId="621585F9">
                  <w:pPr>
                    <w:pStyle w:val="42"/>
                    <w:spacing w:line="240" w:lineRule="auto"/>
                    <w:ind w:firstLine="0" w:firstLineChars="0"/>
                    <w:jc w:val="center"/>
                    <w:rPr>
                      <w:i w:val="0"/>
                      <w:iCs w:val="0"/>
                      <w:color w:val="auto"/>
                      <w:sz w:val="21"/>
                      <w:szCs w:val="21"/>
                      <w:highlight w:val="none"/>
                    </w:rPr>
                  </w:pPr>
                </w:p>
              </w:tc>
            </w:tr>
            <w:tr w14:paraId="7AD81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4251B68B">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氧气</w:t>
                  </w:r>
                </w:p>
              </w:tc>
              <w:tc>
                <w:tcPr>
                  <w:tcW w:w="1118" w:type="dxa"/>
                  <w:vAlign w:val="center"/>
                </w:tcPr>
                <w:p w14:paraId="3C318BD1">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120m</w:t>
                  </w:r>
                  <w:r>
                    <w:rPr>
                      <w:i w:val="0"/>
                      <w:iCs w:val="0"/>
                      <w:color w:val="auto"/>
                      <w:sz w:val="21"/>
                      <w:szCs w:val="21"/>
                      <w:highlight w:val="none"/>
                      <w:vertAlign w:val="superscript"/>
                    </w:rPr>
                    <w:t>3</w:t>
                  </w:r>
                </w:p>
              </w:tc>
              <w:tc>
                <w:tcPr>
                  <w:tcW w:w="1923" w:type="dxa"/>
                  <w:vAlign w:val="center"/>
                </w:tcPr>
                <w:p w14:paraId="084CA253">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20m</w:t>
                  </w:r>
                  <w:r>
                    <w:rPr>
                      <w:i w:val="0"/>
                      <w:iCs w:val="0"/>
                      <w:color w:val="auto"/>
                      <w:sz w:val="21"/>
                      <w:szCs w:val="21"/>
                      <w:highlight w:val="none"/>
                      <w:vertAlign w:val="superscript"/>
                    </w:rPr>
                    <w:t>3</w:t>
                  </w:r>
                </w:p>
              </w:tc>
              <w:tc>
                <w:tcPr>
                  <w:tcW w:w="1111" w:type="dxa"/>
                  <w:vAlign w:val="center"/>
                </w:tcPr>
                <w:p w14:paraId="3772C9D0">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Merge w:val="continue"/>
                  <w:vAlign w:val="center"/>
                </w:tcPr>
                <w:p w14:paraId="16FCCE63">
                  <w:pPr>
                    <w:pStyle w:val="42"/>
                    <w:spacing w:line="240" w:lineRule="auto"/>
                    <w:ind w:firstLine="0" w:firstLineChars="0"/>
                    <w:jc w:val="center"/>
                    <w:rPr>
                      <w:i w:val="0"/>
                      <w:iCs w:val="0"/>
                      <w:color w:val="auto"/>
                      <w:sz w:val="21"/>
                      <w:szCs w:val="21"/>
                      <w:highlight w:val="none"/>
                    </w:rPr>
                  </w:pPr>
                </w:p>
              </w:tc>
            </w:tr>
            <w:tr w14:paraId="4661A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72883B5A">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含氯消毒片</w:t>
                  </w:r>
                </w:p>
              </w:tc>
              <w:tc>
                <w:tcPr>
                  <w:tcW w:w="1118" w:type="dxa"/>
                  <w:vAlign w:val="center"/>
                </w:tcPr>
                <w:p w14:paraId="5DE5CC82">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86瓶</w:t>
                  </w:r>
                </w:p>
              </w:tc>
              <w:tc>
                <w:tcPr>
                  <w:tcW w:w="1923" w:type="dxa"/>
                  <w:vAlign w:val="center"/>
                </w:tcPr>
                <w:p w14:paraId="11877136">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195瓶</w:t>
                  </w:r>
                </w:p>
              </w:tc>
              <w:tc>
                <w:tcPr>
                  <w:tcW w:w="1111" w:type="dxa"/>
                  <w:vAlign w:val="center"/>
                </w:tcPr>
                <w:p w14:paraId="790905EC">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Merge w:val="continue"/>
                  <w:vAlign w:val="center"/>
                </w:tcPr>
                <w:p w14:paraId="4B8FA372">
                  <w:pPr>
                    <w:pStyle w:val="42"/>
                    <w:spacing w:line="240" w:lineRule="auto"/>
                    <w:ind w:firstLine="0" w:firstLineChars="0"/>
                    <w:jc w:val="center"/>
                    <w:rPr>
                      <w:i w:val="0"/>
                      <w:iCs w:val="0"/>
                      <w:color w:val="auto"/>
                      <w:sz w:val="21"/>
                      <w:szCs w:val="21"/>
                      <w:highlight w:val="none"/>
                    </w:rPr>
                  </w:pPr>
                </w:p>
              </w:tc>
            </w:tr>
            <w:tr w14:paraId="366CF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66663E47">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柴油</w:t>
                  </w:r>
                </w:p>
              </w:tc>
              <w:tc>
                <w:tcPr>
                  <w:tcW w:w="1118" w:type="dxa"/>
                  <w:vAlign w:val="center"/>
                </w:tcPr>
                <w:p w14:paraId="6A43A64A">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0.01</w:t>
                  </w:r>
                </w:p>
              </w:tc>
              <w:tc>
                <w:tcPr>
                  <w:tcW w:w="1923" w:type="dxa"/>
                  <w:vAlign w:val="center"/>
                </w:tcPr>
                <w:p w14:paraId="0424ABC8">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0.005</w:t>
                  </w:r>
                </w:p>
              </w:tc>
              <w:tc>
                <w:tcPr>
                  <w:tcW w:w="1111" w:type="dxa"/>
                  <w:vAlign w:val="center"/>
                </w:tcPr>
                <w:p w14:paraId="6CF3DD75">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2500</w:t>
                  </w:r>
                </w:p>
              </w:tc>
              <w:tc>
                <w:tcPr>
                  <w:tcW w:w="1531" w:type="dxa"/>
                  <w:vMerge w:val="restart"/>
                  <w:vAlign w:val="center"/>
                </w:tcPr>
                <w:p w14:paraId="1062F4B9">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0.000002</w:t>
                  </w:r>
                </w:p>
              </w:tc>
            </w:tr>
            <w:tr w14:paraId="53374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5A5FEACD">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邻苯二甲醛消毒液</w:t>
                  </w:r>
                </w:p>
              </w:tc>
              <w:tc>
                <w:tcPr>
                  <w:tcW w:w="1118" w:type="dxa"/>
                  <w:vAlign w:val="center"/>
                </w:tcPr>
                <w:p w14:paraId="2EB5AAEB">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0.025</w:t>
                  </w:r>
                </w:p>
              </w:tc>
              <w:tc>
                <w:tcPr>
                  <w:tcW w:w="1923" w:type="dxa"/>
                  <w:vAlign w:val="center"/>
                </w:tcPr>
                <w:p w14:paraId="04AE15A3">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0.001</w:t>
                  </w:r>
                </w:p>
              </w:tc>
              <w:tc>
                <w:tcPr>
                  <w:tcW w:w="1111" w:type="dxa"/>
                  <w:vAlign w:val="center"/>
                </w:tcPr>
                <w:p w14:paraId="52ED5AD4">
                  <w:pPr>
                    <w:pStyle w:val="42"/>
                    <w:spacing w:line="240" w:lineRule="auto"/>
                    <w:ind w:firstLine="0" w:firstLineChars="0"/>
                    <w:jc w:val="center"/>
                    <w:rPr>
                      <w:rFonts w:hint="eastAsia"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w:t>
                  </w:r>
                </w:p>
              </w:tc>
              <w:tc>
                <w:tcPr>
                  <w:tcW w:w="1531" w:type="dxa"/>
                  <w:vMerge w:val="continue"/>
                  <w:vAlign w:val="center"/>
                </w:tcPr>
                <w:p w14:paraId="0AC7D19F">
                  <w:pPr>
                    <w:pStyle w:val="42"/>
                    <w:spacing w:line="240" w:lineRule="auto"/>
                    <w:ind w:firstLine="0" w:firstLineChars="0"/>
                    <w:jc w:val="center"/>
                    <w:rPr>
                      <w:i w:val="0"/>
                      <w:iCs w:val="0"/>
                      <w:color w:val="auto"/>
                      <w:sz w:val="21"/>
                      <w:szCs w:val="21"/>
                      <w:highlight w:val="none"/>
                    </w:rPr>
                  </w:pPr>
                </w:p>
              </w:tc>
            </w:tr>
            <w:tr w14:paraId="52D78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00291819">
                  <w:pPr>
                    <w:pStyle w:val="42"/>
                    <w:spacing w:line="240" w:lineRule="auto"/>
                    <w:ind w:firstLine="0" w:firstLineChars="0"/>
                    <w:jc w:val="center"/>
                    <w:rPr>
                      <w:rFonts w:hint="default"/>
                      <w:i w:val="0"/>
                      <w:iCs w:val="0"/>
                      <w:color w:val="auto"/>
                      <w:sz w:val="21"/>
                      <w:szCs w:val="21"/>
                      <w:highlight w:val="none"/>
                      <w:lang w:val="en-US" w:eastAsia="zh-CN"/>
                    </w:rPr>
                  </w:pPr>
                  <w:r>
                    <w:rPr>
                      <w:rFonts w:hint="eastAsia"/>
                      <w:i w:val="0"/>
                      <w:iCs w:val="0"/>
                      <w:color w:val="auto"/>
                      <w:sz w:val="21"/>
                      <w:szCs w:val="21"/>
                      <w:highlight w:val="none"/>
                      <w:lang w:val="en-US" w:eastAsia="zh-CN"/>
                    </w:rPr>
                    <w:t>2%甲醛灭菌剂</w:t>
                  </w:r>
                </w:p>
              </w:tc>
              <w:tc>
                <w:tcPr>
                  <w:tcW w:w="1118" w:type="dxa"/>
                  <w:vAlign w:val="center"/>
                </w:tcPr>
                <w:p w14:paraId="54BDE815">
                  <w:pPr>
                    <w:pStyle w:val="42"/>
                    <w:spacing w:line="240" w:lineRule="auto"/>
                    <w:ind w:firstLine="0" w:firstLineChars="0"/>
                    <w:jc w:val="center"/>
                    <w:rPr>
                      <w:rFonts w:hint="default"/>
                      <w:i w:val="0"/>
                      <w:iCs w:val="0"/>
                      <w:color w:val="auto"/>
                      <w:sz w:val="21"/>
                      <w:szCs w:val="21"/>
                      <w:highlight w:val="none"/>
                      <w:lang w:val="en-US" w:eastAsia="zh-CN"/>
                    </w:rPr>
                  </w:pPr>
                  <w:r>
                    <w:rPr>
                      <w:rFonts w:hint="eastAsia"/>
                      <w:i w:val="0"/>
                      <w:iCs w:val="0"/>
                      <w:color w:val="auto"/>
                      <w:sz w:val="21"/>
                      <w:szCs w:val="21"/>
                      <w:highlight w:val="none"/>
                      <w:lang w:val="en-US" w:eastAsia="zh-CN"/>
                    </w:rPr>
                    <w:t>0.05</w:t>
                  </w:r>
                </w:p>
              </w:tc>
              <w:tc>
                <w:tcPr>
                  <w:tcW w:w="1923" w:type="dxa"/>
                  <w:vAlign w:val="center"/>
                </w:tcPr>
                <w:p w14:paraId="6AADD21E">
                  <w:pPr>
                    <w:pStyle w:val="42"/>
                    <w:spacing w:line="240" w:lineRule="auto"/>
                    <w:ind w:firstLine="0" w:firstLineChars="0"/>
                    <w:jc w:val="center"/>
                    <w:rPr>
                      <w:rFonts w:hint="default"/>
                      <w:i w:val="0"/>
                      <w:iCs w:val="0"/>
                      <w:color w:val="auto"/>
                      <w:sz w:val="21"/>
                      <w:szCs w:val="21"/>
                      <w:highlight w:val="none"/>
                      <w:lang w:val="en-US" w:eastAsia="zh-CN"/>
                    </w:rPr>
                  </w:pPr>
                  <w:r>
                    <w:rPr>
                      <w:rFonts w:hint="eastAsia"/>
                      <w:i w:val="0"/>
                      <w:iCs w:val="0"/>
                      <w:color w:val="auto"/>
                      <w:sz w:val="21"/>
                      <w:szCs w:val="21"/>
                      <w:highlight w:val="none"/>
                      <w:lang w:val="en-US" w:eastAsia="zh-CN"/>
                    </w:rPr>
                    <w:t>0.025</w:t>
                  </w:r>
                </w:p>
              </w:tc>
              <w:tc>
                <w:tcPr>
                  <w:tcW w:w="1111" w:type="dxa"/>
                  <w:vAlign w:val="center"/>
                </w:tcPr>
                <w:p w14:paraId="3A26D4FC">
                  <w:pPr>
                    <w:pStyle w:val="42"/>
                    <w:spacing w:line="240" w:lineRule="auto"/>
                    <w:ind w:firstLine="0" w:firstLineChars="0"/>
                    <w:jc w:val="center"/>
                    <w:rPr>
                      <w:rFonts w:hint="eastAsia"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w:t>
                  </w:r>
                </w:p>
              </w:tc>
              <w:tc>
                <w:tcPr>
                  <w:tcW w:w="1531" w:type="dxa"/>
                  <w:vMerge w:val="continue"/>
                  <w:vAlign w:val="center"/>
                </w:tcPr>
                <w:p w14:paraId="3C9B70C3">
                  <w:pPr>
                    <w:pStyle w:val="42"/>
                    <w:spacing w:line="240" w:lineRule="auto"/>
                    <w:ind w:firstLine="0" w:firstLineChars="0"/>
                    <w:jc w:val="center"/>
                    <w:rPr>
                      <w:i w:val="0"/>
                      <w:iCs w:val="0"/>
                      <w:color w:val="auto"/>
                      <w:sz w:val="21"/>
                      <w:szCs w:val="21"/>
                      <w:highlight w:val="none"/>
                    </w:rPr>
                  </w:pPr>
                </w:p>
              </w:tc>
            </w:tr>
            <w:tr w14:paraId="77DB2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968" w:type="dxa"/>
                  <w:vAlign w:val="center"/>
                </w:tcPr>
                <w:p w14:paraId="666E2860">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合计</w:t>
                  </w:r>
                </w:p>
              </w:tc>
              <w:tc>
                <w:tcPr>
                  <w:tcW w:w="1118" w:type="dxa"/>
                  <w:vAlign w:val="center"/>
                </w:tcPr>
                <w:p w14:paraId="576F142C">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923" w:type="dxa"/>
                  <w:vAlign w:val="center"/>
                </w:tcPr>
                <w:p w14:paraId="745501F8">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111" w:type="dxa"/>
                  <w:vAlign w:val="center"/>
                </w:tcPr>
                <w:p w14:paraId="13D08364">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Align w:val="center"/>
                </w:tcPr>
                <w:p w14:paraId="3D0E8EDE">
                  <w:pPr>
                    <w:pStyle w:val="42"/>
                    <w:spacing w:line="240" w:lineRule="auto"/>
                    <w:ind w:firstLine="0" w:firstLineChars="0"/>
                    <w:jc w:val="center"/>
                    <w:rPr>
                      <w:rFonts w:hint="default" w:eastAsia="宋体"/>
                      <w:i w:val="0"/>
                      <w:iCs w:val="0"/>
                      <w:color w:val="auto"/>
                      <w:sz w:val="21"/>
                      <w:szCs w:val="21"/>
                      <w:highlight w:val="none"/>
                      <w:lang w:val="en-US" w:eastAsia="zh-CN"/>
                    </w:rPr>
                  </w:pPr>
                  <w:r>
                    <w:rPr>
                      <w:i w:val="0"/>
                      <w:iCs w:val="0"/>
                      <w:color w:val="auto"/>
                      <w:sz w:val="21"/>
                      <w:szCs w:val="21"/>
                      <w:highlight w:val="none"/>
                    </w:rPr>
                    <w:t>0.000</w:t>
                  </w:r>
                  <w:r>
                    <w:rPr>
                      <w:rFonts w:hint="eastAsia"/>
                      <w:i w:val="0"/>
                      <w:iCs w:val="0"/>
                      <w:color w:val="auto"/>
                      <w:sz w:val="21"/>
                      <w:szCs w:val="21"/>
                      <w:highlight w:val="none"/>
                      <w:lang w:val="en-US" w:eastAsia="zh-CN"/>
                    </w:rPr>
                    <w:t>352</w:t>
                  </w:r>
                </w:p>
              </w:tc>
            </w:tr>
          </w:tbl>
          <w:p w14:paraId="275035E5">
            <w:pPr>
              <w:pStyle w:val="42"/>
              <w:rPr>
                <w:color w:val="auto"/>
              </w:rPr>
            </w:pPr>
            <w:r>
              <w:rPr>
                <w:color w:val="auto"/>
              </w:rPr>
              <w:t>根据《建设项目环境风险评价技术导则》（HJ169－2018）的评价工作级别判断可知，Q＜1，本项目的环境风险潜势为Ⅰ，进行简单分析。</w:t>
            </w:r>
          </w:p>
          <w:p w14:paraId="24C486D8">
            <w:pPr>
              <w:pStyle w:val="42"/>
              <w:ind w:firstLine="422"/>
              <w:jc w:val="center"/>
              <w:rPr>
                <w:b/>
                <w:bCs/>
                <w:color w:val="auto"/>
                <w:sz w:val="21"/>
                <w:szCs w:val="21"/>
              </w:rPr>
            </w:pPr>
            <w:r>
              <w:rPr>
                <w:b/>
                <w:bCs/>
                <w:color w:val="auto"/>
                <w:sz w:val="21"/>
                <w:szCs w:val="21"/>
              </w:rPr>
              <w:t>表4-</w:t>
            </w:r>
            <w:r>
              <w:rPr>
                <w:rFonts w:hint="eastAsia"/>
                <w:b/>
                <w:bCs/>
                <w:color w:val="auto"/>
                <w:sz w:val="21"/>
                <w:szCs w:val="21"/>
                <w:lang w:val="en-US" w:eastAsia="zh-CN"/>
              </w:rPr>
              <w:t>22本次扩建后江城镇卫生院</w:t>
            </w:r>
            <w:r>
              <w:rPr>
                <w:b/>
                <w:bCs/>
                <w:color w:val="auto"/>
                <w:sz w:val="21"/>
                <w:szCs w:val="21"/>
              </w:rPr>
              <w:t>危险物质储量及临界量一览表</w:t>
            </w:r>
          </w:p>
          <w:tbl>
            <w:tblPr>
              <w:tblStyle w:val="20"/>
              <w:tblW w:w="76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118"/>
              <w:gridCol w:w="1923"/>
              <w:gridCol w:w="1111"/>
              <w:gridCol w:w="1531"/>
            </w:tblGrid>
            <w:tr w14:paraId="6A82F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27C73F5A">
                  <w:pPr>
                    <w:pStyle w:val="42"/>
                    <w:spacing w:line="240" w:lineRule="auto"/>
                    <w:ind w:firstLine="0" w:firstLineChars="0"/>
                    <w:jc w:val="center"/>
                    <w:rPr>
                      <w:b/>
                      <w:bCs/>
                      <w:color w:val="auto"/>
                      <w:sz w:val="21"/>
                      <w:szCs w:val="21"/>
                      <w:highlight w:val="none"/>
                    </w:rPr>
                  </w:pPr>
                  <w:r>
                    <w:rPr>
                      <w:b/>
                      <w:bCs/>
                      <w:color w:val="auto"/>
                      <w:sz w:val="21"/>
                      <w:szCs w:val="21"/>
                      <w:highlight w:val="none"/>
                    </w:rPr>
                    <w:t>原辅料名称</w:t>
                  </w:r>
                </w:p>
              </w:tc>
              <w:tc>
                <w:tcPr>
                  <w:tcW w:w="1118" w:type="dxa"/>
                  <w:vAlign w:val="center"/>
                </w:tcPr>
                <w:p w14:paraId="67EC9704">
                  <w:pPr>
                    <w:pStyle w:val="42"/>
                    <w:spacing w:line="240" w:lineRule="auto"/>
                    <w:ind w:firstLine="0" w:firstLineChars="0"/>
                    <w:jc w:val="center"/>
                    <w:rPr>
                      <w:b/>
                      <w:bCs/>
                      <w:color w:val="auto"/>
                      <w:sz w:val="21"/>
                      <w:szCs w:val="21"/>
                      <w:highlight w:val="none"/>
                    </w:rPr>
                  </w:pPr>
                  <w:r>
                    <w:rPr>
                      <w:b/>
                      <w:bCs/>
                      <w:color w:val="auto"/>
                      <w:sz w:val="21"/>
                      <w:szCs w:val="21"/>
                      <w:highlight w:val="none"/>
                    </w:rPr>
                    <w:t>年用量t/a</w:t>
                  </w:r>
                </w:p>
              </w:tc>
              <w:tc>
                <w:tcPr>
                  <w:tcW w:w="1923" w:type="dxa"/>
                  <w:vAlign w:val="center"/>
                </w:tcPr>
                <w:p w14:paraId="4499A633">
                  <w:pPr>
                    <w:pStyle w:val="42"/>
                    <w:spacing w:line="240" w:lineRule="auto"/>
                    <w:ind w:firstLine="0" w:firstLineChars="0"/>
                    <w:jc w:val="center"/>
                    <w:rPr>
                      <w:b/>
                      <w:bCs/>
                      <w:color w:val="auto"/>
                      <w:sz w:val="21"/>
                      <w:szCs w:val="21"/>
                      <w:highlight w:val="none"/>
                    </w:rPr>
                  </w:pPr>
                  <w:r>
                    <w:rPr>
                      <w:b/>
                      <w:bCs/>
                      <w:color w:val="auto"/>
                      <w:sz w:val="21"/>
                      <w:szCs w:val="21"/>
                      <w:highlight w:val="none"/>
                    </w:rPr>
                    <w:t>一次最大储存量t</w:t>
                  </w:r>
                </w:p>
              </w:tc>
              <w:tc>
                <w:tcPr>
                  <w:tcW w:w="1111" w:type="dxa"/>
                  <w:vAlign w:val="center"/>
                </w:tcPr>
                <w:p w14:paraId="24EA84AD">
                  <w:pPr>
                    <w:pStyle w:val="42"/>
                    <w:spacing w:line="240" w:lineRule="auto"/>
                    <w:ind w:firstLine="0" w:firstLineChars="0"/>
                    <w:jc w:val="center"/>
                    <w:rPr>
                      <w:b/>
                      <w:bCs/>
                      <w:color w:val="auto"/>
                      <w:sz w:val="21"/>
                      <w:szCs w:val="21"/>
                      <w:highlight w:val="none"/>
                    </w:rPr>
                  </w:pPr>
                  <w:r>
                    <w:rPr>
                      <w:b/>
                      <w:bCs/>
                      <w:color w:val="auto"/>
                      <w:sz w:val="21"/>
                      <w:szCs w:val="21"/>
                      <w:highlight w:val="none"/>
                    </w:rPr>
                    <w:t>临界量t</w:t>
                  </w:r>
                </w:p>
              </w:tc>
              <w:tc>
                <w:tcPr>
                  <w:tcW w:w="1531" w:type="dxa"/>
                  <w:vAlign w:val="center"/>
                </w:tcPr>
                <w:p w14:paraId="16D3BC43">
                  <w:pPr>
                    <w:pStyle w:val="42"/>
                    <w:spacing w:line="240" w:lineRule="auto"/>
                    <w:ind w:firstLine="0" w:firstLineChars="0"/>
                    <w:jc w:val="center"/>
                    <w:rPr>
                      <w:b/>
                      <w:bCs/>
                      <w:color w:val="auto"/>
                      <w:sz w:val="21"/>
                      <w:szCs w:val="21"/>
                      <w:highlight w:val="none"/>
                    </w:rPr>
                  </w:pPr>
                  <w:r>
                    <w:rPr>
                      <w:b/>
                      <w:bCs/>
                      <w:color w:val="auto"/>
                      <w:sz w:val="21"/>
                      <w:szCs w:val="21"/>
                      <w:highlight w:val="none"/>
                    </w:rPr>
                    <w:t>比值(Q)</w:t>
                  </w:r>
                </w:p>
              </w:tc>
            </w:tr>
            <w:tr w14:paraId="414DE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968" w:type="dxa"/>
                  <w:vAlign w:val="center"/>
                </w:tcPr>
                <w:p w14:paraId="439E8689">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含氯消毒片</w:t>
                  </w:r>
                </w:p>
              </w:tc>
              <w:tc>
                <w:tcPr>
                  <w:tcW w:w="1118" w:type="dxa"/>
                  <w:vAlign w:val="center"/>
                </w:tcPr>
                <w:p w14:paraId="2AC86E5A">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0.03</w:t>
                  </w:r>
                </w:p>
              </w:tc>
              <w:tc>
                <w:tcPr>
                  <w:tcW w:w="1923" w:type="dxa"/>
                  <w:vAlign w:val="center"/>
                </w:tcPr>
                <w:p w14:paraId="5BF1F5C1">
                  <w:pPr>
                    <w:pStyle w:val="42"/>
                    <w:spacing w:line="240" w:lineRule="auto"/>
                    <w:ind w:firstLine="0" w:firstLineChars="0"/>
                    <w:jc w:val="center"/>
                    <w:rPr>
                      <w:rFonts w:hint="eastAsia" w:eastAsia="宋体"/>
                      <w:i w:val="0"/>
                      <w:iCs w:val="0"/>
                      <w:color w:val="auto"/>
                      <w:sz w:val="21"/>
                      <w:szCs w:val="21"/>
                      <w:highlight w:val="none"/>
                      <w:lang w:eastAsia="zh-CN"/>
                    </w:rPr>
                  </w:pPr>
                  <w:r>
                    <w:rPr>
                      <w:i w:val="0"/>
                      <w:iCs w:val="0"/>
                      <w:color w:val="auto"/>
                      <w:sz w:val="21"/>
                      <w:szCs w:val="21"/>
                      <w:highlight w:val="none"/>
                    </w:rPr>
                    <w:t>0.00</w:t>
                  </w:r>
                  <w:r>
                    <w:rPr>
                      <w:rFonts w:hint="eastAsia"/>
                      <w:i w:val="0"/>
                      <w:iCs w:val="0"/>
                      <w:color w:val="auto"/>
                      <w:sz w:val="21"/>
                      <w:szCs w:val="21"/>
                      <w:highlight w:val="none"/>
                      <w:lang w:val="en-US" w:eastAsia="zh-CN"/>
                    </w:rPr>
                    <w:t>3</w:t>
                  </w:r>
                </w:p>
              </w:tc>
              <w:tc>
                <w:tcPr>
                  <w:tcW w:w="1111" w:type="dxa"/>
                  <w:vAlign w:val="center"/>
                </w:tcPr>
                <w:p w14:paraId="2D764567">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Merge w:val="restart"/>
                  <w:vAlign w:val="center"/>
                </w:tcPr>
                <w:p w14:paraId="23B9FB68">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0.00035</w:t>
                  </w:r>
                </w:p>
              </w:tc>
            </w:tr>
            <w:tr w14:paraId="12BA8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10E52359">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乙醇</w:t>
                  </w:r>
                </w:p>
              </w:tc>
              <w:tc>
                <w:tcPr>
                  <w:tcW w:w="1118" w:type="dxa"/>
                  <w:vAlign w:val="center"/>
                </w:tcPr>
                <w:p w14:paraId="2D5D3A8D">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0.078</w:t>
                  </w:r>
                </w:p>
              </w:tc>
              <w:tc>
                <w:tcPr>
                  <w:tcW w:w="1923" w:type="dxa"/>
                  <w:vAlign w:val="center"/>
                </w:tcPr>
                <w:p w14:paraId="46BC97F8">
                  <w:pPr>
                    <w:pStyle w:val="42"/>
                    <w:spacing w:line="240" w:lineRule="auto"/>
                    <w:ind w:firstLine="0" w:firstLineChars="0"/>
                    <w:jc w:val="center"/>
                    <w:rPr>
                      <w:rFonts w:hint="default" w:eastAsia="宋体"/>
                      <w:i w:val="0"/>
                      <w:iCs w:val="0"/>
                      <w:color w:val="auto"/>
                      <w:sz w:val="21"/>
                      <w:szCs w:val="21"/>
                      <w:highlight w:val="none"/>
                      <w:lang w:val="en-US" w:eastAsia="zh-CN"/>
                    </w:rPr>
                  </w:pPr>
                  <w:r>
                    <w:rPr>
                      <w:rFonts w:hint="eastAsia"/>
                      <w:i w:val="0"/>
                      <w:iCs w:val="0"/>
                      <w:color w:val="auto"/>
                      <w:sz w:val="21"/>
                      <w:szCs w:val="21"/>
                      <w:highlight w:val="none"/>
                      <w:lang w:val="en-US" w:eastAsia="zh-CN"/>
                    </w:rPr>
                    <w:t>0.173</w:t>
                  </w:r>
                </w:p>
              </w:tc>
              <w:tc>
                <w:tcPr>
                  <w:tcW w:w="1111" w:type="dxa"/>
                  <w:vAlign w:val="center"/>
                </w:tcPr>
                <w:p w14:paraId="0C3E6538">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500</w:t>
                  </w:r>
                </w:p>
              </w:tc>
              <w:tc>
                <w:tcPr>
                  <w:tcW w:w="1531" w:type="dxa"/>
                  <w:vMerge w:val="continue"/>
                  <w:vAlign w:val="center"/>
                </w:tcPr>
                <w:p w14:paraId="4BB19EB9">
                  <w:pPr>
                    <w:pStyle w:val="42"/>
                    <w:spacing w:line="240" w:lineRule="auto"/>
                    <w:ind w:firstLine="0" w:firstLineChars="0"/>
                    <w:jc w:val="center"/>
                    <w:rPr>
                      <w:i w:val="0"/>
                      <w:iCs w:val="0"/>
                      <w:color w:val="auto"/>
                      <w:sz w:val="21"/>
                      <w:szCs w:val="21"/>
                      <w:highlight w:val="none"/>
                    </w:rPr>
                  </w:pPr>
                </w:p>
              </w:tc>
            </w:tr>
            <w:tr w14:paraId="26D23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4559EA85">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氧气</w:t>
                  </w:r>
                </w:p>
              </w:tc>
              <w:tc>
                <w:tcPr>
                  <w:tcW w:w="1118" w:type="dxa"/>
                  <w:vAlign w:val="center"/>
                </w:tcPr>
                <w:p w14:paraId="788384D8">
                  <w:pPr>
                    <w:pStyle w:val="42"/>
                    <w:spacing w:line="240" w:lineRule="auto"/>
                    <w:ind w:firstLine="0" w:firstLineChars="0"/>
                    <w:jc w:val="center"/>
                    <w:rPr>
                      <w:i w:val="0"/>
                      <w:iCs w:val="0"/>
                      <w:color w:val="auto"/>
                      <w:sz w:val="21"/>
                      <w:szCs w:val="21"/>
                      <w:highlight w:val="none"/>
                    </w:rPr>
                  </w:pPr>
                  <w:r>
                    <w:rPr>
                      <w:rFonts w:hint="eastAsia"/>
                      <w:i w:val="0"/>
                      <w:iCs w:val="0"/>
                      <w:color w:val="auto"/>
                      <w:sz w:val="21"/>
                      <w:szCs w:val="21"/>
                      <w:highlight w:val="none"/>
                      <w:lang w:val="en-US" w:eastAsia="zh-CN"/>
                    </w:rPr>
                    <w:t>100</w:t>
                  </w:r>
                  <w:r>
                    <w:rPr>
                      <w:i w:val="0"/>
                      <w:iCs w:val="0"/>
                      <w:color w:val="auto"/>
                      <w:sz w:val="21"/>
                      <w:szCs w:val="21"/>
                      <w:highlight w:val="none"/>
                    </w:rPr>
                    <w:t>m</w:t>
                  </w:r>
                  <w:r>
                    <w:rPr>
                      <w:i w:val="0"/>
                      <w:iCs w:val="0"/>
                      <w:color w:val="auto"/>
                      <w:sz w:val="21"/>
                      <w:szCs w:val="21"/>
                      <w:highlight w:val="none"/>
                      <w:vertAlign w:val="superscript"/>
                    </w:rPr>
                    <w:t>3</w:t>
                  </w:r>
                </w:p>
              </w:tc>
              <w:tc>
                <w:tcPr>
                  <w:tcW w:w="1923" w:type="dxa"/>
                  <w:vAlign w:val="center"/>
                </w:tcPr>
                <w:p w14:paraId="5527F061">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20m</w:t>
                  </w:r>
                  <w:r>
                    <w:rPr>
                      <w:i w:val="0"/>
                      <w:iCs w:val="0"/>
                      <w:color w:val="auto"/>
                      <w:sz w:val="21"/>
                      <w:szCs w:val="21"/>
                      <w:highlight w:val="none"/>
                      <w:vertAlign w:val="superscript"/>
                    </w:rPr>
                    <w:t>3</w:t>
                  </w:r>
                </w:p>
              </w:tc>
              <w:tc>
                <w:tcPr>
                  <w:tcW w:w="1111" w:type="dxa"/>
                  <w:vAlign w:val="center"/>
                </w:tcPr>
                <w:p w14:paraId="34B9E421">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Merge w:val="continue"/>
                  <w:vAlign w:val="center"/>
                </w:tcPr>
                <w:p w14:paraId="3AF27225">
                  <w:pPr>
                    <w:pStyle w:val="42"/>
                    <w:spacing w:line="240" w:lineRule="auto"/>
                    <w:ind w:firstLine="0" w:firstLineChars="0"/>
                    <w:jc w:val="center"/>
                    <w:rPr>
                      <w:i w:val="0"/>
                      <w:iCs w:val="0"/>
                      <w:color w:val="auto"/>
                      <w:sz w:val="21"/>
                      <w:szCs w:val="21"/>
                      <w:highlight w:val="none"/>
                    </w:rPr>
                  </w:pPr>
                </w:p>
              </w:tc>
            </w:tr>
            <w:tr w14:paraId="27CE2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68" w:type="dxa"/>
                  <w:vAlign w:val="center"/>
                </w:tcPr>
                <w:p w14:paraId="2CB4D9C5">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柴油</w:t>
                  </w:r>
                </w:p>
              </w:tc>
              <w:tc>
                <w:tcPr>
                  <w:tcW w:w="1118" w:type="dxa"/>
                  <w:vAlign w:val="center"/>
                </w:tcPr>
                <w:p w14:paraId="65488B03">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0.01</w:t>
                  </w:r>
                </w:p>
              </w:tc>
              <w:tc>
                <w:tcPr>
                  <w:tcW w:w="1923" w:type="dxa"/>
                  <w:vAlign w:val="center"/>
                </w:tcPr>
                <w:p w14:paraId="25FAA51C">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0.005</w:t>
                  </w:r>
                </w:p>
              </w:tc>
              <w:tc>
                <w:tcPr>
                  <w:tcW w:w="1111" w:type="dxa"/>
                  <w:vAlign w:val="center"/>
                </w:tcPr>
                <w:p w14:paraId="59B6F820">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2500</w:t>
                  </w:r>
                </w:p>
              </w:tc>
              <w:tc>
                <w:tcPr>
                  <w:tcW w:w="1531" w:type="dxa"/>
                  <w:vAlign w:val="center"/>
                </w:tcPr>
                <w:p w14:paraId="26A4667B">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0.000002</w:t>
                  </w:r>
                </w:p>
              </w:tc>
            </w:tr>
            <w:tr w14:paraId="13CDE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968" w:type="dxa"/>
                  <w:vAlign w:val="center"/>
                </w:tcPr>
                <w:p w14:paraId="1B624830">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合计</w:t>
                  </w:r>
                </w:p>
              </w:tc>
              <w:tc>
                <w:tcPr>
                  <w:tcW w:w="1118" w:type="dxa"/>
                  <w:vAlign w:val="center"/>
                </w:tcPr>
                <w:p w14:paraId="66BA0FDF">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923" w:type="dxa"/>
                  <w:vAlign w:val="center"/>
                </w:tcPr>
                <w:p w14:paraId="252E8C22">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111" w:type="dxa"/>
                  <w:vAlign w:val="center"/>
                </w:tcPr>
                <w:p w14:paraId="6683C003">
                  <w:pPr>
                    <w:pStyle w:val="42"/>
                    <w:spacing w:line="240" w:lineRule="auto"/>
                    <w:ind w:firstLine="0" w:firstLineChars="0"/>
                    <w:jc w:val="center"/>
                    <w:rPr>
                      <w:i w:val="0"/>
                      <w:iCs w:val="0"/>
                      <w:color w:val="auto"/>
                      <w:sz w:val="21"/>
                      <w:szCs w:val="21"/>
                      <w:highlight w:val="none"/>
                    </w:rPr>
                  </w:pPr>
                  <w:r>
                    <w:rPr>
                      <w:i w:val="0"/>
                      <w:iCs w:val="0"/>
                      <w:color w:val="auto"/>
                      <w:sz w:val="21"/>
                      <w:szCs w:val="21"/>
                      <w:highlight w:val="none"/>
                    </w:rPr>
                    <w:t>/</w:t>
                  </w:r>
                </w:p>
              </w:tc>
              <w:tc>
                <w:tcPr>
                  <w:tcW w:w="1531" w:type="dxa"/>
                  <w:vAlign w:val="center"/>
                </w:tcPr>
                <w:p w14:paraId="5D05E414">
                  <w:pPr>
                    <w:pStyle w:val="42"/>
                    <w:spacing w:line="240" w:lineRule="auto"/>
                    <w:ind w:firstLine="0" w:firstLineChars="0"/>
                    <w:jc w:val="center"/>
                    <w:rPr>
                      <w:rFonts w:hint="default" w:eastAsia="宋体"/>
                      <w:i w:val="0"/>
                      <w:iCs w:val="0"/>
                      <w:color w:val="auto"/>
                      <w:sz w:val="21"/>
                      <w:szCs w:val="21"/>
                      <w:highlight w:val="none"/>
                      <w:lang w:val="en-US" w:eastAsia="zh-CN"/>
                    </w:rPr>
                  </w:pPr>
                  <w:r>
                    <w:rPr>
                      <w:i w:val="0"/>
                      <w:iCs w:val="0"/>
                      <w:color w:val="auto"/>
                      <w:sz w:val="21"/>
                      <w:szCs w:val="21"/>
                      <w:highlight w:val="none"/>
                    </w:rPr>
                    <w:t>0.000</w:t>
                  </w:r>
                  <w:r>
                    <w:rPr>
                      <w:rFonts w:hint="eastAsia"/>
                      <w:i w:val="0"/>
                      <w:iCs w:val="0"/>
                      <w:color w:val="auto"/>
                      <w:sz w:val="21"/>
                      <w:szCs w:val="21"/>
                      <w:highlight w:val="none"/>
                      <w:lang w:val="en-US" w:eastAsia="zh-CN"/>
                    </w:rPr>
                    <w:t>352</w:t>
                  </w:r>
                </w:p>
              </w:tc>
            </w:tr>
          </w:tbl>
          <w:p w14:paraId="34262BF4">
            <w:pPr>
              <w:pStyle w:val="42"/>
              <w:rPr>
                <w:color w:val="auto"/>
              </w:rPr>
            </w:pPr>
            <w:r>
              <w:rPr>
                <w:color w:val="auto"/>
              </w:rPr>
              <w:t>根据《建设项目环境风险评价技术导则》（HJ169－2018）的评价工作级别判断可知，Q＜1，本项目的环境风险潜势为Ⅰ，进行简单分析。</w:t>
            </w:r>
          </w:p>
          <w:p w14:paraId="34ED3C9D">
            <w:pPr>
              <w:pStyle w:val="42"/>
              <w:rPr>
                <w:color w:val="auto"/>
              </w:rPr>
            </w:pPr>
            <w:r>
              <w:rPr>
                <w:color w:val="auto"/>
              </w:rPr>
              <w:t>（3）环境影响及污染途径</w:t>
            </w:r>
          </w:p>
          <w:p w14:paraId="506F0C26">
            <w:pPr>
              <w:pStyle w:val="42"/>
              <w:rPr>
                <w:color w:val="auto"/>
              </w:rPr>
            </w:pPr>
            <w:r>
              <w:rPr>
                <w:color w:val="auto"/>
              </w:rPr>
              <w:t>1）医疗废物储存和运输流失事故危害</w:t>
            </w:r>
          </w:p>
          <w:p w14:paraId="7EA18152">
            <w:pPr>
              <w:pStyle w:val="42"/>
              <w:rPr>
                <w:rFonts w:hint="eastAsia" w:eastAsia="宋体"/>
                <w:color w:val="auto"/>
                <w:lang w:eastAsia="zh-CN"/>
              </w:rPr>
            </w:pPr>
            <w:r>
              <w:rPr>
                <w:color w:val="auto"/>
              </w:rPr>
              <w:t>医疗废物含有大量的致病菌、病毒以及较多的化学病毒等，具有极强的传染性、生物病毒和腐蚀性，其病毒、病菌的危害是普通生活垃圾的几十、几百甚至上千倍，对医疗废物的疏忽管理处置不当，不仅会污染环境，还可能导致传染性疾病的流行，直接危害人们的人体健康。医疗垃圾由于携带病菌的数量巨大，种类繁多，具有空间传染、急性传染、交叉传染和潜伏传染等特征，危害较大，具体尾号性有以下几种：</w:t>
            </w:r>
          </w:p>
          <w:p w14:paraId="22BE6CF9">
            <w:pPr>
              <w:pStyle w:val="42"/>
              <w:rPr>
                <w:color w:val="auto"/>
              </w:rPr>
            </w:pPr>
            <w:r>
              <w:rPr>
                <w:rFonts w:hint="eastAsia" w:ascii="宋体" w:hAnsi="宋体" w:cs="宋体"/>
                <w:color w:val="auto"/>
              </w:rPr>
              <w:t>①</w:t>
            </w:r>
            <w:r>
              <w:rPr>
                <w:color w:val="auto"/>
              </w:rPr>
              <w:t>物理危害：物理危害主要指来自锐利的物品，如碎玻璃、注射器、一次性手术刀和刀片等。物理危害的问题不在于他们本身造成的伤害，而是入侵了人体的防护屏障，从而使各类病菌进入人体。</w:t>
            </w:r>
          </w:p>
          <w:p w14:paraId="41601692">
            <w:pPr>
              <w:pStyle w:val="42"/>
              <w:rPr>
                <w:color w:val="auto"/>
              </w:rPr>
            </w:pPr>
            <w:r>
              <w:rPr>
                <w:rFonts w:hint="eastAsia" w:ascii="宋体" w:hAnsi="宋体" w:cs="宋体"/>
                <w:color w:val="auto"/>
              </w:rPr>
              <w:t>②</w:t>
            </w:r>
            <w:r>
              <w:rPr>
                <w:color w:val="auto"/>
              </w:rPr>
              <w:tab/>
            </w:r>
            <w:r>
              <w:rPr>
                <w:color w:val="auto"/>
              </w:rPr>
              <w:t>化学危害：包括可燃性、反应性和毒性。</w:t>
            </w:r>
          </w:p>
          <w:p w14:paraId="30D1FDCF">
            <w:pPr>
              <w:pStyle w:val="42"/>
              <w:rPr>
                <w:color w:val="auto"/>
              </w:rPr>
            </w:pPr>
            <w:r>
              <w:rPr>
                <w:rFonts w:hint="eastAsia" w:ascii="宋体" w:hAnsi="宋体" w:cs="宋体"/>
                <w:color w:val="auto"/>
              </w:rPr>
              <w:t>③</w:t>
            </w:r>
            <w:r>
              <w:rPr>
                <w:color w:val="auto"/>
              </w:rPr>
              <w:tab/>
            </w:r>
            <w:r>
              <w:rPr>
                <w:color w:val="auto"/>
              </w:rPr>
              <w:t>微生物危害：医疗废物的微生物危害来自被病菌污染的物质。主要为传染源的培养基和传染病人的废物。</w:t>
            </w:r>
          </w:p>
          <w:p w14:paraId="2C33DE57">
            <w:pPr>
              <w:pStyle w:val="42"/>
              <w:rPr>
                <w:color w:val="auto"/>
              </w:rPr>
            </w:pPr>
            <w:r>
              <w:rPr>
                <w:color w:val="auto"/>
              </w:rPr>
              <w:t>2）危险物质泄漏影响途径</w:t>
            </w:r>
          </w:p>
          <w:p w14:paraId="46F245C5">
            <w:pPr>
              <w:pStyle w:val="42"/>
              <w:rPr>
                <w:color w:val="auto"/>
              </w:rPr>
            </w:pPr>
            <w:r>
              <w:rPr>
                <w:color w:val="auto"/>
              </w:rPr>
              <w:t>乙醇在储存、使用过程中发生泄漏或遇明火发生火灾，燃烧产生次生污染物，对环境空气噪声不利影响。</w:t>
            </w:r>
          </w:p>
          <w:p w14:paraId="3C29EF2F">
            <w:pPr>
              <w:pStyle w:val="42"/>
              <w:rPr>
                <w:color w:val="auto"/>
              </w:rPr>
            </w:pPr>
            <w:r>
              <w:rPr>
                <w:color w:val="auto"/>
              </w:rPr>
              <w:t>次氯酸钠具有挥发性，挥发到空气中分解成HCl，对环境空气有所影响。</w:t>
            </w:r>
          </w:p>
          <w:p w14:paraId="214C3B7B">
            <w:pPr>
              <w:pStyle w:val="42"/>
              <w:rPr>
                <w:color w:val="auto"/>
              </w:rPr>
            </w:pPr>
            <w:r>
              <w:rPr>
                <w:rFonts w:hint="eastAsia"/>
                <w:color w:val="auto"/>
              </w:rPr>
              <w:t>柴油在储存、使用过程中发生泄漏或遇明火发生火灾，燃烧产生次生污染物，对环境空气噪声不利影响。</w:t>
            </w:r>
          </w:p>
          <w:p w14:paraId="60A53B18">
            <w:pPr>
              <w:pStyle w:val="42"/>
              <w:rPr>
                <w:color w:val="auto"/>
              </w:rPr>
            </w:pPr>
            <w:r>
              <w:rPr>
                <w:rFonts w:hint="eastAsia"/>
                <w:color w:val="auto"/>
              </w:rPr>
              <w:t>液氧在储存、使用过程中泄露或爆炸进而引发火灾，燃烧产生次生污染物，对环境空气噪声不利影响。</w:t>
            </w:r>
          </w:p>
          <w:p w14:paraId="31FD7445">
            <w:pPr>
              <w:pStyle w:val="42"/>
              <w:rPr>
                <w:color w:val="auto"/>
              </w:rPr>
            </w:pPr>
            <w:r>
              <w:rPr>
                <w:color w:val="auto"/>
              </w:rPr>
              <w:t>3）废水非正常排放危害</w:t>
            </w:r>
          </w:p>
          <w:p w14:paraId="49BDF56F">
            <w:pPr>
              <w:pStyle w:val="42"/>
              <w:rPr>
                <w:color w:val="auto"/>
              </w:rPr>
            </w:pPr>
            <w:r>
              <w:rPr>
                <w:color w:val="auto"/>
              </w:rPr>
              <w:t>医院的废水中存在各种细菌、病毒和寄生虫卵等。若污水未经处理直排，则废水中含有的各种传染性细菌等病原微生物均没有经过杀毒而进入环境中，将成为一条疫病扩散的重要途径、危害人体健康并对环境有着长远影响；同时，废水中其他污染物未经处理而超标排放，会导致影响接纳污水的污水处理正常运行。</w:t>
            </w:r>
          </w:p>
          <w:p w14:paraId="06A35144">
            <w:pPr>
              <w:pStyle w:val="42"/>
              <w:rPr>
                <w:color w:val="auto"/>
              </w:rPr>
            </w:pPr>
            <w:r>
              <w:rPr>
                <w:color w:val="auto"/>
              </w:rPr>
              <w:t>（4）环境风险防范措施</w:t>
            </w:r>
          </w:p>
          <w:p w14:paraId="10607FB1">
            <w:pPr>
              <w:pStyle w:val="42"/>
              <w:rPr>
                <w:color w:val="auto"/>
                <w:highlight w:val="none"/>
              </w:rPr>
            </w:pPr>
            <w:r>
              <w:rPr>
                <w:color w:val="auto"/>
                <w:highlight w:val="none"/>
              </w:rPr>
              <w:t>1）根据《医院污水处理工程技术规范》（HJ2029-2013）中12.4.1节：医院污水处理工程应设应急事故池，以贮存处理系统事故或其他突发事件医院污水。</w:t>
            </w:r>
            <w:r>
              <w:rPr>
                <w:rFonts w:hint="eastAsia"/>
                <w:color w:val="auto"/>
                <w:highlight w:val="none"/>
                <w:lang w:val="en-US" w:eastAsia="zh-CN"/>
              </w:rPr>
              <w:t>江川区医共体总院</w:t>
            </w:r>
            <w:r>
              <w:rPr>
                <w:color w:val="auto"/>
                <w:highlight w:val="none"/>
              </w:rPr>
              <w:t>已建设75m</w:t>
            </w:r>
            <w:r>
              <w:rPr>
                <w:color w:val="auto"/>
                <w:highlight w:val="none"/>
                <w:vertAlign w:val="superscript"/>
              </w:rPr>
              <w:t>3</w:t>
            </w:r>
            <w:r>
              <w:rPr>
                <w:color w:val="auto"/>
                <w:highlight w:val="none"/>
              </w:rPr>
              <w:t>的事故应急池2个，</w:t>
            </w:r>
            <w:r>
              <w:rPr>
                <w:rFonts w:hint="eastAsia"/>
                <w:color w:val="auto"/>
                <w:highlight w:val="none"/>
                <w:lang w:val="en-US" w:eastAsia="zh-CN"/>
              </w:rPr>
              <w:t>江城卫生院扩建后设有应急事故池1个，</w:t>
            </w:r>
            <w:r>
              <w:rPr>
                <w:color w:val="auto"/>
                <w:highlight w:val="none"/>
              </w:rPr>
              <w:t>污水处理站调节池也可作为应急池，因此符合相关要求。</w:t>
            </w:r>
          </w:p>
          <w:p w14:paraId="0F4DE7AC">
            <w:pPr>
              <w:pStyle w:val="42"/>
              <w:rPr>
                <w:color w:val="auto"/>
              </w:rPr>
            </w:pPr>
            <w:r>
              <w:rPr>
                <w:color w:val="auto"/>
              </w:rPr>
              <w:t>2）配置备用人工投加消毒剂设施，污水处理站故障情况手动投加消毒剂；</w:t>
            </w:r>
          </w:p>
          <w:p w14:paraId="36EA8842">
            <w:pPr>
              <w:pStyle w:val="42"/>
              <w:rPr>
                <w:color w:val="auto"/>
              </w:rPr>
            </w:pPr>
            <w:r>
              <w:rPr>
                <w:rFonts w:hint="eastAsia"/>
                <w:color w:val="auto"/>
              </w:rPr>
              <w:t>3）配备专门的人员定期对备用发电间的发电机及柴油储存设施进行检查；</w:t>
            </w:r>
          </w:p>
          <w:p w14:paraId="34FC3F77">
            <w:pPr>
              <w:pStyle w:val="42"/>
              <w:rPr>
                <w:color w:val="auto"/>
              </w:rPr>
            </w:pPr>
            <w:r>
              <w:rPr>
                <w:rFonts w:hint="eastAsia"/>
                <w:color w:val="auto"/>
              </w:rPr>
              <w:t>4）对液氧储存设施设置泄露报警装置并设专人进行管理，定期检查；</w:t>
            </w:r>
          </w:p>
          <w:p w14:paraId="01C04F7E">
            <w:pPr>
              <w:pStyle w:val="42"/>
              <w:rPr>
                <w:color w:val="auto"/>
              </w:rPr>
            </w:pPr>
            <w:r>
              <w:rPr>
                <w:color w:val="auto"/>
              </w:rPr>
              <w:t>5）项目区内应按满足分区防渗：</w:t>
            </w:r>
          </w:p>
          <w:p w14:paraId="157FE673">
            <w:pPr>
              <w:pStyle w:val="42"/>
              <w:rPr>
                <w:color w:val="auto"/>
                <w:szCs w:val="24"/>
              </w:rPr>
            </w:pPr>
            <w:r>
              <w:rPr>
                <w:rFonts w:hint="eastAsia" w:ascii="宋体" w:hAnsi="宋体" w:cs="宋体"/>
                <w:color w:val="auto"/>
                <w:szCs w:val="24"/>
              </w:rPr>
              <w:t>①</w:t>
            </w:r>
            <w:r>
              <w:rPr>
                <w:color w:val="auto"/>
                <w:szCs w:val="24"/>
              </w:rPr>
              <w:t>重点防渗区：</w:t>
            </w:r>
            <w:r>
              <w:rPr>
                <w:rFonts w:hint="eastAsia"/>
                <w:color w:val="auto"/>
                <w:szCs w:val="24"/>
                <w:lang w:val="en-US" w:eastAsia="zh-CN"/>
              </w:rPr>
              <w:t>医疗</w:t>
            </w:r>
            <w:r>
              <w:rPr>
                <w:color w:val="auto"/>
                <w:szCs w:val="24"/>
              </w:rPr>
              <w:t>废物暂存间，地面采取水泥防渗，铺设2mm厚HDPE膜或其他人工防渗层，渗透系数≤10</w:t>
            </w:r>
            <w:r>
              <w:rPr>
                <w:color w:val="auto"/>
                <w:szCs w:val="24"/>
                <w:vertAlign w:val="superscript"/>
              </w:rPr>
              <w:t>-10</w:t>
            </w:r>
            <w:r>
              <w:rPr>
                <w:color w:val="auto"/>
                <w:szCs w:val="24"/>
              </w:rPr>
              <w:t>cm/s；</w:t>
            </w:r>
          </w:p>
          <w:p w14:paraId="3300BE71">
            <w:pPr>
              <w:pStyle w:val="42"/>
              <w:rPr>
                <w:color w:val="auto"/>
                <w:szCs w:val="24"/>
              </w:rPr>
            </w:pPr>
            <w:r>
              <w:rPr>
                <w:rFonts w:hint="eastAsia" w:ascii="宋体" w:hAnsi="宋体" w:cs="宋体"/>
                <w:color w:val="auto"/>
                <w:szCs w:val="24"/>
              </w:rPr>
              <w:t>②</w:t>
            </w:r>
            <w:r>
              <w:rPr>
                <w:color w:val="auto"/>
                <w:szCs w:val="24"/>
              </w:rPr>
              <w:t>一般防渗区：化粪池、污水处理设施等效黏土防渗层≥1.5m，渗透系数≤10</w:t>
            </w:r>
            <w:r>
              <w:rPr>
                <w:color w:val="auto"/>
                <w:szCs w:val="24"/>
                <w:vertAlign w:val="superscript"/>
              </w:rPr>
              <w:t>-7</w:t>
            </w:r>
            <w:r>
              <w:rPr>
                <w:color w:val="auto"/>
                <w:szCs w:val="24"/>
              </w:rPr>
              <w:t>cm/s；</w:t>
            </w:r>
          </w:p>
          <w:p w14:paraId="61D62AE3">
            <w:pPr>
              <w:pStyle w:val="42"/>
              <w:rPr>
                <w:color w:val="auto"/>
                <w:szCs w:val="24"/>
              </w:rPr>
            </w:pPr>
            <w:r>
              <w:rPr>
                <w:rFonts w:hint="eastAsia" w:ascii="宋体" w:hAnsi="宋体" w:cs="宋体"/>
                <w:color w:val="auto"/>
                <w:szCs w:val="24"/>
              </w:rPr>
              <w:t>③</w:t>
            </w:r>
            <w:r>
              <w:rPr>
                <w:color w:val="auto"/>
                <w:szCs w:val="24"/>
              </w:rPr>
              <w:tab/>
            </w:r>
            <w:r>
              <w:rPr>
                <w:color w:val="auto"/>
                <w:szCs w:val="24"/>
              </w:rPr>
              <w:t>简单防渗区：其他区域进行水泥硬化；</w:t>
            </w:r>
          </w:p>
          <w:p w14:paraId="5BE26618">
            <w:pPr>
              <w:pStyle w:val="42"/>
              <w:rPr>
                <w:color w:val="auto"/>
                <w:szCs w:val="24"/>
              </w:rPr>
            </w:pPr>
            <w:r>
              <w:rPr>
                <w:rFonts w:hint="eastAsia" w:ascii="宋体" w:hAnsi="宋体" w:cs="宋体"/>
                <w:color w:val="auto"/>
                <w:szCs w:val="24"/>
              </w:rPr>
              <w:t>④</w:t>
            </w:r>
            <w:r>
              <w:rPr>
                <w:color w:val="auto"/>
                <w:szCs w:val="24"/>
              </w:rPr>
              <w:tab/>
            </w:r>
            <w:r>
              <w:rPr>
                <w:color w:val="auto"/>
                <w:szCs w:val="24"/>
              </w:rPr>
              <w:t>贮存室配备专业知识的技术人员，库房及场所应设专人管理，管理人员必须配备可靠的个人安全防护用品；原料入库时，应严格检验物品质量、数量、包装情况、有无泄漏；储存室温度、湿度应严格控制、经常检查，发现变化及时调整，并配备相应灭火器；医用酒精储存时远离火种、热源，保持容器密封，并采用防爆型照明、通风设施，禁止使用易产生火花的机械设备和工具。</w:t>
            </w:r>
          </w:p>
          <w:p w14:paraId="14DE2214">
            <w:pPr>
              <w:pStyle w:val="42"/>
              <w:rPr>
                <w:color w:val="auto"/>
                <w:szCs w:val="24"/>
              </w:rPr>
            </w:pPr>
            <w:r>
              <w:rPr>
                <w:rFonts w:hint="eastAsia" w:ascii="宋体" w:hAnsi="宋体" w:cs="宋体"/>
                <w:color w:val="auto"/>
                <w:szCs w:val="24"/>
              </w:rPr>
              <w:t>⑤</w:t>
            </w:r>
            <w:r>
              <w:rPr>
                <w:color w:val="auto"/>
                <w:szCs w:val="24"/>
              </w:rPr>
              <w:t>及时更新突发环境应急预案，并在生态环境部门备案，及时演练。</w:t>
            </w:r>
          </w:p>
          <w:p w14:paraId="699115D3">
            <w:pPr>
              <w:pStyle w:val="42"/>
              <w:rPr>
                <w:color w:val="auto"/>
                <w:szCs w:val="24"/>
              </w:rPr>
            </w:pPr>
            <w:r>
              <w:rPr>
                <w:color w:val="auto"/>
                <w:szCs w:val="24"/>
              </w:rPr>
              <w:t>综上，项目严格遵照执行国家有关规定生产、操作，发生危害事故的几率很小。当发生事故时如能严格落实本报告提出的各项防止环境污染的措施和要求，采取紧急的工程应急措施和社会应急措施，事故产生的影响是可以控制的。</w:t>
            </w:r>
          </w:p>
          <w:p w14:paraId="6C091C96">
            <w:pPr>
              <w:pStyle w:val="42"/>
              <w:numPr>
                <w:ilvl w:val="0"/>
                <w:numId w:val="15"/>
              </w:numPr>
              <w:rPr>
                <w:rFonts w:ascii="Times New Roman" w:hAnsi="Times New Roman" w:eastAsia="宋体" w:cs="Times New Roman"/>
                <w:b/>
                <w:bCs/>
                <w:color w:val="auto"/>
                <w:kern w:val="2"/>
                <w:sz w:val="24"/>
                <w:szCs w:val="22"/>
                <w:lang w:val="en-US" w:eastAsia="zh-CN" w:bidi="ar-SA"/>
              </w:rPr>
            </w:pPr>
            <w:r>
              <w:rPr>
                <w:rFonts w:ascii="Times New Roman" w:hAnsi="Times New Roman" w:eastAsia="宋体" w:cs="Times New Roman"/>
                <w:b/>
                <w:bCs/>
                <w:color w:val="auto"/>
                <w:kern w:val="2"/>
                <w:sz w:val="24"/>
                <w:szCs w:val="22"/>
                <w:lang w:val="en-US" w:eastAsia="zh-CN" w:bidi="ar-SA"/>
              </w:rPr>
              <w:t>环境监测计划</w:t>
            </w:r>
          </w:p>
          <w:p w14:paraId="560992C2">
            <w:pPr>
              <w:ind w:firstLine="422"/>
              <w:jc w:val="center"/>
              <w:rPr>
                <w:b/>
                <w:bCs/>
                <w:color w:val="auto"/>
                <w:sz w:val="21"/>
                <w:szCs w:val="21"/>
              </w:rPr>
            </w:pPr>
            <w:r>
              <w:rPr>
                <w:b/>
                <w:bCs/>
                <w:color w:val="auto"/>
                <w:sz w:val="21"/>
                <w:szCs w:val="21"/>
              </w:rPr>
              <w:t>表 4-</w:t>
            </w:r>
            <w:r>
              <w:rPr>
                <w:rFonts w:hint="eastAsia"/>
                <w:b/>
                <w:bCs/>
                <w:color w:val="auto"/>
                <w:sz w:val="21"/>
                <w:szCs w:val="21"/>
                <w:lang w:val="en-US" w:eastAsia="zh-CN"/>
              </w:rPr>
              <w:t>23江川区医共体总院自行</w:t>
            </w:r>
            <w:r>
              <w:rPr>
                <w:b/>
                <w:bCs/>
                <w:color w:val="auto"/>
                <w:sz w:val="21"/>
                <w:szCs w:val="21"/>
              </w:rPr>
              <w:t>监测计划表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671"/>
              <w:gridCol w:w="671"/>
              <w:gridCol w:w="2850"/>
              <w:gridCol w:w="991"/>
              <w:gridCol w:w="2452"/>
            </w:tblGrid>
            <w:tr w14:paraId="3C786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dxa"/>
                  <w:gridSpan w:val="2"/>
                  <w:vAlign w:val="center"/>
                </w:tcPr>
                <w:p w14:paraId="22EF789A">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类别</w:t>
                  </w:r>
                </w:p>
              </w:tc>
              <w:tc>
                <w:tcPr>
                  <w:tcW w:w="671" w:type="dxa"/>
                  <w:vAlign w:val="center"/>
                </w:tcPr>
                <w:p w14:paraId="3A001337">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监测点位</w:t>
                  </w:r>
                </w:p>
              </w:tc>
              <w:tc>
                <w:tcPr>
                  <w:tcW w:w="2850" w:type="dxa"/>
                  <w:vAlign w:val="center"/>
                </w:tcPr>
                <w:p w14:paraId="3D2F9E55">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监测指标</w:t>
                  </w:r>
                </w:p>
              </w:tc>
              <w:tc>
                <w:tcPr>
                  <w:tcW w:w="991" w:type="dxa"/>
                  <w:vAlign w:val="center"/>
                </w:tcPr>
                <w:p w14:paraId="61648319">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监测频率</w:t>
                  </w:r>
                </w:p>
              </w:tc>
              <w:tc>
                <w:tcPr>
                  <w:tcW w:w="2452" w:type="dxa"/>
                  <w:vAlign w:val="center"/>
                </w:tcPr>
                <w:p w14:paraId="28B51027">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执行标准</w:t>
                  </w:r>
                </w:p>
              </w:tc>
            </w:tr>
            <w:tr w14:paraId="53BF1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37" w:type="dxa"/>
                  <w:vAlign w:val="center"/>
                </w:tcPr>
                <w:p w14:paraId="2F7939C4">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Times New Roman" w:hAnsi="Times New Roman" w:eastAsia="宋体" w:cs="Times New Roman"/>
                      <w:color w:val="auto"/>
                      <w:kern w:val="0"/>
                      <w:sz w:val="21"/>
                      <w:szCs w:val="21"/>
                      <w:lang w:val="en-US" w:eastAsia="zh-CN" w:bidi="ar-SA"/>
                    </w:rPr>
                    <w:t>废气</w:t>
                  </w:r>
                </w:p>
              </w:tc>
              <w:tc>
                <w:tcPr>
                  <w:tcW w:w="671" w:type="dxa"/>
                  <w:textDirection w:val="tbRlV"/>
                  <w:vAlign w:val="center"/>
                </w:tcPr>
                <w:p w14:paraId="7835405D">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color w:val="auto"/>
                      <w:sz w:val="21"/>
                      <w:szCs w:val="21"/>
                    </w:rPr>
                  </w:pPr>
                  <w:r>
                    <w:rPr>
                      <w:rFonts w:hint="eastAsia" w:ascii="Times New Roman" w:hAnsi="Times New Roman" w:eastAsia="宋体" w:cs="Times New Roman"/>
                      <w:color w:val="auto"/>
                      <w:kern w:val="0"/>
                      <w:sz w:val="21"/>
                      <w:szCs w:val="21"/>
                      <w:lang w:val="en-US" w:eastAsia="zh-CN" w:bidi="ar-SA"/>
                    </w:rPr>
                    <w:t>无组织</w:t>
                  </w:r>
                </w:p>
              </w:tc>
              <w:tc>
                <w:tcPr>
                  <w:tcW w:w="671" w:type="dxa"/>
                  <w:vAlign w:val="center"/>
                </w:tcPr>
                <w:p w14:paraId="48910D48">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bidi="ar-SA"/>
                    </w:rPr>
                    <w:t>厂界</w:t>
                  </w:r>
                </w:p>
              </w:tc>
              <w:tc>
                <w:tcPr>
                  <w:tcW w:w="2850" w:type="dxa"/>
                  <w:vAlign w:val="center"/>
                </w:tcPr>
                <w:p w14:paraId="3DAE3A90">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bidi="ar-SA"/>
                    </w:rPr>
                    <w:t>H</w:t>
                  </w:r>
                  <w:r>
                    <w:rPr>
                      <w:rFonts w:hint="eastAsia" w:ascii="Times New Roman" w:hAnsi="Times New Roman" w:eastAsia="宋体" w:cs="Times New Roman"/>
                      <w:color w:val="auto"/>
                      <w:kern w:val="0"/>
                      <w:sz w:val="21"/>
                      <w:szCs w:val="21"/>
                      <w:vertAlign w:val="subscript"/>
                      <w:lang w:val="en-US" w:eastAsia="zh-CN" w:bidi="ar-SA"/>
                    </w:rPr>
                    <w:t>2</w:t>
                  </w:r>
                  <w:r>
                    <w:rPr>
                      <w:rFonts w:hint="eastAsia" w:ascii="Times New Roman" w:hAnsi="Times New Roman" w:eastAsia="宋体" w:cs="Times New Roman"/>
                      <w:color w:val="auto"/>
                      <w:kern w:val="0"/>
                      <w:sz w:val="21"/>
                      <w:szCs w:val="21"/>
                      <w:lang w:val="en-US" w:eastAsia="zh-CN" w:bidi="ar-SA"/>
                    </w:rPr>
                    <w:t>S、NH</w:t>
                  </w:r>
                  <w:r>
                    <w:rPr>
                      <w:rFonts w:hint="eastAsia" w:ascii="Times New Roman" w:hAnsi="Times New Roman" w:eastAsia="宋体" w:cs="Times New Roman"/>
                      <w:color w:val="auto"/>
                      <w:kern w:val="0"/>
                      <w:sz w:val="21"/>
                      <w:szCs w:val="21"/>
                      <w:vertAlign w:val="subscript"/>
                      <w:lang w:val="en-US" w:eastAsia="zh-CN" w:bidi="ar-SA"/>
                    </w:rPr>
                    <w:t>3</w:t>
                  </w:r>
                  <w:r>
                    <w:rPr>
                      <w:rFonts w:hint="eastAsia" w:ascii="Times New Roman" w:hAnsi="Times New Roman" w:eastAsia="宋体" w:cs="Times New Roman"/>
                      <w:color w:val="auto"/>
                      <w:kern w:val="0"/>
                      <w:sz w:val="21"/>
                      <w:szCs w:val="21"/>
                      <w:lang w:val="en-US" w:eastAsia="zh-CN" w:bidi="ar-SA"/>
                    </w:rPr>
                    <w:t>、甲醛</w:t>
                  </w:r>
                </w:p>
              </w:tc>
              <w:tc>
                <w:tcPr>
                  <w:tcW w:w="991" w:type="dxa"/>
                  <w:vAlign w:val="center"/>
                </w:tcPr>
                <w:p w14:paraId="229600CC">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Times New Roman" w:hAnsi="Times New Roman" w:eastAsia="宋体" w:cs="Times New Roman"/>
                      <w:color w:val="auto"/>
                      <w:kern w:val="0"/>
                      <w:sz w:val="21"/>
                      <w:szCs w:val="21"/>
                      <w:lang w:val="en-US" w:eastAsia="zh-CN" w:bidi="ar-SA"/>
                    </w:rPr>
                    <w:t>一年一次</w:t>
                  </w:r>
                </w:p>
              </w:tc>
              <w:tc>
                <w:tcPr>
                  <w:tcW w:w="2452" w:type="dxa"/>
                  <w:vAlign w:val="center"/>
                </w:tcPr>
                <w:p w14:paraId="303F6B6E">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H</w:t>
                  </w:r>
                  <w:r>
                    <w:rPr>
                      <w:rFonts w:hint="eastAsia" w:ascii="Times New Roman" w:hAnsi="Times New Roman" w:eastAsia="宋体" w:cs="Times New Roman"/>
                      <w:color w:val="auto"/>
                      <w:kern w:val="0"/>
                      <w:sz w:val="21"/>
                      <w:szCs w:val="21"/>
                      <w:vertAlign w:val="subscript"/>
                      <w:lang w:val="en-US" w:eastAsia="zh-CN" w:bidi="ar-SA"/>
                    </w:rPr>
                    <w:t>2</w:t>
                  </w:r>
                  <w:r>
                    <w:rPr>
                      <w:rFonts w:hint="eastAsia" w:ascii="Times New Roman" w:hAnsi="Times New Roman" w:eastAsia="宋体" w:cs="Times New Roman"/>
                      <w:color w:val="auto"/>
                      <w:kern w:val="0"/>
                      <w:sz w:val="21"/>
                      <w:szCs w:val="21"/>
                      <w:lang w:val="en-US" w:eastAsia="zh-CN" w:bidi="ar-SA"/>
                    </w:rPr>
                    <w:t>S、NH</w:t>
                  </w:r>
                  <w:r>
                    <w:rPr>
                      <w:rFonts w:hint="eastAsia" w:ascii="Times New Roman" w:hAnsi="Times New Roman" w:eastAsia="宋体" w:cs="Times New Roman"/>
                      <w:color w:val="auto"/>
                      <w:kern w:val="0"/>
                      <w:sz w:val="21"/>
                      <w:szCs w:val="21"/>
                      <w:vertAlign w:val="subscript"/>
                      <w:lang w:val="en-US" w:eastAsia="zh-CN" w:bidi="ar-SA"/>
                    </w:rPr>
                    <w:t>3</w:t>
                  </w:r>
                  <w:r>
                    <w:rPr>
                      <w:rFonts w:hint="eastAsia" w:ascii="Times New Roman" w:hAnsi="Times New Roman" w:eastAsia="宋体" w:cs="Times New Roman"/>
                      <w:color w:val="auto"/>
                      <w:kern w:val="0"/>
                      <w:sz w:val="21"/>
                      <w:szCs w:val="21"/>
                      <w:lang w:val="en-US" w:eastAsia="zh-CN" w:bidi="ar-SA"/>
                    </w:rPr>
                    <w:t>执行《医疗机构水污染物排放标准》（GB18466—2005）表3标准；</w:t>
                  </w:r>
                </w:p>
                <w:p w14:paraId="4D528E29">
                  <w:pPr>
                    <w:keepNext w:val="0"/>
                    <w:keepLines w:val="0"/>
                    <w:pageBreakBefore w:val="0"/>
                    <w:widowControl w:val="0"/>
                    <w:kinsoku/>
                    <w:wordWrap/>
                    <w:overflowPunct/>
                    <w:topLinePunct w:val="0"/>
                    <w:autoSpaceDE/>
                    <w:autoSpaceDN/>
                    <w:bidi w:val="0"/>
                    <w:adjustRightInd/>
                    <w:spacing w:after="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Times New Roman" w:hAnsi="Times New Roman" w:eastAsia="宋体" w:cs="Times New Roman"/>
                      <w:color w:val="auto"/>
                      <w:kern w:val="0"/>
                      <w:sz w:val="21"/>
                      <w:szCs w:val="21"/>
                      <w:lang w:val="en-US" w:eastAsia="zh-CN" w:bidi="ar-SA"/>
                    </w:rPr>
                    <w:t>甲醛残气废气排放执行《大气污染物综合排放标准》（GB16297-1996）</w:t>
                  </w:r>
                </w:p>
              </w:tc>
            </w:tr>
            <w:tr w14:paraId="112BF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Merge w:val="restart"/>
                  <w:vAlign w:val="center"/>
                </w:tcPr>
                <w:p w14:paraId="09C2449F">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废水</w:t>
                  </w:r>
                </w:p>
              </w:tc>
              <w:tc>
                <w:tcPr>
                  <w:tcW w:w="1342" w:type="dxa"/>
                  <w:gridSpan w:val="2"/>
                  <w:vMerge w:val="restart"/>
                  <w:vAlign w:val="center"/>
                </w:tcPr>
                <w:p w14:paraId="7309D82A">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污水总排放口</w:t>
                  </w:r>
                </w:p>
              </w:tc>
              <w:tc>
                <w:tcPr>
                  <w:tcW w:w="2850" w:type="dxa"/>
                  <w:vAlign w:val="center"/>
                </w:tcPr>
                <w:p w14:paraId="0DFBE711">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流量</w:t>
                  </w:r>
                </w:p>
              </w:tc>
              <w:tc>
                <w:tcPr>
                  <w:tcW w:w="991" w:type="dxa"/>
                  <w:vAlign w:val="center"/>
                </w:tcPr>
                <w:p w14:paraId="3E694C44">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自动监测</w:t>
                  </w:r>
                </w:p>
              </w:tc>
              <w:tc>
                <w:tcPr>
                  <w:tcW w:w="2452" w:type="dxa"/>
                  <w:vMerge w:val="restart"/>
                  <w:vAlign w:val="center"/>
                </w:tcPr>
                <w:p w14:paraId="1E2C56BF">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《医疗机构水污染物排放标准》(GB18466-2005)的综合医疗机构和其他医疗机构水污染物预处理标准</w:t>
                  </w:r>
                </w:p>
              </w:tc>
            </w:tr>
            <w:tr w14:paraId="09F4B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Merge w:val="continue"/>
                  <w:vAlign w:val="center"/>
                </w:tcPr>
                <w:p w14:paraId="03AFF480">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p>
              </w:tc>
              <w:tc>
                <w:tcPr>
                  <w:tcW w:w="1342" w:type="dxa"/>
                  <w:gridSpan w:val="2"/>
                  <w:vMerge w:val="continue"/>
                  <w:vAlign w:val="center"/>
                </w:tcPr>
                <w:p w14:paraId="7869C3E0">
                  <w:pPr>
                    <w:pStyle w:val="2"/>
                    <w:ind w:firstLine="0" w:firstLineChars="0"/>
                    <w:jc w:val="center"/>
                    <w:rPr>
                      <w:rFonts w:hint="eastAsia" w:ascii="宋体" w:hAnsi="宋体" w:eastAsia="宋体" w:cs="宋体"/>
                      <w:b/>
                      <w:bCs/>
                      <w:color w:val="auto"/>
                      <w:sz w:val="21"/>
                      <w:szCs w:val="21"/>
                      <w:vertAlign w:val="baseline"/>
                      <w:lang w:val="en-US" w:eastAsia="zh-CN"/>
                    </w:rPr>
                  </w:pPr>
                </w:p>
              </w:tc>
              <w:tc>
                <w:tcPr>
                  <w:tcW w:w="2850" w:type="dxa"/>
                  <w:vAlign w:val="center"/>
                </w:tcPr>
                <w:p w14:paraId="38AD5B01">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pH值</w:t>
                  </w:r>
                  <w:r>
                    <w:rPr>
                      <w:rFonts w:hint="eastAsia" w:ascii="宋体" w:hAnsi="宋体" w:eastAsia="宋体" w:cs="宋体"/>
                      <w:color w:val="auto"/>
                      <w:sz w:val="21"/>
                      <w:szCs w:val="21"/>
                      <w:lang w:eastAsia="zh-CN"/>
                    </w:rPr>
                    <w:t>、总余氯</w:t>
                  </w:r>
                </w:p>
              </w:tc>
              <w:tc>
                <w:tcPr>
                  <w:tcW w:w="991" w:type="dxa"/>
                  <w:vAlign w:val="center"/>
                </w:tcPr>
                <w:p w14:paraId="2E27C2A0">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12小时</w:t>
                  </w:r>
                </w:p>
              </w:tc>
              <w:tc>
                <w:tcPr>
                  <w:tcW w:w="2452" w:type="dxa"/>
                  <w:vMerge w:val="continue"/>
                  <w:vAlign w:val="center"/>
                </w:tcPr>
                <w:p w14:paraId="4F80F796">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宋体" w:hAnsi="宋体" w:eastAsia="宋体" w:cs="宋体"/>
                      <w:b/>
                      <w:bCs/>
                      <w:color w:val="auto"/>
                      <w:sz w:val="21"/>
                      <w:szCs w:val="21"/>
                      <w:vertAlign w:val="baseline"/>
                      <w:lang w:val="en-US" w:eastAsia="zh-CN"/>
                    </w:rPr>
                  </w:pPr>
                </w:p>
              </w:tc>
            </w:tr>
            <w:tr w14:paraId="00197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Merge w:val="continue"/>
                  <w:vAlign w:val="center"/>
                </w:tcPr>
                <w:p w14:paraId="24CB0B2D">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p>
              </w:tc>
              <w:tc>
                <w:tcPr>
                  <w:tcW w:w="1342" w:type="dxa"/>
                  <w:gridSpan w:val="2"/>
                  <w:vMerge w:val="continue"/>
                  <w:vAlign w:val="center"/>
                </w:tcPr>
                <w:p w14:paraId="1BF15BFA">
                  <w:pPr>
                    <w:pStyle w:val="2"/>
                    <w:ind w:firstLine="0" w:firstLineChars="0"/>
                    <w:jc w:val="center"/>
                    <w:rPr>
                      <w:rFonts w:hint="eastAsia" w:ascii="宋体" w:hAnsi="宋体" w:eastAsia="宋体" w:cs="宋体"/>
                      <w:b/>
                      <w:bCs/>
                      <w:color w:val="auto"/>
                      <w:sz w:val="21"/>
                      <w:szCs w:val="21"/>
                      <w:vertAlign w:val="baseline"/>
                      <w:lang w:val="en-US" w:eastAsia="zh-CN"/>
                    </w:rPr>
                  </w:pPr>
                </w:p>
              </w:tc>
              <w:tc>
                <w:tcPr>
                  <w:tcW w:w="2850" w:type="dxa"/>
                  <w:vAlign w:val="center"/>
                </w:tcPr>
                <w:p w14:paraId="4D2ED267">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化学需氧量</w:t>
                  </w:r>
                  <w:r>
                    <w:rPr>
                      <w:rFonts w:hint="eastAsia" w:ascii="宋体" w:hAnsi="宋体" w:eastAsia="宋体" w:cs="宋体"/>
                      <w:color w:val="auto"/>
                      <w:sz w:val="21"/>
                      <w:szCs w:val="21"/>
                      <w:vertAlign w:val="superscript"/>
                    </w:rPr>
                    <w:t>b</w:t>
                  </w:r>
                  <w:r>
                    <w:rPr>
                      <w:rFonts w:hint="eastAsia" w:ascii="宋体" w:hAnsi="宋体" w:eastAsia="宋体" w:cs="宋体"/>
                      <w:color w:val="auto"/>
                      <w:sz w:val="21"/>
                      <w:szCs w:val="21"/>
                    </w:rPr>
                    <w:t>、悬浮物</w:t>
                  </w:r>
                </w:p>
              </w:tc>
              <w:tc>
                <w:tcPr>
                  <w:tcW w:w="991" w:type="dxa"/>
                  <w:vAlign w:val="center"/>
                </w:tcPr>
                <w:p w14:paraId="48E78F9C">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周</w:t>
                  </w:r>
                </w:p>
              </w:tc>
              <w:tc>
                <w:tcPr>
                  <w:tcW w:w="2452" w:type="dxa"/>
                  <w:vMerge w:val="continue"/>
                  <w:vAlign w:val="center"/>
                </w:tcPr>
                <w:p w14:paraId="54972A0E">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宋体" w:hAnsi="宋体" w:eastAsia="宋体" w:cs="宋体"/>
                      <w:b/>
                      <w:bCs/>
                      <w:color w:val="auto"/>
                      <w:sz w:val="21"/>
                      <w:szCs w:val="21"/>
                      <w:vertAlign w:val="baseline"/>
                      <w:lang w:val="en-US" w:eastAsia="zh-CN"/>
                    </w:rPr>
                  </w:pPr>
                </w:p>
              </w:tc>
            </w:tr>
            <w:tr w14:paraId="0CDE6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Merge w:val="continue"/>
                  <w:vAlign w:val="center"/>
                </w:tcPr>
                <w:p w14:paraId="2418A23A">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p>
              </w:tc>
              <w:tc>
                <w:tcPr>
                  <w:tcW w:w="1342" w:type="dxa"/>
                  <w:gridSpan w:val="2"/>
                  <w:vMerge w:val="continue"/>
                  <w:vAlign w:val="center"/>
                </w:tcPr>
                <w:p w14:paraId="06E18D97">
                  <w:pPr>
                    <w:pStyle w:val="2"/>
                    <w:ind w:firstLine="0" w:firstLineChars="0"/>
                    <w:jc w:val="center"/>
                    <w:rPr>
                      <w:rFonts w:hint="eastAsia" w:ascii="宋体" w:hAnsi="宋体" w:eastAsia="宋体" w:cs="宋体"/>
                      <w:b/>
                      <w:bCs/>
                      <w:color w:val="auto"/>
                      <w:sz w:val="21"/>
                      <w:szCs w:val="21"/>
                      <w:vertAlign w:val="baseline"/>
                      <w:lang w:val="en-US" w:eastAsia="zh-CN"/>
                    </w:rPr>
                  </w:pPr>
                </w:p>
              </w:tc>
              <w:tc>
                <w:tcPr>
                  <w:tcW w:w="2850" w:type="dxa"/>
                  <w:vAlign w:val="center"/>
                </w:tcPr>
                <w:p w14:paraId="250BE667">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粪大肠菌群数</w:t>
                  </w:r>
                </w:p>
              </w:tc>
              <w:tc>
                <w:tcPr>
                  <w:tcW w:w="991" w:type="dxa"/>
                  <w:vAlign w:val="center"/>
                </w:tcPr>
                <w:p w14:paraId="6680B4C4">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月</w:t>
                  </w:r>
                </w:p>
              </w:tc>
              <w:tc>
                <w:tcPr>
                  <w:tcW w:w="2452" w:type="dxa"/>
                  <w:vMerge w:val="continue"/>
                  <w:vAlign w:val="center"/>
                </w:tcPr>
                <w:p w14:paraId="4320D6D4">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宋体" w:hAnsi="宋体" w:eastAsia="宋体" w:cs="宋体"/>
                      <w:b/>
                      <w:bCs/>
                      <w:color w:val="auto"/>
                      <w:sz w:val="21"/>
                      <w:szCs w:val="21"/>
                      <w:vertAlign w:val="baseline"/>
                      <w:lang w:val="en-US" w:eastAsia="zh-CN"/>
                    </w:rPr>
                  </w:pPr>
                </w:p>
              </w:tc>
            </w:tr>
            <w:tr w14:paraId="1F15A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Merge w:val="continue"/>
                  <w:vAlign w:val="center"/>
                </w:tcPr>
                <w:p w14:paraId="1D594126">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ascii="宋体" w:hAnsi="宋体" w:eastAsia="宋体" w:cs="宋体"/>
                      <w:color w:val="auto"/>
                      <w:sz w:val="21"/>
                      <w:szCs w:val="21"/>
                      <w:highlight w:val="none"/>
                      <w:lang w:val="en-US" w:eastAsia="zh-CN"/>
                    </w:rPr>
                  </w:pPr>
                </w:p>
              </w:tc>
              <w:tc>
                <w:tcPr>
                  <w:tcW w:w="1342" w:type="dxa"/>
                  <w:gridSpan w:val="2"/>
                  <w:vMerge w:val="continue"/>
                  <w:vAlign w:val="center"/>
                </w:tcPr>
                <w:p w14:paraId="3CC24030">
                  <w:pPr>
                    <w:pStyle w:val="2"/>
                    <w:ind w:firstLine="0" w:firstLineChars="0"/>
                    <w:jc w:val="center"/>
                    <w:rPr>
                      <w:rFonts w:hint="eastAsia" w:ascii="宋体" w:hAnsi="宋体" w:eastAsia="宋体" w:cs="宋体"/>
                      <w:b/>
                      <w:bCs/>
                      <w:color w:val="auto"/>
                      <w:sz w:val="21"/>
                      <w:szCs w:val="21"/>
                      <w:vertAlign w:val="baseline"/>
                      <w:lang w:val="en-US" w:eastAsia="zh-CN"/>
                    </w:rPr>
                  </w:pPr>
                </w:p>
              </w:tc>
              <w:tc>
                <w:tcPr>
                  <w:tcW w:w="2850" w:type="dxa"/>
                  <w:vAlign w:val="center"/>
                </w:tcPr>
                <w:p w14:paraId="16CCC090">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lang w:eastAsia="zh-CN"/>
                    </w:rPr>
                    <w:t>生物毒性、肠道致病菌、</w:t>
                  </w:r>
                  <w:r>
                    <w:rPr>
                      <w:rFonts w:hint="eastAsia" w:ascii="宋体" w:hAnsi="宋体" w:eastAsia="宋体" w:cs="宋体"/>
                      <w:color w:val="auto"/>
                      <w:sz w:val="21"/>
                      <w:szCs w:val="21"/>
                    </w:rPr>
                    <w:t>结核杆菌</w:t>
                  </w:r>
                  <w:r>
                    <w:rPr>
                      <w:rFonts w:hint="eastAsia" w:ascii="宋体" w:hAnsi="宋体" w:eastAsia="宋体" w:cs="宋体"/>
                      <w:color w:val="auto"/>
                      <w:sz w:val="21"/>
                      <w:szCs w:val="21"/>
                      <w:vertAlign w:val="superscript"/>
                    </w:rPr>
                    <w:t>c</w:t>
                  </w:r>
                  <w:r>
                    <w:rPr>
                      <w:rFonts w:hint="eastAsia" w:ascii="宋体" w:hAnsi="宋体" w:eastAsia="宋体" w:cs="宋体"/>
                      <w:color w:val="auto"/>
                      <w:sz w:val="21"/>
                      <w:szCs w:val="21"/>
                    </w:rPr>
                    <w:t>、五日生化需氧量、石油类、挥发酚、动植物油、阴离子表面活性剂、总氰化物</w:t>
                  </w:r>
                </w:p>
              </w:tc>
              <w:tc>
                <w:tcPr>
                  <w:tcW w:w="991" w:type="dxa"/>
                  <w:vAlign w:val="center"/>
                </w:tcPr>
                <w:p w14:paraId="5A0F56DA">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1次/季度</w:t>
                  </w:r>
                </w:p>
              </w:tc>
              <w:tc>
                <w:tcPr>
                  <w:tcW w:w="2452" w:type="dxa"/>
                  <w:vMerge w:val="continue"/>
                  <w:vAlign w:val="center"/>
                </w:tcPr>
                <w:p w14:paraId="50F3BEF7">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宋体" w:hAnsi="宋体" w:eastAsia="宋体" w:cs="宋体"/>
                      <w:b/>
                      <w:bCs/>
                      <w:color w:val="auto"/>
                      <w:sz w:val="21"/>
                      <w:szCs w:val="21"/>
                      <w:vertAlign w:val="baseline"/>
                      <w:lang w:val="en-US" w:eastAsia="zh-CN"/>
                    </w:rPr>
                  </w:pPr>
                </w:p>
              </w:tc>
            </w:tr>
            <w:tr w14:paraId="655A9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 w:type="dxa"/>
                  <w:vAlign w:val="center"/>
                </w:tcPr>
                <w:p w14:paraId="1F1DB608">
                  <w:pPr>
                    <w:pStyle w:val="2"/>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rPr>
                    <w:t>噪声</w:t>
                  </w:r>
                </w:p>
              </w:tc>
              <w:tc>
                <w:tcPr>
                  <w:tcW w:w="1342" w:type="dxa"/>
                  <w:gridSpan w:val="2"/>
                  <w:vAlign w:val="center"/>
                </w:tcPr>
                <w:p w14:paraId="6813D442">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厂界</w:t>
                  </w:r>
                </w:p>
              </w:tc>
              <w:tc>
                <w:tcPr>
                  <w:tcW w:w="2850" w:type="dxa"/>
                  <w:vAlign w:val="center"/>
                </w:tcPr>
                <w:p w14:paraId="03A3F64B">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昼、夜间等效A声级</w:t>
                  </w:r>
                </w:p>
              </w:tc>
              <w:tc>
                <w:tcPr>
                  <w:tcW w:w="991" w:type="dxa"/>
                  <w:vAlign w:val="center"/>
                </w:tcPr>
                <w:p w14:paraId="5064AFC4">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1次/季</w:t>
                  </w:r>
                </w:p>
              </w:tc>
              <w:tc>
                <w:tcPr>
                  <w:tcW w:w="2452" w:type="dxa"/>
                  <w:vAlign w:val="center"/>
                </w:tcPr>
                <w:p w14:paraId="60D6A426">
                  <w:pPr>
                    <w:pStyle w:val="2"/>
                    <w:ind w:firstLine="0" w:firstLineChars="0"/>
                    <w:jc w:val="center"/>
                    <w:rPr>
                      <w:rFonts w:hint="eastAsia" w:ascii="宋体" w:hAnsi="宋体" w:eastAsia="宋体" w:cs="宋体"/>
                      <w:b/>
                      <w:bCs/>
                      <w:color w:val="auto"/>
                      <w:sz w:val="21"/>
                      <w:szCs w:val="21"/>
                      <w:vertAlign w:val="baseline"/>
                      <w:lang w:val="en-US" w:eastAsia="zh-CN"/>
                    </w:rPr>
                  </w:pPr>
                  <w:r>
                    <w:rPr>
                      <w:rFonts w:hint="eastAsia" w:ascii="宋体" w:hAnsi="宋体" w:eastAsia="宋体" w:cs="宋体"/>
                      <w:color w:val="auto"/>
                      <w:sz w:val="21"/>
                      <w:szCs w:val="21"/>
                    </w:rPr>
                    <w:t>《工业企业厂界环境噪声排放标准》(GB12348-2008）2类、4类标准（项目东侧靠近湖滨路35±5米范围类执行4类标准）</w:t>
                  </w:r>
                </w:p>
              </w:tc>
            </w:tr>
          </w:tbl>
          <w:p w14:paraId="2F84520A">
            <w:pPr>
              <w:ind w:firstLine="422"/>
              <w:jc w:val="center"/>
              <w:rPr>
                <w:b/>
                <w:bCs/>
                <w:color w:val="auto"/>
                <w:sz w:val="21"/>
                <w:szCs w:val="21"/>
              </w:rPr>
            </w:pPr>
            <w:r>
              <w:rPr>
                <w:b/>
                <w:bCs/>
                <w:color w:val="auto"/>
                <w:sz w:val="21"/>
                <w:szCs w:val="21"/>
              </w:rPr>
              <w:t>表 4-</w:t>
            </w:r>
            <w:r>
              <w:rPr>
                <w:rFonts w:hint="eastAsia"/>
                <w:b/>
                <w:bCs/>
                <w:color w:val="auto"/>
                <w:sz w:val="21"/>
                <w:szCs w:val="21"/>
                <w:lang w:val="en-US" w:eastAsia="zh-CN"/>
              </w:rPr>
              <w:t>24江城卫生院自行</w:t>
            </w:r>
            <w:r>
              <w:rPr>
                <w:b/>
                <w:bCs/>
                <w:color w:val="auto"/>
                <w:sz w:val="21"/>
                <w:szCs w:val="21"/>
              </w:rPr>
              <w:t>监测计划表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732"/>
              <w:gridCol w:w="3109"/>
              <w:gridCol w:w="1081"/>
              <w:gridCol w:w="2675"/>
            </w:tblGrid>
            <w:tr w14:paraId="34FC5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A2AD393">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r>
                    <w:rPr>
                      <w:color w:val="auto"/>
                      <w:sz w:val="21"/>
                      <w:szCs w:val="21"/>
                      <w:highlight w:val="none"/>
                    </w:rPr>
                    <w:t>类别</w:t>
                  </w:r>
                </w:p>
              </w:tc>
              <w:tc>
                <w:tcPr>
                  <w:tcW w:w="0" w:type="auto"/>
                  <w:vAlign w:val="center"/>
                </w:tcPr>
                <w:p w14:paraId="432B35E6">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r>
                    <w:rPr>
                      <w:color w:val="auto"/>
                      <w:sz w:val="21"/>
                      <w:szCs w:val="21"/>
                      <w:highlight w:val="none"/>
                    </w:rPr>
                    <w:t>监测点位</w:t>
                  </w:r>
                </w:p>
              </w:tc>
              <w:tc>
                <w:tcPr>
                  <w:tcW w:w="0" w:type="auto"/>
                  <w:vAlign w:val="center"/>
                </w:tcPr>
                <w:p w14:paraId="05EEA54D">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r>
                    <w:rPr>
                      <w:color w:val="auto"/>
                      <w:sz w:val="21"/>
                      <w:szCs w:val="21"/>
                      <w:highlight w:val="none"/>
                    </w:rPr>
                    <w:t>监测指标</w:t>
                  </w:r>
                </w:p>
              </w:tc>
              <w:tc>
                <w:tcPr>
                  <w:tcW w:w="1081" w:type="dxa"/>
                  <w:vAlign w:val="center"/>
                </w:tcPr>
                <w:p w14:paraId="5D2E04FD">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r>
                    <w:rPr>
                      <w:color w:val="auto"/>
                      <w:sz w:val="21"/>
                      <w:szCs w:val="21"/>
                      <w:highlight w:val="none"/>
                    </w:rPr>
                    <w:t>监测频率</w:t>
                  </w:r>
                </w:p>
              </w:tc>
              <w:tc>
                <w:tcPr>
                  <w:tcW w:w="2675" w:type="dxa"/>
                  <w:vAlign w:val="center"/>
                </w:tcPr>
                <w:p w14:paraId="32B0D710">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r>
                    <w:rPr>
                      <w:color w:val="auto"/>
                      <w:sz w:val="21"/>
                      <w:szCs w:val="21"/>
                      <w:highlight w:val="none"/>
                    </w:rPr>
                    <w:t>执行标准</w:t>
                  </w:r>
                </w:p>
              </w:tc>
            </w:tr>
            <w:tr w14:paraId="31705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23F39C4">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废气</w:t>
                  </w:r>
                </w:p>
              </w:tc>
              <w:tc>
                <w:tcPr>
                  <w:tcW w:w="0" w:type="auto"/>
                  <w:vAlign w:val="center"/>
                </w:tcPr>
                <w:p w14:paraId="66D9DD78">
                  <w:pPr>
                    <w:pStyle w:val="2"/>
                    <w:ind w:firstLine="0" w:firstLineChars="0"/>
                    <w:jc w:val="center"/>
                    <w:rPr>
                      <w:rFonts w:hint="eastAsia"/>
                      <w:b/>
                      <w:bCs/>
                      <w:color w:val="auto"/>
                      <w:sz w:val="21"/>
                      <w:szCs w:val="21"/>
                      <w:vertAlign w:val="baseline"/>
                      <w:lang w:val="en-US" w:eastAsia="zh-CN"/>
                    </w:rPr>
                  </w:pPr>
                  <w:r>
                    <w:rPr>
                      <w:color w:val="auto"/>
                      <w:sz w:val="21"/>
                      <w:szCs w:val="21"/>
                    </w:rPr>
                    <w:t>污水处理站周界</w:t>
                  </w:r>
                </w:p>
              </w:tc>
              <w:tc>
                <w:tcPr>
                  <w:tcW w:w="0" w:type="auto"/>
                  <w:vAlign w:val="center"/>
                </w:tcPr>
                <w:p w14:paraId="4FB2ED2E">
                  <w:pPr>
                    <w:pStyle w:val="2"/>
                    <w:ind w:firstLine="0" w:firstLineChars="0"/>
                    <w:jc w:val="center"/>
                    <w:rPr>
                      <w:rFonts w:hint="eastAsia"/>
                      <w:b/>
                      <w:bCs/>
                      <w:color w:val="auto"/>
                      <w:sz w:val="21"/>
                      <w:szCs w:val="21"/>
                      <w:vertAlign w:val="baseline"/>
                      <w:lang w:val="en-US" w:eastAsia="zh-CN"/>
                    </w:rPr>
                  </w:pPr>
                  <w:r>
                    <w:rPr>
                      <w:color w:val="auto"/>
                      <w:sz w:val="21"/>
                      <w:szCs w:val="21"/>
                    </w:rPr>
                    <w:t>氨、硫化氢、臭气浓度、氯气、甲烷</w:t>
                  </w:r>
                </w:p>
              </w:tc>
              <w:tc>
                <w:tcPr>
                  <w:tcW w:w="1081" w:type="dxa"/>
                  <w:vAlign w:val="center"/>
                </w:tcPr>
                <w:p w14:paraId="0CBAB390">
                  <w:pPr>
                    <w:pStyle w:val="2"/>
                    <w:ind w:firstLine="0" w:firstLineChars="0"/>
                    <w:jc w:val="center"/>
                    <w:rPr>
                      <w:rFonts w:hint="eastAsia"/>
                      <w:b/>
                      <w:bCs/>
                      <w:color w:val="auto"/>
                      <w:sz w:val="21"/>
                      <w:szCs w:val="21"/>
                      <w:vertAlign w:val="baseline"/>
                      <w:lang w:val="en-US" w:eastAsia="zh-CN"/>
                    </w:rPr>
                  </w:pPr>
                  <w:r>
                    <w:rPr>
                      <w:color w:val="auto"/>
                      <w:sz w:val="21"/>
                      <w:szCs w:val="21"/>
                    </w:rPr>
                    <w:t>1次/季度</w:t>
                  </w:r>
                </w:p>
              </w:tc>
              <w:tc>
                <w:tcPr>
                  <w:tcW w:w="2675" w:type="dxa"/>
                  <w:vAlign w:val="center"/>
                </w:tcPr>
                <w:p w14:paraId="35F87FFC">
                  <w:pPr>
                    <w:pStyle w:val="2"/>
                    <w:ind w:firstLine="0" w:firstLineChars="0"/>
                    <w:rPr>
                      <w:rFonts w:hint="eastAsia"/>
                      <w:b/>
                      <w:bCs/>
                      <w:color w:val="auto"/>
                      <w:sz w:val="21"/>
                      <w:szCs w:val="21"/>
                      <w:vertAlign w:val="baseline"/>
                      <w:lang w:val="en-US" w:eastAsia="zh-CN"/>
                    </w:rPr>
                  </w:pPr>
                  <w:r>
                    <w:rPr>
                      <w:color w:val="auto"/>
                      <w:sz w:val="21"/>
                      <w:szCs w:val="21"/>
                    </w:rPr>
                    <w:t>《医疗机构水污染物排放标准》(GB18466-2005)中污水处理站周边大气污染物最高允许浓度的要求</w:t>
                  </w:r>
                </w:p>
              </w:tc>
            </w:tr>
            <w:tr w14:paraId="24B1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11AF2E17">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废水</w:t>
                  </w:r>
                </w:p>
              </w:tc>
              <w:tc>
                <w:tcPr>
                  <w:tcW w:w="0" w:type="auto"/>
                  <w:vMerge w:val="restart"/>
                  <w:vAlign w:val="center"/>
                </w:tcPr>
                <w:p w14:paraId="375BCECD">
                  <w:pPr>
                    <w:pStyle w:val="2"/>
                    <w:ind w:firstLine="0" w:firstLineChars="0"/>
                    <w:jc w:val="center"/>
                    <w:rPr>
                      <w:rFonts w:hint="eastAsia"/>
                      <w:b/>
                      <w:bCs/>
                      <w:color w:val="auto"/>
                      <w:sz w:val="21"/>
                      <w:szCs w:val="21"/>
                      <w:vertAlign w:val="baseline"/>
                      <w:lang w:val="en-US" w:eastAsia="zh-CN"/>
                    </w:rPr>
                  </w:pPr>
                  <w:r>
                    <w:rPr>
                      <w:color w:val="auto"/>
                      <w:sz w:val="21"/>
                      <w:szCs w:val="21"/>
                    </w:rPr>
                    <w:t>污水总排放口</w:t>
                  </w:r>
                </w:p>
              </w:tc>
              <w:tc>
                <w:tcPr>
                  <w:tcW w:w="0" w:type="auto"/>
                  <w:vAlign w:val="center"/>
                </w:tcPr>
                <w:p w14:paraId="5398F996">
                  <w:pPr>
                    <w:pStyle w:val="2"/>
                    <w:ind w:firstLine="0" w:firstLineChars="0"/>
                    <w:jc w:val="center"/>
                    <w:rPr>
                      <w:rFonts w:hint="eastAsia"/>
                      <w:b/>
                      <w:bCs/>
                      <w:color w:val="auto"/>
                      <w:sz w:val="21"/>
                      <w:szCs w:val="21"/>
                      <w:vertAlign w:val="baseline"/>
                      <w:lang w:val="en-US" w:eastAsia="zh-CN"/>
                    </w:rPr>
                  </w:pPr>
                  <w:r>
                    <w:rPr>
                      <w:color w:val="auto"/>
                      <w:sz w:val="21"/>
                      <w:szCs w:val="21"/>
                    </w:rPr>
                    <w:t>流量</w:t>
                  </w:r>
                </w:p>
              </w:tc>
              <w:tc>
                <w:tcPr>
                  <w:tcW w:w="1081" w:type="dxa"/>
                  <w:vAlign w:val="center"/>
                </w:tcPr>
                <w:p w14:paraId="5BF19364">
                  <w:pPr>
                    <w:pStyle w:val="2"/>
                    <w:ind w:firstLine="0" w:firstLineChars="0"/>
                    <w:jc w:val="center"/>
                    <w:rPr>
                      <w:rFonts w:hint="eastAsia"/>
                      <w:b/>
                      <w:bCs/>
                      <w:color w:val="auto"/>
                      <w:sz w:val="21"/>
                      <w:szCs w:val="21"/>
                      <w:vertAlign w:val="baseline"/>
                      <w:lang w:val="en-US" w:eastAsia="zh-CN"/>
                    </w:rPr>
                  </w:pPr>
                  <w:r>
                    <w:rPr>
                      <w:color w:val="auto"/>
                      <w:sz w:val="21"/>
                      <w:szCs w:val="21"/>
                    </w:rPr>
                    <w:t>自动监测</w:t>
                  </w:r>
                </w:p>
              </w:tc>
              <w:tc>
                <w:tcPr>
                  <w:tcW w:w="2675" w:type="dxa"/>
                  <w:vMerge w:val="restart"/>
                  <w:vAlign w:val="center"/>
                </w:tcPr>
                <w:p w14:paraId="5FE6BF55">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bCs/>
                      <w:color w:val="auto"/>
                      <w:sz w:val="21"/>
                      <w:szCs w:val="21"/>
                      <w:vertAlign w:val="baseline"/>
                      <w:lang w:val="en-US" w:eastAsia="zh-CN"/>
                    </w:rPr>
                  </w:pPr>
                  <w:r>
                    <w:rPr>
                      <w:color w:val="auto"/>
                      <w:sz w:val="21"/>
                      <w:szCs w:val="21"/>
                    </w:rPr>
                    <w:t>《医疗机构水污染物排放标准》(GB18466-2005)的综合医疗机构和其他医疗机构水污染物预处理标准</w:t>
                  </w:r>
                </w:p>
              </w:tc>
            </w:tr>
            <w:tr w14:paraId="1ED8A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87D7F28">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p>
              </w:tc>
              <w:tc>
                <w:tcPr>
                  <w:tcW w:w="0" w:type="auto"/>
                  <w:vMerge w:val="continue"/>
                  <w:vAlign w:val="center"/>
                </w:tcPr>
                <w:p w14:paraId="33EA140D">
                  <w:pPr>
                    <w:pStyle w:val="2"/>
                    <w:ind w:firstLine="0" w:firstLineChars="0"/>
                    <w:jc w:val="center"/>
                    <w:rPr>
                      <w:rFonts w:hint="eastAsia"/>
                      <w:b/>
                      <w:bCs/>
                      <w:color w:val="auto"/>
                      <w:sz w:val="21"/>
                      <w:szCs w:val="21"/>
                      <w:vertAlign w:val="baseline"/>
                      <w:lang w:val="en-US" w:eastAsia="zh-CN"/>
                    </w:rPr>
                  </w:pPr>
                </w:p>
              </w:tc>
              <w:tc>
                <w:tcPr>
                  <w:tcW w:w="0" w:type="auto"/>
                  <w:vAlign w:val="center"/>
                </w:tcPr>
                <w:p w14:paraId="3B3FDBC9">
                  <w:pPr>
                    <w:pStyle w:val="2"/>
                    <w:ind w:firstLine="0" w:firstLineChars="0"/>
                    <w:jc w:val="center"/>
                    <w:rPr>
                      <w:rFonts w:hint="eastAsia"/>
                      <w:b/>
                      <w:bCs/>
                      <w:color w:val="auto"/>
                      <w:sz w:val="21"/>
                      <w:szCs w:val="21"/>
                      <w:vertAlign w:val="baseline"/>
                      <w:lang w:val="en-US" w:eastAsia="zh-CN"/>
                    </w:rPr>
                  </w:pPr>
                  <w:r>
                    <w:rPr>
                      <w:color w:val="auto"/>
                      <w:sz w:val="21"/>
                      <w:szCs w:val="21"/>
                    </w:rPr>
                    <w:t>pH值</w:t>
                  </w:r>
                  <w:r>
                    <w:rPr>
                      <w:rFonts w:hint="eastAsia"/>
                      <w:color w:val="auto"/>
                      <w:sz w:val="21"/>
                      <w:szCs w:val="21"/>
                      <w:lang w:eastAsia="zh-CN"/>
                    </w:rPr>
                    <w:t>、总余氯</w:t>
                  </w:r>
                </w:p>
              </w:tc>
              <w:tc>
                <w:tcPr>
                  <w:tcW w:w="1081" w:type="dxa"/>
                  <w:vAlign w:val="center"/>
                </w:tcPr>
                <w:p w14:paraId="3221A932">
                  <w:pPr>
                    <w:pStyle w:val="2"/>
                    <w:ind w:firstLine="0" w:firstLineChars="0"/>
                    <w:jc w:val="center"/>
                    <w:rPr>
                      <w:rFonts w:hint="eastAsia"/>
                      <w:b/>
                      <w:bCs/>
                      <w:color w:val="auto"/>
                      <w:sz w:val="21"/>
                      <w:szCs w:val="21"/>
                      <w:vertAlign w:val="baseline"/>
                      <w:lang w:val="en-US" w:eastAsia="zh-CN"/>
                    </w:rPr>
                  </w:pPr>
                  <w:r>
                    <w:rPr>
                      <w:color w:val="auto"/>
                      <w:sz w:val="21"/>
                      <w:szCs w:val="21"/>
                    </w:rPr>
                    <w:t>12小时</w:t>
                  </w:r>
                </w:p>
              </w:tc>
              <w:tc>
                <w:tcPr>
                  <w:tcW w:w="2675" w:type="dxa"/>
                  <w:vMerge w:val="continue"/>
                  <w:vAlign w:val="center"/>
                </w:tcPr>
                <w:p w14:paraId="4E4235E6">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bCs/>
                      <w:color w:val="auto"/>
                      <w:sz w:val="21"/>
                      <w:szCs w:val="21"/>
                      <w:vertAlign w:val="baseline"/>
                      <w:lang w:val="en-US" w:eastAsia="zh-CN"/>
                    </w:rPr>
                  </w:pPr>
                </w:p>
              </w:tc>
            </w:tr>
            <w:tr w14:paraId="2BB50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3D269A7">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p>
              </w:tc>
              <w:tc>
                <w:tcPr>
                  <w:tcW w:w="0" w:type="auto"/>
                  <w:vMerge w:val="continue"/>
                  <w:vAlign w:val="center"/>
                </w:tcPr>
                <w:p w14:paraId="780F52C1">
                  <w:pPr>
                    <w:pStyle w:val="2"/>
                    <w:ind w:firstLine="0" w:firstLineChars="0"/>
                    <w:jc w:val="center"/>
                    <w:rPr>
                      <w:rFonts w:hint="eastAsia"/>
                      <w:b/>
                      <w:bCs/>
                      <w:color w:val="auto"/>
                      <w:sz w:val="21"/>
                      <w:szCs w:val="21"/>
                      <w:vertAlign w:val="baseline"/>
                      <w:lang w:val="en-US" w:eastAsia="zh-CN"/>
                    </w:rPr>
                  </w:pPr>
                </w:p>
              </w:tc>
              <w:tc>
                <w:tcPr>
                  <w:tcW w:w="0" w:type="auto"/>
                  <w:vAlign w:val="center"/>
                </w:tcPr>
                <w:p w14:paraId="4DE71566">
                  <w:pPr>
                    <w:pStyle w:val="2"/>
                    <w:ind w:firstLine="0" w:firstLineChars="0"/>
                    <w:jc w:val="center"/>
                    <w:rPr>
                      <w:rFonts w:hint="eastAsia"/>
                      <w:b/>
                      <w:bCs/>
                      <w:color w:val="auto"/>
                      <w:sz w:val="21"/>
                      <w:szCs w:val="21"/>
                      <w:vertAlign w:val="baseline"/>
                      <w:lang w:val="en-US" w:eastAsia="zh-CN"/>
                    </w:rPr>
                  </w:pPr>
                  <w:r>
                    <w:rPr>
                      <w:color w:val="auto"/>
                      <w:sz w:val="21"/>
                      <w:szCs w:val="21"/>
                    </w:rPr>
                    <w:t>化学需氧量</w:t>
                  </w:r>
                  <w:r>
                    <w:rPr>
                      <w:color w:val="auto"/>
                      <w:sz w:val="21"/>
                      <w:szCs w:val="21"/>
                      <w:vertAlign w:val="superscript"/>
                    </w:rPr>
                    <w:t>b</w:t>
                  </w:r>
                  <w:r>
                    <w:rPr>
                      <w:color w:val="auto"/>
                      <w:sz w:val="21"/>
                      <w:szCs w:val="21"/>
                    </w:rPr>
                    <w:t>、悬浮物</w:t>
                  </w:r>
                </w:p>
              </w:tc>
              <w:tc>
                <w:tcPr>
                  <w:tcW w:w="1081" w:type="dxa"/>
                  <w:vAlign w:val="center"/>
                </w:tcPr>
                <w:p w14:paraId="5FA6F21E">
                  <w:pPr>
                    <w:pStyle w:val="2"/>
                    <w:ind w:firstLine="0" w:firstLineChars="0"/>
                    <w:jc w:val="center"/>
                    <w:rPr>
                      <w:rFonts w:hint="eastAsia"/>
                      <w:b/>
                      <w:bCs/>
                      <w:color w:val="auto"/>
                      <w:sz w:val="21"/>
                      <w:szCs w:val="21"/>
                      <w:vertAlign w:val="baseline"/>
                      <w:lang w:val="en-US" w:eastAsia="zh-CN"/>
                    </w:rPr>
                  </w:pPr>
                  <w:r>
                    <w:rPr>
                      <w:color w:val="auto"/>
                      <w:sz w:val="21"/>
                      <w:szCs w:val="21"/>
                    </w:rPr>
                    <w:t>周</w:t>
                  </w:r>
                </w:p>
              </w:tc>
              <w:tc>
                <w:tcPr>
                  <w:tcW w:w="2675" w:type="dxa"/>
                  <w:vMerge w:val="continue"/>
                  <w:vAlign w:val="center"/>
                </w:tcPr>
                <w:p w14:paraId="684A5031">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bCs/>
                      <w:color w:val="auto"/>
                      <w:sz w:val="21"/>
                      <w:szCs w:val="21"/>
                      <w:vertAlign w:val="baseline"/>
                      <w:lang w:val="en-US" w:eastAsia="zh-CN"/>
                    </w:rPr>
                  </w:pPr>
                </w:p>
              </w:tc>
            </w:tr>
            <w:tr w14:paraId="4C8D9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0982247">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eastAsia"/>
                      <w:color w:val="auto"/>
                      <w:sz w:val="21"/>
                      <w:szCs w:val="21"/>
                      <w:highlight w:val="none"/>
                      <w:lang w:val="en-US" w:eastAsia="zh-CN"/>
                    </w:rPr>
                  </w:pPr>
                </w:p>
              </w:tc>
              <w:tc>
                <w:tcPr>
                  <w:tcW w:w="0" w:type="auto"/>
                  <w:vMerge w:val="continue"/>
                  <w:vAlign w:val="center"/>
                </w:tcPr>
                <w:p w14:paraId="4842D16A">
                  <w:pPr>
                    <w:pStyle w:val="2"/>
                    <w:ind w:firstLine="0" w:firstLineChars="0"/>
                    <w:jc w:val="center"/>
                    <w:rPr>
                      <w:rFonts w:hint="eastAsia"/>
                      <w:b/>
                      <w:bCs/>
                      <w:color w:val="auto"/>
                      <w:sz w:val="21"/>
                      <w:szCs w:val="21"/>
                      <w:vertAlign w:val="baseline"/>
                      <w:lang w:val="en-US" w:eastAsia="zh-CN"/>
                    </w:rPr>
                  </w:pPr>
                </w:p>
              </w:tc>
              <w:tc>
                <w:tcPr>
                  <w:tcW w:w="0" w:type="auto"/>
                  <w:vAlign w:val="center"/>
                </w:tcPr>
                <w:p w14:paraId="2CAFF49F">
                  <w:pPr>
                    <w:pStyle w:val="2"/>
                    <w:ind w:firstLine="0" w:firstLineChars="0"/>
                    <w:jc w:val="center"/>
                    <w:rPr>
                      <w:rFonts w:hint="eastAsia"/>
                      <w:b/>
                      <w:bCs/>
                      <w:color w:val="auto"/>
                      <w:sz w:val="21"/>
                      <w:szCs w:val="21"/>
                      <w:vertAlign w:val="baseline"/>
                      <w:lang w:val="en-US" w:eastAsia="zh-CN"/>
                    </w:rPr>
                  </w:pPr>
                  <w:r>
                    <w:rPr>
                      <w:color w:val="auto"/>
                      <w:sz w:val="21"/>
                      <w:szCs w:val="21"/>
                    </w:rPr>
                    <w:t>粪大肠菌群数</w:t>
                  </w:r>
                </w:p>
              </w:tc>
              <w:tc>
                <w:tcPr>
                  <w:tcW w:w="1081" w:type="dxa"/>
                  <w:vAlign w:val="center"/>
                </w:tcPr>
                <w:p w14:paraId="4AC1393F">
                  <w:pPr>
                    <w:pStyle w:val="2"/>
                    <w:ind w:firstLine="0" w:firstLineChars="0"/>
                    <w:jc w:val="center"/>
                    <w:rPr>
                      <w:rFonts w:hint="eastAsia"/>
                      <w:b/>
                      <w:bCs/>
                      <w:color w:val="auto"/>
                      <w:sz w:val="21"/>
                      <w:szCs w:val="21"/>
                      <w:vertAlign w:val="baseline"/>
                      <w:lang w:val="en-US" w:eastAsia="zh-CN"/>
                    </w:rPr>
                  </w:pPr>
                  <w:r>
                    <w:rPr>
                      <w:color w:val="auto"/>
                      <w:sz w:val="21"/>
                      <w:szCs w:val="21"/>
                    </w:rPr>
                    <w:t>月</w:t>
                  </w:r>
                </w:p>
              </w:tc>
              <w:tc>
                <w:tcPr>
                  <w:tcW w:w="2675" w:type="dxa"/>
                  <w:vMerge w:val="continue"/>
                  <w:vAlign w:val="center"/>
                </w:tcPr>
                <w:p w14:paraId="62DABAE5">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bCs/>
                      <w:color w:val="auto"/>
                      <w:sz w:val="21"/>
                      <w:szCs w:val="21"/>
                      <w:vertAlign w:val="baseline"/>
                      <w:lang w:val="en-US" w:eastAsia="zh-CN"/>
                    </w:rPr>
                  </w:pPr>
                </w:p>
              </w:tc>
            </w:tr>
            <w:tr w14:paraId="4F7DE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FB66B08">
                  <w:pPr>
                    <w:pStyle w:val="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color w:val="auto"/>
                      <w:sz w:val="21"/>
                      <w:szCs w:val="21"/>
                      <w:highlight w:val="none"/>
                      <w:lang w:val="en-US" w:eastAsia="zh-CN"/>
                    </w:rPr>
                  </w:pPr>
                </w:p>
              </w:tc>
              <w:tc>
                <w:tcPr>
                  <w:tcW w:w="0" w:type="auto"/>
                  <w:vMerge w:val="continue"/>
                  <w:vAlign w:val="center"/>
                </w:tcPr>
                <w:p w14:paraId="463E45A7">
                  <w:pPr>
                    <w:pStyle w:val="2"/>
                    <w:ind w:firstLine="0" w:firstLineChars="0"/>
                    <w:jc w:val="center"/>
                    <w:rPr>
                      <w:rFonts w:hint="eastAsia"/>
                      <w:b/>
                      <w:bCs/>
                      <w:color w:val="auto"/>
                      <w:sz w:val="21"/>
                      <w:szCs w:val="21"/>
                      <w:vertAlign w:val="baseline"/>
                      <w:lang w:val="en-US" w:eastAsia="zh-CN"/>
                    </w:rPr>
                  </w:pPr>
                </w:p>
              </w:tc>
              <w:tc>
                <w:tcPr>
                  <w:tcW w:w="0" w:type="auto"/>
                  <w:vAlign w:val="center"/>
                </w:tcPr>
                <w:p w14:paraId="3FA5E73D">
                  <w:pPr>
                    <w:pStyle w:val="2"/>
                    <w:ind w:firstLine="0" w:firstLineChars="0"/>
                    <w:jc w:val="center"/>
                    <w:rPr>
                      <w:rFonts w:hint="eastAsia"/>
                      <w:b/>
                      <w:bCs/>
                      <w:color w:val="auto"/>
                      <w:sz w:val="21"/>
                      <w:szCs w:val="21"/>
                      <w:vertAlign w:val="baseline"/>
                      <w:lang w:val="en-US" w:eastAsia="zh-CN"/>
                    </w:rPr>
                  </w:pPr>
                  <w:r>
                    <w:rPr>
                      <w:rFonts w:hint="eastAsia"/>
                      <w:color w:val="auto"/>
                      <w:sz w:val="21"/>
                      <w:szCs w:val="21"/>
                      <w:lang w:eastAsia="zh-CN"/>
                    </w:rPr>
                    <w:t>生物毒性、肠道致病菌、</w:t>
                  </w:r>
                  <w:r>
                    <w:rPr>
                      <w:color w:val="auto"/>
                      <w:sz w:val="21"/>
                      <w:szCs w:val="21"/>
                    </w:rPr>
                    <w:t>结核杆菌</w:t>
                  </w:r>
                  <w:r>
                    <w:rPr>
                      <w:color w:val="auto"/>
                      <w:sz w:val="21"/>
                      <w:szCs w:val="21"/>
                      <w:vertAlign w:val="superscript"/>
                    </w:rPr>
                    <w:t>c</w:t>
                  </w:r>
                  <w:r>
                    <w:rPr>
                      <w:color w:val="auto"/>
                      <w:sz w:val="21"/>
                      <w:szCs w:val="21"/>
                    </w:rPr>
                    <w:t>、五日生化需氧量、石油类、挥发酚、动植物油、阴离子表面活性剂、总氰化物</w:t>
                  </w:r>
                </w:p>
              </w:tc>
              <w:tc>
                <w:tcPr>
                  <w:tcW w:w="1081" w:type="dxa"/>
                  <w:vAlign w:val="center"/>
                </w:tcPr>
                <w:p w14:paraId="2A46C011">
                  <w:pPr>
                    <w:pStyle w:val="2"/>
                    <w:ind w:firstLine="0" w:firstLineChars="0"/>
                    <w:jc w:val="center"/>
                    <w:rPr>
                      <w:rFonts w:hint="eastAsia"/>
                      <w:b/>
                      <w:bCs/>
                      <w:color w:val="auto"/>
                      <w:sz w:val="21"/>
                      <w:szCs w:val="21"/>
                      <w:vertAlign w:val="baseline"/>
                      <w:lang w:val="en-US" w:eastAsia="zh-CN"/>
                    </w:rPr>
                  </w:pPr>
                  <w:r>
                    <w:rPr>
                      <w:color w:val="auto"/>
                      <w:sz w:val="21"/>
                      <w:szCs w:val="21"/>
                    </w:rPr>
                    <w:t>1次/季度</w:t>
                  </w:r>
                </w:p>
              </w:tc>
              <w:tc>
                <w:tcPr>
                  <w:tcW w:w="2675" w:type="dxa"/>
                  <w:vMerge w:val="continue"/>
                  <w:vAlign w:val="center"/>
                </w:tcPr>
                <w:p w14:paraId="56BEC16D">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b/>
                      <w:bCs/>
                      <w:color w:val="auto"/>
                      <w:sz w:val="21"/>
                      <w:szCs w:val="21"/>
                      <w:vertAlign w:val="baseline"/>
                      <w:lang w:val="en-US" w:eastAsia="zh-CN"/>
                    </w:rPr>
                  </w:pPr>
                </w:p>
              </w:tc>
            </w:tr>
            <w:tr w14:paraId="3DD69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ECFC57F">
                  <w:pPr>
                    <w:pStyle w:val="2"/>
                    <w:ind w:firstLine="0" w:firstLineChars="0"/>
                    <w:jc w:val="center"/>
                    <w:rPr>
                      <w:rFonts w:hint="default"/>
                      <w:color w:val="auto"/>
                      <w:sz w:val="21"/>
                      <w:szCs w:val="21"/>
                      <w:highlight w:val="none"/>
                      <w:lang w:val="en-US" w:eastAsia="zh-CN"/>
                    </w:rPr>
                  </w:pPr>
                  <w:r>
                    <w:rPr>
                      <w:color w:val="auto"/>
                      <w:sz w:val="21"/>
                      <w:szCs w:val="21"/>
                    </w:rPr>
                    <w:t>噪声</w:t>
                  </w:r>
                </w:p>
              </w:tc>
              <w:tc>
                <w:tcPr>
                  <w:tcW w:w="0" w:type="auto"/>
                  <w:vAlign w:val="center"/>
                </w:tcPr>
                <w:p w14:paraId="0E5DFA23">
                  <w:pPr>
                    <w:pStyle w:val="2"/>
                    <w:ind w:firstLine="0" w:firstLineChars="0"/>
                    <w:jc w:val="center"/>
                    <w:rPr>
                      <w:rFonts w:hint="eastAsia"/>
                      <w:b/>
                      <w:bCs/>
                      <w:color w:val="auto"/>
                      <w:sz w:val="21"/>
                      <w:szCs w:val="21"/>
                      <w:vertAlign w:val="baseline"/>
                      <w:lang w:val="en-US" w:eastAsia="zh-CN"/>
                    </w:rPr>
                  </w:pPr>
                  <w:r>
                    <w:rPr>
                      <w:color w:val="auto"/>
                      <w:sz w:val="21"/>
                      <w:szCs w:val="21"/>
                    </w:rPr>
                    <w:t>厂界</w:t>
                  </w:r>
                </w:p>
              </w:tc>
              <w:tc>
                <w:tcPr>
                  <w:tcW w:w="0" w:type="auto"/>
                  <w:vAlign w:val="center"/>
                </w:tcPr>
                <w:p w14:paraId="751B8872">
                  <w:pPr>
                    <w:pStyle w:val="2"/>
                    <w:ind w:firstLine="0" w:firstLineChars="0"/>
                    <w:jc w:val="center"/>
                    <w:rPr>
                      <w:rFonts w:hint="eastAsia"/>
                      <w:b/>
                      <w:bCs/>
                      <w:color w:val="auto"/>
                      <w:sz w:val="21"/>
                      <w:szCs w:val="21"/>
                      <w:vertAlign w:val="baseline"/>
                      <w:lang w:val="en-US" w:eastAsia="zh-CN"/>
                    </w:rPr>
                  </w:pPr>
                  <w:r>
                    <w:rPr>
                      <w:color w:val="auto"/>
                      <w:sz w:val="21"/>
                      <w:szCs w:val="21"/>
                    </w:rPr>
                    <w:t>昼、夜间等效A声级</w:t>
                  </w:r>
                </w:p>
              </w:tc>
              <w:tc>
                <w:tcPr>
                  <w:tcW w:w="1081" w:type="dxa"/>
                  <w:vAlign w:val="center"/>
                </w:tcPr>
                <w:p w14:paraId="3695CA0A">
                  <w:pPr>
                    <w:pStyle w:val="2"/>
                    <w:ind w:firstLine="0" w:firstLineChars="0"/>
                    <w:jc w:val="center"/>
                    <w:rPr>
                      <w:rFonts w:hint="eastAsia"/>
                      <w:b/>
                      <w:bCs/>
                      <w:color w:val="auto"/>
                      <w:sz w:val="21"/>
                      <w:szCs w:val="21"/>
                      <w:vertAlign w:val="baseline"/>
                      <w:lang w:val="en-US" w:eastAsia="zh-CN"/>
                    </w:rPr>
                  </w:pPr>
                  <w:r>
                    <w:rPr>
                      <w:color w:val="auto"/>
                      <w:sz w:val="21"/>
                      <w:szCs w:val="21"/>
                    </w:rPr>
                    <w:t>1次/季</w:t>
                  </w:r>
                </w:p>
              </w:tc>
              <w:tc>
                <w:tcPr>
                  <w:tcW w:w="2675" w:type="dxa"/>
                  <w:vAlign w:val="center"/>
                </w:tcPr>
                <w:p w14:paraId="4C48A693">
                  <w:pPr>
                    <w:pStyle w:val="2"/>
                    <w:ind w:firstLine="0" w:firstLineChars="0"/>
                    <w:jc w:val="center"/>
                    <w:rPr>
                      <w:rFonts w:hint="eastAsia"/>
                      <w:b/>
                      <w:bCs/>
                      <w:color w:val="auto"/>
                      <w:sz w:val="21"/>
                      <w:szCs w:val="21"/>
                      <w:vertAlign w:val="baseline"/>
                      <w:lang w:val="en-US" w:eastAsia="zh-CN"/>
                    </w:rPr>
                  </w:pPr>
                  <w:r>
                    <w:rPr>
                      <w:color w:val="auto"/>
                      <w:sz w:val="21"/>
                      <w:szCs w:val="21"/>
                    </w:rPr>
                    <w:t>《工业企业厂界环境噪声排放标准》(GB12348-2008）2类</w:t>
                  </w:r>
                </w:p>
              </w:tc>
            </w:tr>
          </w:tbl>
          <w:p w14:paraId="2B7A31C4">
            <w:pPr>
              <w:ind w:firstLine="422"/>
              <w:jc w:val="center"/>
              <w:rPr>
                <w:rFonts w:hint="eastAsia"/>
                <w:b/>
                <w:bCs/>
                <w:color w:val="auto"/>
                <w:sz w:val="21"/>
                <w:szCs w:val="21"/>
                <w:lang w:val="en-US" w:eastAsia="zh-CN"/>
              </w:rPr>
            </w:pPr>
          </w:p>
          <w:p w14:paraId="2CC24991">
            <w:pPr>
              <w:widowControl/>
              <w:ind w:firstLine="482"/>
              <w:jc w:val="left"/>
              <w:rPr>
                <w:b/>
                <w:bCs/>
                <w:color w:val="auto"/>
              </w:rPr>
            </w:pPr>
            <w:r>
              <w:rPr>
                <w:rFonts w:hint="eastAsia"/>
                <w:b/>
                <w:bCs/>
                <w:color w:val="auto"/>
                <w:lang w:val="en-US" w:eastAsia="zh-CN"/>
              </w:rPr>
              <w:t>八</w:t>
            </w:r>
            <w:r>
              <w:rPr>
                <w:b/>
                <w:bCs/>
                <w:color w:val="auto"/>
              </w:rPr>
              <w:t>、三本账</w:t>
            </w:r>
          </w:p>
          <w:p w14:paraId="434DDDE6">
            <w:pPr>
              <w:adjustRightInd w:val="0"/>
              <w:snapToGrid w:val="0"/>
              <w:ind w:firstLine="480"/>
              <w:rPr>
                <w:color w:val="auto"/>
              </w:rPr>
            </w:pPr>
            <w:r>
              <w:rPr>
                <w:color w:val="auto"/>
              </w:rPr>
              <w:t>本项目为</w:t>
            </w:r>
            <w:r>
              <w:rPr>
                <w:rFonts w:hint="eastAsia"/>
                <w:color w:val="auto"/>
                <w:lang w:eastAsia="zh-CN"/>
              </w:rPr>
              <w:t>玉溪市江川区县域医共体建设项目</w:t>
            </w:r>
            <w:r>
              <w:rPr>
                <w:color w:val="auto"/>
              </w:rPr>
              <w:t>，根据《江川区人民医院综合住院大楼建设项目验收监测报告》和《江川区人民医院综合住院大楼建设项目环境影响报告</w:t>
            </w:r>
            <w:r>
              <w:rPr>
                <w:rFonts w:hint="eastAsia"/>
                <w:color w:val="auto"/>
                <w:lang w:eastAsia="zh-CN"/>
              </w:rPr>
              <w:t>表</w:t>
            </w:r>
            <w:r>
              <w:rPr>
                <w:color w:val="auto"/>
              </w:rPr>
              <w:t>》。</w:t>
            </w:r>
          </w:p>
          <w:p w14:paraId="534F7F8B">
            <w:pPr>
              <w:adjustRightInd w:val="0"/>
              <w:snapToGrid w:val="0"/>
              <w:ind w:firstLine="480"/>
              <w:rPr>
                <w:color w:val="auto"/>
              </w:rPr>
            </w:pPr>
            <w:r>
              <w:rPr>
                <w:color w:val="auto"/>
              </w:rPr>
              <w:t>项目改建后无原有污染被取代，床位增加，相应的污水、废气及固废有所增加。</w:t>
            </w:r>
          </w:p>
          <w:p w14:paraId="0EF46165">
            <w:pPr>
              <w:ind w:firstLine="480"/>
              <w:rPr>
                <w:color w:val="auto"/>
                <w:kern w:val="0"/>
                <w:szCs w:val="24"/>
                <w:lang w:bidi="ar"/>
              </w:rPr>
            </w:pPr>
            <w:r>
              <w:rPr>
                <w:color w:val="auto"/>
              </w:rPr>
              <w:t>因此，本项目“三本账”计算见下表所示。</w:t>
            </w:r>
          </w:p>
        </w:tc>
      </w:tr>
    </w:tbl>
    <w:p w14:paraId="7E233757">
      <w:pPr>
        <w:ind w:firstLine="0" w:firstLineChars="0"/>
        <w:jc w:val="center"/>
        <w:rPr>
          <w:color w:val="auto"/>
        </w:rPr>
        <w:sectPr>
          <w:pgSz w:w="11906" w:h="16838"/>
          <w:pgMar w:top="1440" w:right="1800" w:bottom="1440" w:left="1800" w:header="851" w:footer="992" w:gutter="0"/>
          <w:pgNumType w:fmt="decimal"/>
          <w:cols w:space="720" w:num="1"/>
          <w:docGrid w:type="lines" w:linePitch="312" w:charSpace="0"/>
        </w:sectPr>
      </w:pPr>
    </w:p>
    <w:tbl>
      <w:tblPr>
        <w:tblStyle w:val="19"/>
        <w:tblW w:w="1427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13738"/>
      </w:tblGrid>
      <w:tr w14:paraId="784507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25" w:hRule="atLeast"/>
        </w:trPr>
        <w:tc>
          <w:tcPr>
            <w:tcW w:w="534" w:type="dxa"/>
            <w:vAlign w:val="center"/>
          </w:tcPr>
          <w:p w14:paraId="66BBDBEF">
            <w:pPr>
              <w:ind w:firstLine="0" w:firstLineChars="0"/>
              <w:jc w:val="center"/>
              <w:rPr>
                <w:color w:val="auto"/>
              </w:rPr>
            </w:pPr>
          </w:p>
        </w:tc>
        <w:tc>
          <w:tcPr>
            <w:tcW w:w="13738" w:type="dxa"/>
            <w:vAlign w:val="center"/>
          </w:tcPr>
          <w:p w14:paraId="0AA4AA1F">
            <w:pPr>
              <w:ind w:left="0" w:leftChars="0" w:firstLine="0" w:firstLineChars="0"/>
              <w:jc w:val="center"/>
              <w:rPr>
                <w:b/>
                <w:bCs/>
                <w:color w:val="auto"/>
              </w:rPr>
            </w:pPr>
            <w:r>
              <w:rPr>
                <w:b/>
                <w:bCs/>
                <w:color w:val="auto"/>
                <w:sz w:val="21"/>
                <w:szCs w:val="21"/>
              </w:rPr>
              <w:t>表4-</w:t>
            </w:r>
            <w:r>
              <w:rPr>
                <w:rFonts w:hint="eastAsia"/>
                <w:b/>
                <w:bCs/>
                <w:color w:val="auto"/>
                <w:sz w:val="21"/>
                <w:szCs w:val="21"/>
                <w:lang w:val="en-US" w:eastAsia="zh-CN"/>
              </w:rPr>
              <w:t>25</w:t>
            </w:r>
            <w:r>
              <w:rPr>
                <w:b/>
                <w:bCs/>
                <w:color w:val="auto"/>
                <w:sz w:val="21"/>
                <w:szCs w:val="21"/>
              </w:rPr>
              <w:t>项目</w:t>
            </w:r>
            <w:r>
              <w:rPr>
                <w:rFonts w:hint="eastAsia"/>
                <w:b/>
                <w:bCs/>
                <w:color w:val="auto"/>
                <w:sz w:val="21"/>
                <w:szCs w:val="21"/>
                <w:lang w:val="en-US" w:eastAsia="zh-CN"/>
              </w:rPr>
              <w:t>江川区医共体总院</w:t>
            </w:r>
            <w:r>
              <w:rPr>
                <w:b/>
                <w:bCs/>
                <w:color w:val="auto"/>
                <w:sz w:val="21"/>
                <w:szCs w:val="21"/>
              </w:rPr>
              <w:t>“三本账”核算表t/a</w:t>
            </w:r>
          </w:p>
          <w:tbl>
            <w:tblPr>
              <w:tblStyle w:val="19"/>
              <w:tblW w:w="48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
              <w:gridCol w:w="1485"/>
              <w:gridCol w:w="2141"/>
              <w:gridCol w:w="1104"/>
              <w:gridCol w:w="1449"/>
              <w:gridCol w:w="1991"/>
              <w:gridCol w:w="2552"/>
              <w:gridCol w:w="1560"/>
            </w:tblGrid>
            <w:tr w14:paraId="3E217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5" w:type="pct"/>
                  <w:vAlign w:val="center"/>
                </w:tcPr>
                <w:p w14:paraId="591AB765">
                  <w:pPr>
                    <w:pStyle w:val="2"/>
                    <w:snapToGrid w:val="0"/>
                    <w:jc w:val="center"/>
                    <w:rPr>
                      <w:color w:val="auto"/>
                      <w:sz w:val="21"/>
                      <w:szCs w:val="21"/>
                      <w:highlight w:val="none"/>
                    </w:rPr>
                  </w:pPr>
                  <w:r>
                    <w:rPr>
                      <w:color w:val="auto"/>
                      <w:sz w:val="21"/>
                      <w:szCs w:val="21"/>
                      <w:highlight w:val="none"/>
                    </w:rPr>
                    <w:t>类别</w:t>
                  </w:r>
                </w:p>
              </w:tc>
              <w:tc>
                <w:tcPr>
                  <w:tcW w:w="561" w:type="pct"/>
                  <w:vAlign w:val="center"/>
                </w:tcPr>
                <w:p w14:paraId="3314A350">
                  <w:pPr>
                    <w:pStyle w:val="2"/>
                    <w:snapToGrid w:val="0"/>
                    <w:jc w:val="center"/>
                    <w:rPr>
                      <w:color w:val="auto"/>
                      <w:sz w:val="21"/>
                      <w:szCs w:val="21"/>
                      <w:highlight w:val="none"/>
                    </w:rPr>
                  </w:pPr>
                  <w:r>
                    <w:rPr>
                      <w:color w:val="auto"/>
                      <w:sz w:val="21"/>
                      <w:szCs w:val="21"/>
                      <w:highlight w:val="none"/>
                    </w:rPr>
                    <w:t>排放源</w:t>
                  </w:r>
                </w:p>
              </w:tc>
              <w:tc>
                <w:tcPr>
                  <w:tcW w:w="809" w:type="pct"/>
                  <w:vAlign w:val="center"/>
                </w:tcPr>
                <w:p w14:paraId="0DEC6361">
                  <w:pPr>
                    <w:pStyle w:val="2"/>
                    <w:snapToGrid w:val="0"/>
                    <w:jc w:val="center"/>
                    <w:rPr>
                      <w:color w:val="auto"/>
                      <w:sz w:val="21"/>
                      <w:szCs w:val="21"/>
                      <w:highlight w:val="none"/>
                    </w:rPr>
                  </w:pPr>
                  <w:r>
                    <w:rPr>
                      <w:color w:val="auto"/>
                      <w:sz w:val="21"/>
                      <w:szCs w:val="21"/>
                      <w:highlight w:val="none"/>
                    </w:rPr>
                    <w:t>污染物</w:t>
                  </w:r>
                </w:p>
              </w:tc>
              <w:tc>
                <w:tcPr>
                  <w:tcW w:w="417" w:type="pct"/>
                  <w:vAlign w:val="center"/>
                </w:tcPr>
                <w:p w14:paraId="4410A1E0">
                  <w:pPr>
                    <w:pStyle w:val="2"/>
                    <w:snapToGrid w:val="0"/>
                    <w:jc w:val="center"/>
                    <w:rPr>
                      <w:color w:val="auto"/>
                      <w:sz w:val="21"/>
                      <w:szCs w:val="21"/>
                      <w:highlight w:val="none"/>
                    </w:rPr>
                  </w:pPr>
                  <w:r>
                    <w:rPr>
                      <w:color w:val="auto"/>
                      <w:sz w:val="21"/>
                      <w:szCs w:val="21"/>
                      <w:highlight w:val="none"/>
                    </w:rPr>
                    <w:t>改扩建前</w:t>
                  </w:r>
                </w:p>
              </w:tc>
              <w:tc>
                <w:tcPr>
                  <w:tcW w:w="547" w:type="pct"/>
                  <w:vAlign w:val="center"/>
                </w:tcPr>
                <w:p w14:paraId="6708750E">
                  <w:pPr>
                    <w:pStyle w:val="2"/>
                    <w:snapToGrid w:val="0"/>
                    <w:jc w:val="center"/>
                    <w:rPr>
                      <w:color w:val="auto"/>
                      <w:sz w:val="21"/>
                      <w:szCs w:val="21"/>
                      <w:highlight w:val="none"/>
                    </w:rPr>
                  </w:pPr>
                  <w:r>
                    <w:rPr>
                      <w:color w:val="auto"/>
                      <w:sz w:val="21"/>
                      <w:szCs w:val="21"/>
                      <w:highlight w:val="none"/>
                    </w:rPr>
                    <w:t>本项目排放量</w:t>
                  </w:r>
                </w:p>
              </w:tc>
              <w:tc>
                <w:tcPr>
                  <w:tcW w:w="752" w:type="pct"/>
                  <w:vAlign w:val="center"/>
                </w:tcPr>
                <w:p w14:paraId="05AA03B5">
                  <w:pPr>
                    <w:pStyle w:val="2"/>
                    <w:snapToGrid w:val="0"/>
                    <w:jc w:val="center"/>
                    <w:rPr>
                      <w:color w:val="auto"/>
                      <w:sz w:val="21"/>
                      <w:szCs w:val="21"/>
                      <w:highlight w:val="none"/>
                    </w:rPr>
                  </w:pPr>
                  <w:r>
                    <w:rPr>
                      <w:color w:val="auto"/>
                      <w:sz w:val="21"/>
                      <w:szCs w:val="21"/>
                      <w:highlight w:val="none"/>
                    </w:rPr>
                    <w:t>“以新带老”削减量</w:t>
                  </w:r>
                </w:p>
              </w:tc>
              <w:tc>
                <w:tcPr>
                  <w:tcW w:w="965" w:type="pct"/>
                  <w:vAlign w:val="center"/>
                </w:tcPr>
                <w:p w14:paraId="6CD96734">
                  <w:pPr>
                    <w:pStyle w:val="2"/>
                    <w:snapToGrid w:val="0"/>
                    <w:jc w:val="center"/>
                    <w:rPr>
                      <w:color w:val="auto"/>
                      <w:sz w:val="21"/>
                      <w:szCs w:val="21"/>
                      <w:highlight w:val="none"/>
                    </w:rPr>
                  </w:pPr>
                  <w:r>
                    <w:rPr>
                      <w:color w:val="auto"/>
                      <w:sz w:val="21"/>
                      <w:szCs w:val="21"/>
                      <w:highlight w:val="none"/>
                    </w:rPr>
                    <w:t>项目改建后全厂排量</w:t>
                  </w:r>
                </w:p>
              </w:tc>
              <w:tc>
                <w:tcPr>
                  <w:tcW w:w="589" w:type="pct"/>
                  <w:vAlign w:val="center"/>
                </w:tcPr>
                <w:p w14:paraId="107537BA">
                  <w:pPr>
                    <w:pStyle w:val="2"/>
                    <w:snapToGrid w:val="0"/>
                    <w:jc w:val="center"/>
                    <w:rPr>
                      <w:color w:val="auto"/>
                      <w:sz w:val="21"/>
                      <w:szCs w:val="21"/>
                      <w:highlight w:val="none"/>
                    </w:rPr>
                  </w:pPr>
                  <w:r>
                    <w:rPr>
                      <w:color w:val="auto"/>
                      <w:sz w:val="21"/>
                      <w:szCs w:val="21"/>
                      <w:highlight w:val="none"/>
                    </w:rPr>
                    <w:t>增减量</w:t>
                  </w:r>
                </w:p>
              </w:tc>
            </w:tr>
            <w:tr w14:paraId="1894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355" w:type="pct"/>
                  <w:vMerge w:val="restart"/>
                  <w:vAlign w:val="center"/>
                </w:tcPr>
                <w:p w14:paraId="16F417F6">
                  <w:pPr>
                    <w:pStyle w:val="2"/>
                    <w:snapToGrid w:val="0"/>
                    <w:jc w:val="center"/>
                    <w:rPr>
                      <w:color w:val="auto"/>
                      <w:sz w:val="21"/>
                      <w:szCs w:val="21"/>
                      <w:highlight w:val="none"/>
                    </w:rPr>
                  </w:pPr>
                  <w:r>
                    <w:rPr>
                      <w:color w:val="auto"/>
                      <w:sz w:val="21"/>
                      <w:szCs w:val="21"/>
                      <w:highlight w:val="none"/>
                    </w:rPr>
                    <w:t>废气</w:t>
                  </w:r>
                </w:p>
              </w:tc>
              <w:tc>
                <w:tcPr>
                  <w:tcW w:w="561" w:type="pct"/>
                  <w:vMerge w:val="restart"/>
                  <w:vAlign w:val="center"/>
                </w:tcPr>
                <w:p w14:paraId="2C33E191">
                  <w:pPr>
                    <w:pStyle w:val="2"/>
                    <w:snapToGrid w:val="0"/>
                    <w:jc w:val="center"/>
                    <w:rPr>
                      <w:color w:val="auto"/>
                      <w:sz w:val="21"/>
                      <w:szCs w:val="21"/>
                      <w:highlight w:val="none"/>
                    </w:rPr>
                  </w:pPr>
                  <w:r>
                    <w:rPr>
                      <w:color w:val="auto"/>
                      <w:sz w:val="21"/>
                      <w:szCs w:val="21"/>
                      <w:highlight w:val="none"/>
                    </w:rPr>
                    <w:t>污水处理</w:t>
                  </w:r>
                </w:p>
              </w:tc>
              <w:tc>
                <w:tcPr>
                  <w:tcW w:w="809" w:type="pct"/>
                  <w:vAlign w:val="center"/>
                </w:tcPr>
                <w:p w14:paraId="3F952728">
                  <w:pPr>
                    <w:pStyle w:val="2"/>
                    <w:snapToGrid w:val="0"/>
                    <w:jc w:val="center"/>
                    <w:rPr>
                      <w:color w:val="auto"/>
                      <w:sz w:val="21"/>
                      <w:szCs w:val="21"/>
                      <w:highlight w:val="none"/>
                    </w:rPr>
                  </w:pPr>
                  <w:r>
                    <w:rPr>
                      <w:color w:val="auto"/>
                      <w:highlight w:val="none"/>
                    </w:rPr>
                    <w:t>H</w:t>
                  </w:r>
                  <w:r>
                    <w:rPr>
                      <w:color w:val="auto"/>
                      <w:highlight w:val="none"/>
                      <w:vertAlign w:val="subscript"/>
                    </w:rPr>
                    <w:t>2</w:t>
                  </w:r>
                  <w:r>
                    <w:rPr>
                      <w:color w:val="auto"/>
                      <w:highlight w:val="none"/>
                    </w:rPr>
                    <w:t>S</w:t>
                  </w:r>
                </w:p>
              </w:tc>
              <w:tc>
                <w:tcPr>
                  <w:tcW w:w="417" w:type="pct"/>
                  <w:vAlign w:val="center"/>
                </w:tcPr>
                <w:p w14:paraId="4FF2CAC4">
                  <w:pPr>
                    <w:pStyle w:val="2"/>
                    <w:snapToGrid w:val="0"/>
                    <w:ind w:firstLine="0" w:firstLineChars="0"/>
                    <w:jc w:val="center"/>
                    <w:rPr>
                      <w:color w:val="auto"/>
                      <w:sz w:val="21"/>
                      <w:szCs w:val="21"/>
                      <w:highlight w:val="none"/>
                    </w:rPr>
                  </w:pPr>
                  <w:r>
                    <w:rPr>
                      <w:rFonts w:hint="eastAsia"/>
                      <w:color w:val="auto"/>
                      <w:sz w:val="21"/>
                      <w:szCs w:val="21"/>
                      <w:highlight w:val="none"/>
                    </w:rPr>
                    <w:t>0</w:t>
                  </w:r>
                  <w:r>
                    <w:rPr>
                      <w:color w:val="auto"/>
                      <w:sz w:val="21"/>
                      <w:szCs w:val="21"/>
                      <w:highlight w:val="none"/>
                    </w:rPr>
                    <w:t>.0006964</w:t>
                  </w:r>
                </w:p>
              </w:tc>
              <w:tc>
                <w:tcPr>
                  <w:tcW w:w="547" w:type="pct"/>
                  <w:vAlign w:val="center"/>
                </w:tcPr>
                <w:p w14:paraId="0D7DFA86">
                  <w:pPr>
                    <w:pStyle w:val="2"/>
                    <w:snapToGrid w:val="0"/>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52" w:type="pct"/>
                  <w:vAlign w:val="center"/>
                </w:tcPr>
                <w:p w14:paraId="496F0325">
                  <w:pPr>
                    <w:pStyle w:val="2"/>
                    <w:snapToGrid w:val="0"/>
                    <w:jc w:val="center"/>
                    <w:rPr>
                      <w:rFonts w:hint="eastAsia" w:eastAsia="宋体"/>
                      <w:color w:val="auto"/>
                      <w:sz w:val="21"/>
                      <w:szCs w:val="21"/>
                      <w:highlight w:val="none"/>
                      <w:lang w:eastAsia="zh-CN"/>
                    </w:rPr>
                  </w:pPr>
                  <w:r>
                    <w:rPr>
                      <w:color w:val="auto"/>
                      <w:sz w:val="21"/>
                      <w:szCs w:val="21"/>
                      <w:highlight w:val="none"/>
                    </w:rPr>
                    <w:t>0</w:t>
                  </w:r>
                </w:p>
              </w:tc>
              <w:tc>
                <w:tcPr>
                  <w:tcW w:w="965" w:type="pct"/>
                  <w:vAlign w:val="center"/>
                </w:tcPr>
                <w:p w14:paraId="0E20F9D3">
                  <w:pPr>
                    <w:pStyle w:val="2"/>
                    <w:snapToGrid w:val="0"/>
                    <w:jc w:val="center"/>
                    <w:rPr>
                      <w:color w:val="auto"/>
                      <w:sz w:val="21"/>
                      <w:szCs w:val="21"/>
                      <w:highlight w:val="none"/>
                    </w:rPr>
                  </w:pPr>
                  <w:r>
                    <w:rPr>
                      <w:rFonts w:hint="eastAsia"/>
                      <w:color w:val="auto"/>
                      <w:sz w:val="21"/>
                      <w:szCs w:val="21"/>
                      <w:highlight w:val="none"/>
                    </w:rPr>
                    <w:t>0</w:t>
                  </w:r>
                  <w:r>
                    <w:rPr>
                      <w:color w:val="auto"/>
                      <w:sz w:val="21"/>
                      <w:szCs w:val="21"/>
                      <w:highlight w:val="none"/>
                    </w:rPr>
                    <w:t>.0006964</w:t>
                  </w:r>
                </w:p>
              </w:tc>
              <w:tc>
                <w:tcPr>
                  <w:tcW w:w="589" w:type="pct"/>
                  <w:vAlign w:val="center"/>
                </w:tcPr>
                <w:p w14:paraId="6B95B13B">
                  <w:pPr>
                    <w:pStyle w:val="2"/>
                    <w:snapToGrid w:val="0"/>
                    <w:jc w:val="center"/>
                    <w:rPr>
                      <w:rFonts w:hint="eastAsia" w:eastAsia="宋体"/>
                      <w:color w:val="auto"/>
                      <w:sz w:val="21"/>
                      <w:szCs w:val="21"/>
                      <w:highlight w:val="none"/>
                      <w:lang w:eastAsia="zh-CN"/>
                    </w:rPr>
                  </w:pPr>
                  <w:r>
                    <w:rPr>
                      <w:color w:val="auto"/>
                      <w:sz w:val="21"/>
                      <w:szCs w:val="21"/>
                      <w:highlight w:val="none"/>
                    </w:rPr>
                    <w:t>+</w:t>
                  </w:r>
                  <w:r>
                    <w:rPr>
                      <w:rFonts w:hint="eastAsia"/>
                      <w:color w:val="auto"/>
                      <w:sz w:val="21"/>
                      <w:szCs w:val="21"/>
                      <w:highlight w:val="none"/>
                      <w:lang w:val="en-US" w:eastAsia="zh-CN"/>
                    </w:rPr>
                    <w:t>0</w:t>
                  </w:r>
                </w:p>
              </w:tc>
            </w:tr>
            <w:tr w14:paraId="0AAC6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355" w:type="pct"/>
                  <w:vMerge w:val="continue"/>
                  <w:vAlign w:val="center"/>
                </w:tcPr>
                <w:p w14:paraId="2ECFFA22">
                  <w:pPr>
                    <w:pStyle w:val="2"/>
                    <w:snapToGrid w:val="0"/>
                    <w:jc w:val="center"/>
                    <w:rPr>
                      <w:color w:val="auto"/>
                      <w:sz w:val="21"/>
                      <w:szCs w:val="21"/>
                      <w:highlight w:val="none"/>
                    </w:rPr>
                  </w:pPr>
                </w:p>
              </w:tc>
              <w:tc>
                <w:tcPr>
                  <w:tcW w:w="561" w:type="pct"/>
                  <w:vMerge w:val="continue"/>
                  <w:vAlign w:val="center"/>
                </w:tcPr>
                <w:p w14:paraId="46CF93D0">
                  <w:pPr>
                    <w:pStyle w:val="2"/>
                    <w:snapToGrid w:val="0"/>
                    <w:jc w:val="center"/>
                    <w:rPr>
                      <w:color w:val="auto"/>
                      <w:sz w:val="21"/>
                      <w:szCs w:val="21"/>
                      <w:highlight w:val="none"/>
                    </w:rPr>
                  </w:pPr>
                </w:p>
              </w:tc>
              <w:tc>
                <w:tcPr>
                  <w:tcW w:w="809" w:type="pct"/>
                  <w:vAlign w:val="center"/>
                </w:tcPr>
                <w:p w14:paraId="6F1242F3">
                  <w:pPr>
                    <w:pStyle w:val="2"/>
                    <w:snapToGrid w:val="0"/>
                    <w:jc w:val="center"/>
                    <w:rPr>
                      <w:color w:val="auto"/>
                      <w:highlight w:val="none"/>
                    </w:rPr>
                  </w:pPr>
                  <w:r>
                    <w:rPr>
                      <w:color w:val="auto"/>
                      <w:highlight w:val="none"/>
                    </w:rPr>
                    <w:t>NH</w:t>
                  </w:r>
                  <w:r>
                    <w:rPr>
                      <w:color w:val="auto"/>
                      <w:highlight w:val="none"/>
                      <w:vertAlign w:val="subscript"/>
                    </w:rPr>
                    <w:t>3</w:t>
                  </w:r>
                </w:p>
              </w:tc>
              <w:tc>
                <w:tcPr>
                  <w:tcW w:w="417" w:type="pct"/>
                  <w:vAlign w:val="center"/>
                </w:tcPr>
                <w:p w14:paraId="4EE064E0">
                  <w:pPr>
                    <w:pStyle w:val="2"/>
                    <w:snapToGrid w:val="0"/>
                    <w:ind w:firstLine="0" w:firstLineChars="0"/>
                    <w:jc w:val="center"/>
                    <w:rPr>
                      <w:color w:val="auto"/>
                      <w:sz w:val="21"/>
                      <w:szCs w:val="21"/>
                      <w:highlight w:val="none"/>
                    </w:rPr>
                  </w:pPr>
                  <w:r>
                    <w:rPr>
                      <w:rFonts w:hint="eastAsia"/>
                      <w:color w:val="auto"/>
                      <w:sz w:val="21"/>
                      <w:szCs w:val="21"/>
                      <w:highlight w:val="none"/>
                    </w:rPr>
                    <w:t>0</w:t>
                  </w:r>
                  <w:r>
                    <w:rPr>
                      <w:color w:val="auto"/>
                      <w:sz w:val="21"/>
                      <w:szCs w:val="21"/>
                      <w:highlight w:val="none"/>
                    </w:rPr>
                    <w:t>.017977</w:t>
                  </w:r>
                </w:p>
              </w:tc>
              <w:tc>
                <w:tcPr>
                  <w:tcW w:w="547" w:type="pct"/>
                  <w:vAlign w:val="center"/>
                </w:tcPr>
                <w:p w14:paraId="31AD1474">
                  <w:pPr>
                    <w:pStyle w:val="2"/>
                    <w:snapToGrid w:val="0"/>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52" w:type="pct"/>
                  <w:vAlign w:val="center"/>
                </w:tcPr>
                <w:p w14:paraId="3EA9A04F">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744B2AA6">
                  <w:pPr>
                    <w:pStyle w:val="2"/>
                    <w:snapToGrid w:val="0"/>
                    <w:jc w:val="center"/>
                    <w:rPr>
                      <w:color w:val="auto"/>
                      <w:sz w:val="21"/>
                      <w:szCs w:val="21"/>
                      <w:highlight w:val="none"/>
                    </w:rPr>
                  </w:pPr>
                  <w:r>
                    <w:rPr>
                      <w:rFonts w:hint="eastAsia"/>
                      <w:color w:val="auto"/>
                      <w:sz w:val="21"/>
                      <w:szCs w:val="21"/>
                      <w:highlight w:val="none"/>
                    </w:rPr>
                    <w:t>0</w:t>
                  </w:r>
                  <w:r>
                    <w:rPr>
                      <w:color w:val="auto"/>
                      <w:sz w:val="21"/>
                      <w:szCs w:val="21"/>
                      <w:highlight w:val="none"/>
                    </w:rPr>
                    <w:t>.017977</w:t>
                  </w:r>
                </w:p>
              </w:tc>
              <w:tc>
                <w:tcPr>
                  <w:tcW w:w="589" w:type="pct"/>
                  <w:vAlign w:val="center"/>
                </w:tcPr>
                <w:p w14:paraId="514D8D2C">
                  <w:pPr>
                    <w:pStyle w:val="2"/>
                    <w:snapToGrid w:val="0"/>
                    <w:jc w:val="center"/>
                    <w:rPr>
                      <w:rFonts w:hint="eastAsia" w:eastAsia="宋体"/>
                      <w:color w:val="auto"/>
                      <w:sz w:val="21"/>
                      <w:szCs w:val="21"/>
                      <w:highlight w:val="none"/>
                      <w:lang w:eastAsia="zh-CN"/>
                    </w:rPr>
                  </w:pPr>
                  <w:r>
                    <w:rPr>
                      <w:color w:val="auto"/>
                      <w:sz w:val="21"/>
                      <w:szCs w:val="21"/>
                      <w:highlight w:val="none"/>
                    </w:rPr>
                    <w:t>+</w:t>
                  </w:r>
                  <w:r>
                    <w:rPr>
                      <w:rFonts w:hint="eastAsia"/>
                      <w:color w:val="auto"/>
                      <w:sz w:val="21"/>
                      <w:szCs w:val="21"/>
                      <w:highlight w:val="none"/>
                      <w:lang w:val="en-US" w:eastAsia="zh-CN"/>
                    </w:rPr>
                    <w:t>0</w:t>
                  </w:r>
                </w:p>
              </w:tc>
            </w:tr>
            <w:tr w14:paraId="42CEC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355" w:type="pct"/>
                  <w:vMerge w:val="continue"/>
                  <w:vAlign w:val="center"/>
                </w:tcPr>
                <w:p w14:paraId="4941CAAC">
                  <w:pPr>
                    <w:pStyle w:val="2"/>
                    <w:snapToGrid w:val="0"/>
                    <w:jc w:val="center"/>
                    <w:rPr>
                      <w:color w:val="auto"/>
                      <w:sz w:val="21"/>
                      <w:szCs w:val="21"/>
                      <w:highlight w:val="none"/>
                    </w:rPr>
                  </w:pPr>
                </w:p>
              </w:tc>
              <w:tc>
                <w:tcPr>
                  <w:tcW w:w="561" w:type="pct"/>
                  <w:vAlign w:val="center"/>
                </w:tcPr>
                <w:p w14:paraId="6D0E7B17">
                  <w:pPr>
                    <w:pStyle w:val="2"/>
                    <w:snapToGrid w:val="0"/>
                    <w:jc w:val="center"/>
                    <w:rPr>
                      <w:color w:val="auto"/>
                      <w:sz w:val="21"/>
                      <w:szCs w:val="21"/>
                      <w:highlight w:val="none"/>
                    </w:rPr>
                  </w:pPr>
                  <w:r>
                    <w:rPr>
                      <w:color w:val="auto"/>
                      <w:sz w:val="21"/>
                      <w:szCs w:val="21"/>
                      <w:highlight w:val="none"/>
                    </w:rPr>
                    <w:t>厨房</w:t>
                  </w:r>
                </w:p>
              </w:tc>
              <w:tc>
                <w:tcPr>
                  <w:tcW w:w="809" w:type="pct"/>
                  <w:vAlign w:val="center"/>
                </w:tcPr>
                <w:p w14:paraId="70839E1E">
                  <w:pPr>
                    <w:pStyle w:val="2"/>
                    <w:snapToGrid w:val="0"/>
                    <w:jc w:val="center"/>
                    <w:rPr>
                      <w:color w:val="auto"/>
                      <w:sz w:val="21"/>
                      <w:szCs w:val="21"/>
                      <w:highlight w:val="none"/>
                    </w:rPr>
                  </w:pPr>
                  <w:r>
                    <w:rPr>
                      <w:color w:val="auto"/>
                      <w:sz w:val="21"/>
                      <w:szCs w:val="21"/>
                      <w:highlight w:val="none"/>
                    </w:rPr>
                    <w:t>油烟</w:t>
                  </w:r>
                </w:p>
              </w:tc>
              <w:tc>
                <w:tcPr>
                  <w:tcW w:w="417" w:type="pct"/>
                  <w:vAlign w:val="center"/>
                </w:tcPr>
                <w:p w14:paraId="4FB91BF5">
                  <w:pPr>
                    <w:pStyle w:val="2"/>
                    <w:snapToGrid w:val="0"/>
                    <w:ind w:firstLine="0" w:firstLineChars="0"/>
                    <w:jc w:val="center"/>
                    <w:rPr>
                      <w:color w:val="auto"/>
                      <w:sz w:val="21"/>
                      <w:szCs w:val="21"/>
                      <w:highlight w:val="none"/>
                    </w:rPr>
                  </w:pPr>
                  <w:r>
                    <w:rPr>
                      <w:color w:val="auto"/>
                      <w:sz w:val="21"/>
                      <w:szCs w:val="21"/>
                      <w:highlight w:val="none"/>
                    </w:rPr>
                    <w:t>-</w:t>
                  </w:r>
                </w:p>
              </w:tc>
              <w:tc>
                <w:tcPr>
                  <w:tcW w:w="547" w:type="pct"/>
                  <w:vAlign w:val="center"/>
                </w:tcPr>
                <w:p w14:paraId="33776F26">
                  <w:pPr>
                    <w:pStyle w:val="2"/>
                    <w:snapToGrid w:val="0"/>
                    <w:ind w:firstLine="0" w:firstLineChars="0"/>
                    <w:jc w:val="center"/>
                    <w:rPr>
                      <w:color w:val="auto"/>
                      <w:sz w:val="21"/>
                      <w:szCs w:val="21"/>
                      <w:highlight w:val="none"/>
                    </w:rPr>
                  </w:pPr>
                  <w:r>
                    <w:rPr>
                      <w:color w:val="auto"/>
                      <w:sz w:val="21"/>
                      <w:szCs w:val="21"/>
                      <w:highlight w:val="none"/>
                    </w:rPr>
                    <w:t>-</w:t>
                  </w:r>
                </w:p>
              </w:tc>
              <w:tc>
                <w:tcPr>
                  <w:tcW w:w="752" w:type="pct"/>
                  <w:vAlign w:val="center"/>
                </w:tcPr>
                <w:p w14:paraId="66DE1468">
                  <w:pPr>
                    <w:pStyle w:val="2"/>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965" w:type="pct"/>
                  <w:vAlign w:val="center"/>
                </w:tcPr>
                <w:p w14:paraId="08415784">
                  <w:pPr>
                    <w:pStyle w:val="2"/>
                    <w:snapToGrid w:val="0"/>
                    <w:jc w:val="center"/>
                    <w:rPr>
                      <w:color w:val="auto"/>
                      <w:sz w:val="21"/>
                      <w:szCs w:val="21"/>
                      <w:highlight w:val="none"/>
                    </w:rPr>
                  </w:pPr>
                  <w:r>
                    <w:rPr>
                      <w:color w:val="auto"/>
                      <w:sz w:val="21"/>
                      <w:szCs w:val="21"/>
                      <w:highlight w:val="none"/>
                    </w:rPr>
                    <w:t>-</w:t>
                  </w:r>
                </w:p>
              </w:tc>
              <w:tc>
                <w:tcPr>
                  <w:tcW w:w="589" w:type="pct"/>
                  <w:vAlign w:val="center"/>
                </w:tcPr>
                <w:p w14:paraId="30BB29E1">
                  <w:pPr>
                    <w:pStyle w:val="2"/>
                    <w:snapToGrid w:val="0"/>
                    <w:jc w:val="center"/>
                    <w:rPr>
                      <w:color w:val="auto"/>
                      <w:sz w:val="21"/>
                      <w:szCs w:val="21"/>
                      <w:highlight w:val="none"/>
                    </w:rPr>
                  </w:pPr>
                  <w:r>
                    <w:rPr>
                      <w:color w:val="auto"/>
                      <w:sz w:val="21"/>
                      <w:szCs w:val="21"/>
                      <w:highlight w:val="none"/>
                    </w:rPr>
                    <w:t>-</w:t>
                  </w:r>
                </w:p>
              </w:tc>
            </w:tr>
            <w:tr w14:paraId="57318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355" w:type="pct"/>
                  <w:vMerge w:val="continue"/>
                  <w:vAlign w:val="center"/>
                </w:tcPr>
                <w:p w14:paraId="759933A1">
                  <w:pPr>
                    <w:pStyle w:val="2"/>
                    <w:snapToGrid w:val="0"/>
                    <w:jc w:val="center"/>
                    <w:rPr>
                      <w:color w:val="auto"/>
                      <w:sz w:val="21"/>
                      <w:szCs w:val="21"/>
                      <w:highlight w:val="none"/>
                    </w:rPr>
                  </w:pPr>
                </w:p>
              </w:tc>
              <w:tc>
                <w:tcPr>
                  <w:tcW w:w="561" w:type="pct"/>
                  <w:vAlign w:val="center"/>
                </w:tcPr>
                <w:p w14:paraId="149B56F5">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消毒中心</w:t>
                  </w:r>
                </w:p>
              </w:tc>
              <w:tc>
                <w:tcPr>
                  <w:tcW w:w="809" w:type="pct"/>
                  <w:vAlign w:val="center"/>
                </w:tcPr>
                <w:p w14:paraId="7791AF16">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甲醛</w:t>
                  </w:r>
                </w:p>
              </w:tc>
              <w:tc>
                <w:tcPr>
                  <w:tcW w:w="417" w:type="pct"/>
                  <w:vAlign w:val="center"/>
                </w:tcPr>
                <w:p w14:paraId="4A3C21B5">
                  <w:pPr>
                    <w:pStyle w:val="2"/>
                    <w:snapToGrid w:val="0"/>
                    <w:ind w:firstLine="0"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547" w:type="pct"/>
                  <w:vAlign w:val="center"/>
                </w:tcPr>
                <w:p w14:paraId="373B7A36">
                  <w:pPr>
                    <w:pStyle w:val="2"/>
                    <w:snapToGrid w:val="0"/>
                    <w:ind w:firstLine="0" w:firstLineChars="0"/>
                    <w:jc w:val="center"/>
                    <w:rPr>
                      <w:color w:val="auto"/>
                      <w:sz w:val="21"/>
                      <w:szCs w:val="21"/>
                      <w:highlight w:val="none"/>
                    </w:rPr>
                  </w:pPr>
                  <w:r>
                    <w:rPr>
                      <w:rFonts w:hint="eastAsia"/>
                      <w:color w:val="auto"/>
                      <w:kern w:val="0"/>
                      <w:lang w:val="en-US" w:eastAsia="zh-CN"/>
                    </w:rPr>
                    <w:t>108kg</w:t>
                  </w:r>
                </w:p>
              </w:tc>
              <w:tc>
                <w:tcPr>
                  <w:tcW w:w="752" w:type="pct"/>
                  <w:vAlign w:val="center"/>
                </w:tcPr>
                <w:p w14:paraId="6511BE35">
                  <w:pPr>
                    <w:pStyle w:val="2"/>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318E11AF">
                  <w:pPr>
                    <w:pStyle w:val="2"/>
                    <w:snapToGrid w:val="0"/>
                    <w:jc w:val="center"/>
                    <w:rPr>
                      <w:color w:val="auto"/>
                      <w:sz w:val="21"/>
                      <w:szCs w:val="21"/>
                      <w:highlight w:val="none"/>
                    </w:rPr>
                  </w:pPr>
                  <w:r>
                    <w:rPr>
                      <w:rFonts w:hint="eastAsia"/>
                      <w:color w:val="auto"/>
                      <w:kern w:val="0"/>
                      <w:lang w:val="en-US" w:eastAsia="zh-CN"/>
                    </w:rPr>
                    <w:t>108kg</w:t>
                  </w:r>
                </w:p>
              </w:tc>
              <w:tc>
                <w:tcPr>
                  <w:tcW w:w="589" w:type="pct"/>
                  <w:vAlign w:val="center"/>
                </w:tcPr>
                <w:p w14:paraId="1947C334">
                  <w:pPr>
                    <w:pStyle w:val="2"/>
                    <w:snapToGrid w:val="0"/>
                    <w:jc w:val="center"/>
                    <w:rPr>
                      <w:color w:val="auto"/>
                      <w:sz w:val="21"/>
                      <w:szCs w:val="21"/>
                      <w:highlight w:val="none"/>
                    </w:rPr>
                  </w:pPr>
                  <w:r>
                    <w:rPr>
                      <w:rFonts w:hint="eastAsia"/>
                      <w:color w:val="auto"/>
                      <w:kern w:val="0"/>
                      <w:lang w:val="en-US" w:eastAsia="zh-CN"/>
                    </w:rPr>
                    <w:t>+108kg</w:t>
                  </w:r>
                </w:p>
              </w:tc>
            </w:tr>
            <w:tr w14:paraId="30FF1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55" w:type="pct"/>
                  <w:vAlign w:val="center"/>
                </w:tcPr>
                <w:p w14:paraId="08797120">
                  <w:pPr>
                    <w:pStyle w:val="2"/>
                    <w:snapToGrid w:val="0"/>
                    <w:jc w:val="center"/>
                    <w:rPr>
                      <w:color w:val="auto"/>
                      <w:sz w:val="21"/>
                      <w:szCs w:val="21"/>
                      <w:highlight w:val="none"/>
                    </w:rPr>
                  </w:pPr>
                  <w:r>
                    <w:rPr>
                      <w:color w:val="auto"/>
                      <w:sz w:val="21"/>
                      <w:szCs w:val="21"/>
                      <w:highlight w:val="none"/>
                    </w:rPr>
                    <w:t>固废</w:t>
                  </w:r>
                </w:p>
              </w:tc>
              <w:tc>
                <w:tcPr>
                  <w:tcW w:w="561" w:type="pct"/>
                  <w:vAlign w:val="center"/>
                </w:tcPr>
                <w:p w14:paraId="4EC5C8E2">
                  <w:pPr>
                    <w:pStyle w:val="2"/>
                    <w:snapToGrid w:val="0"/>
                    <w:jc w:val="center"/>
                    <w:rPr>
                      <w:color w:val="auto"/>
                      <w:sz w:val="21"/>
                      <w:szCs w:val="21"/>
                      <w:highlight w:val="none"/>
                    </w:rPr>
                  </w:pPr>
                  <w:r>
                    <w:rPr>
                      <w:color w:val="auto"/>
                      <w:sz w:val="21"/>
                      <w:szCs w:val="21"/>
                      <w:highlight w:val="none"/>
                    </w:rPr>
                    <w:t>全院</w:t>
                  </w:r>
                </w:p>
              </w:tc>
              <w:tc>
                <w:tcPr>
                  <w:tcW w:w="809" w:type="pct"/>
                  <w:vAlign w:val="center"/>
                </w:tcPr>
                <w:p w14:paraId="26CD9048">
                  <w:pPr>
                    <w:pStyle w:val="2"/>
                    <w:snapToGrid w:val="0"/>
                    <w:jc w:val="center"/>
                    <w:rPr>
                      <w:color w:val="auto"/>
                      <w:sz w:val="21"/>
                      <w:szCs w:val="21"/>
                      <w:highlight w:val="none"/>
                    </w:rPr>
                  </w:pPr>
                  <w:r>
                    <w:rPr>
                      <w:color w:val="auto"/>
                      <w:sz w:val="21"/>
                      <w:szCs w:val="21"/>
                      <w:highlight w:val="none"/>
                    </w:rPr>
                    <w:t>生活垃圾</w:t>
                  </w:r>
                </w:p>
              </w:tc>
              <w:tc>
                <w:tcPr>
                  <w:tcW w:w="417" w:type="pct"/>
                  <w:vAlign w:val="center"/>
                </w:tcPr>
                <w:p w14:paraId="5892D66E">
                  <w:pPr>
                    <w:pStyle w:val="2"/>
                    <w:snapToGrid w:val="0"/>
                    <w:ind w:firstLine="0" w:firstLineChars="0"/>
                    <w:jc w:val="center"/>
                    <w:rPr>
                      <w:color w:val="auto"/>
                      <w:sz w:val="21"/>
                      <w:szCs w:val="21"/>
                      <w:highlight w:val="none"/>
                    </w:rPr>
                  </w:pPr>
                  <w:r>
                    <w:rPr>
                      <w:color w:val="auto"/>
                      <w:sz w:val="21"/>
                      <w:szCs w:val="21"/>
                      <w:highlight w:val="none"/>
                    </w:rPr>
                    <w:t>375.3</w:t>
                  </w:r>
                </w:p>
              </w:tc>
              <w:tc>
                <w:tcPr>
                  <w:tcW w:w="547" w:type="pct"/>
                  <w:vAlign w:val="center"/>
                </w:tcPr>
                <w:p w14:paraId="57697A9D">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w:t>
                  </w:r>
                </w:p>
              </w:tc>
              <w:tc>
                <w:tcPr>
                  <w:tcW w:w="752" w:type="pct"/>
                  <w:vAlign w:val="center"/>
                </w:tcPr>
                <w:p w14:paraId="08065CDA">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32C3B059">
                  <w:pPr>
                    <w:pStyle w:val="2"/>
                    <w:snapToGrid w:val="0"/>
                    <w:jc w:val="center"/>
                    <w:rPr>
                      <w:color w:val="auto"/>
                      <w:sz w:val="21"/>
                      <w:szCs w:val="21"/>
                      <w:highlight w:val="none"/>
                    </w:rPr>
                  </w:pPr>
                  <w:r>
                    <w:rPr>
                      <w:color w:val="auto"/>
                      <w:sz w:val="21"/>
                      <w:szCs w:val="21"/>
                      <w:highlight w:val="none"/>
                    </w:rPr>
                    <w:t>375.3</w:t>
                  </w:r>
                </w:p>
              </w:tc>
              <w:tc>
                <w:tcPr>
                  <w:tcW w:w="589" w:type="pct"/>
                  <w:vAlign w:val="center"/>
                </w:tcPr>
                <w:p w14:paraId="50CF7C13">
                  <w:pPr>
                    <w:pStyle w:val="2"/>
                    <w:snapToGrid w:val="0"/>
                    <w:jc w:val="center"/>
                    <w:rPr>
                      <w:rFonts w:hint="eastAsia"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0</w:t>
                  </w:r>
                </w:p>
              </w:tc>
            </w:tr>
            <w:tr w14:paraId="2BA6A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55" w:type="pct"/>
                  <w:vMerge w:val="restart"/>
                  <w:vAlign w:val="center"/>
                </w:tcPr>
                <w:p w14:paraId="138012C7">
                  <w:pPr>
                    <w:pStyle w:val="2"/>
                    <w:snapToGrid w:val="0"/>
                    <w:jc w:val="center"/>
                    <w:rPr>
                      <w:color w:val="auto"/>
                      <w:sz w:val="21"/>
                      <w:szCs w:val="21"/>
                      <w:highlight w:val="none"/>
                    </w:rPr>
                  </w:pPr>
                  <w:r>
                    <w:rPr>
                      <w:color w:val="auto"/>
                      <w:sz w:val="21"/>
                      <w:szCs w:val="21"/>
                      <w:highlight w:val="none"/>
                    </w:rPr>
                    <w:t>废水</w:t>
                  </w:r>
                </w:p>
              </w:tc>
              <w:tc>
                <w:tcPr>
                  <w:tcW w:w="561" w:type="pct"/>
                  <w:vAlign w:val="center"/>
                </w:tcPr>
                <w:p w14:paraId="198E8A32">
                  <w:pPr>
                    <w:pStyle w:val="2"/>
                    <w:snapToGrid w:val="0"/>
                    <w:jc w:val="center"/>
                    <w:rPr>
                      <w:color w:val="auto"/>
                      <w:sz w:val="21"/>
                      <w:szCs w:val="21"/>
                      <w:highlight w:val="none"/>
                    </w:rPr>
                  </w:pPr>
                  <w:r>
                    <w:rPr>
                      <w:color w:val="auto"/>
                      <w:sz w:val="21"/>
                      <w:szCs w:val="21"/>
                      <w:highlight w:val="none"/>
                    </w:rPr>
                    <w:t>门诊、住院、检验、厨房</w:t>
                  </w:r>
                </w:p>
              </w:tc>
              <w:tc>
                <w:tcPr>
                  <w:tcW w:w="809" w:type="pct"/>
                  <w:vAlign w:val="center"/>
                </w:tcPr>
                <w:p w14:paraId="2DED8061">
                  <w:pPr>
                    <w:pStyle w:val="2"/>
                    <w:snapToGrid w:val="0"/>
                    <w:jc w:val="center"/>
                    <w:rPr>
                      <w:color w:val="auto"/>
                      <w:sz w:val="21"/>
                      <w:szCs w:val="21"/>
                      <w:highlight w:val="none"/>
                    </w:rPr>
                  </w:pPr>
                  <w:r>
                    <w:rPr>
                      <w:color w:val="auto"/>
                      <w:sz w:val="21"/>
                      <w:szCs w:val="21"/>
                      <w:highlight w:val="none"/>
                    </w:rPr>
                    <w:t>生活废水</w:t>
                  </w:r>
                </w:p>
              </w:tc>
              <w:tc>
                <w:tcPr>
                  <w:tcW w:w="417" w:type="pct"/>
                  <w:vAlign w:val="center"/>
                </w:tcPr>
                <w:p w14:paraId="28BCECEC">
                  <w:pPr>
                    <w:pStyle w:val="2"/>
                    <w:snapToGrid w:val="0"/>
                    <w:ind w:firstLine="0" w:firstLineChars="0"/>
                    <w:jc w:val="center"/>
                    <w:rPr>
                      <w:color w:val="auto"/>
                      <w:sz w:val="21"/>
                      <w:szCs w:val="21"/>
                      <w:highlight w:val="none"/>
                    </w:rPr>
                  </w:pPr>
                  <w:r>
                    <w:rPr>
                      <w:color w:val="auto"/>
                      <w:sz w:val="21"/>
                      <w:szCs w:val="21"/>
                      <w:highlight w:val="none"/>
                    </w:rPr>
                    <w:t>82486.35</w:t>
                  </w:r>
                </w:p>
              </w:tc>
              <w:tc>
                <w:tcPr>
                  <w:tcW w:w="547" w:type="pct"/>
                  <w:vAlign w:val="center"/>
                </w:tcPr>
                <w:p w14:paraId="0E95DFC8">
                  <w:pPr>
                    <w:pStyle w:val="2"/>
                    <w:snapToGrid w:val="0"/>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52" w:type="pct"/>
                  <w:vAlign w:val="center"/>
                </w:tcPr>
                <w:p w14:paraId="60FDB6B8">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292E7388">
                  <w:pPr>
                    <w:pStyle w:val="2"/>
                    <w:snapToGrid w:val="0"/>
                    <w:jc w:val="center"/>
                    <w:rPr>
                      <w:color w:val="auto"/>
                      <w:sz w:val="21"/>
                      <w:szCs w:val="21"/>
                      <w:highlight w:val="none"/>
                    </w:rPr>
                  </w:pPr>
                  <w:r>
                    <w:rPr>
                      <w:color w:val="auto"/>
                      <w:sz w:val="21"/>
                      <w:szCs w:val="21"/>
                      <w:highlight w:val="none"/>
                    </w:rPr>
                    <w:t>82486.35</w:t>
                  </w:r>
                </w:p>
              </w:tc>
              <w:tc>
                <w:tcPr>
                  <w:tcW w:w="589" w:type="pct"/>
                  <w:vAlign w:val="center"/>
                </w:tcPr>
                <w:p w14:paraId="3D3DBF3E">
                  <w:pPr>
                    <w:pStyle w:val="2"/>
                    <w:snapToGrid w:val="0"/>
                    <w:jc w:val="center"/>
                    <w:rPr>
                      <w:rFonts w:hint="eastAsia"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0</w:t>
                  </w:r>
                </w:p>
              </w:tc>
            </w:tr>
            <w:tr w14:paraId="27A28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55" w:type="pct"/>
                  <w:vMerge w:val="continue"/>
                  <w:vAlign w:val="center"/>
                </w:tcPr>
                <w:p w14:paraId="293725B7">
                  <w:pPr>
                    <w:pStyle w:val="2"/>
                    <w:snapToGrid w:val="0"/>
                    <w:jc w:val="center"/>
                    <w:rPr>
                      <w:color w:val="auto"/>
                      <w:sz w:val="21"/>
                      <w:szCs w:val="21"/>
                      <w:highlight w:val="none"/>
                    </w:rPr>
                  </w:pPr>
                </w:p>
              </w:tc>
              <w:tc>
                <w:tcPr>
                  <w:tcW w:w="561" w:type="pct"/>
                  <w:vAlign w:val="center"/>
                </w:tcPr>
                <w:p w14:paraId="4B0BD458">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消毒中心</w:t>
                  </w:r>
                </w:p>
              </w:tc>
              <w:tc>
                <w:tcPr>
                  <w:tcW w:w="809" w:type="pct"/>
                  <w:vAlign w:val="center"/>
                </w:tcPr>
                <w:p w14:paraId="2F936CB4">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洗涤废水、蒸汽系统废水、纯水制备废水、灭菌器真空泵废水、运输设施清洗废水、地面清洗废水</w:t>
                  </w:r>
                </w:p>
              </w:tc>
              <w:tc>
                <w:tcPr>
                  <w:tcW w:w="417" w:type="pct"/>
                  <w:vAlign w:val="center"/>
                </w:tcPr>
                <w:p w14:paraId="350DE08D">
                  <w:pPr>
                    <w:pStyle w:val="2"/>
                    <w:snapToGrid w:val="0"/>
                    <w:ind w:firstLine="0"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47" w:type="pct"/>
                  <w:vAlign w:val="center"/>
                </w:tcPr>
                <w:p w14:paraId="022E5657">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13.39</w:t>
                  </w:r>
                </w:p>
              </w:tc>
              <w:tc>
                <w:tcPr>
                  <w:tcW w:w="752" w:type="pct"/>
                  <w:vAlign w:val="center"/>
                </w:tcPr>
                <w:p w14:paraId="049F720C">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5A8AFB42">
                  <w:pPr>
                    <w:pStyle w:val="2"/>
                    <w:snapToGrid w:val="0"/>
                    <w:jc w:val="center"/>
                    <w:rPr>
                      <w:color w:val="auto"/>
                      <w:sz w:val="21"/>
                      <w:szCs w:val="21"/>
                      <w:highlight w:val="none"/>
                    </w:rPr>
                  </w:pPr>
                  <w:r>
                    <w:rPr>
                      <w:rFonts w:hint="eastAsia"/>
                      <w:color w:val="auto"/>
                      <w:sz w:val="21"/>
                      <w:szCs w:val="21"/>
                      <w:highlight w:val="none"/>
                      <w:lang w:val="en-US" w:eastAsia="zh-CN"/>
                    </w:rPr>
                    <w:t>13.39</w:t>
                  </w:r>
                </w:p>
              </w:tc>
              <w:tc>
                <w:tcPr>
                  <w:tcW w:w="589" w:type="pct"/>
                  <w:vAlign w:val="center"/>
                </w:tcPr>
                <w:p w14:paraId="6157A490">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+13.39</w:t>
                  </w:r>
                </w:p>
              </w:tc>
            </w:tr>
            <w:tr w14:paraId="664CC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55" w:type="pct"/>
                  <w:vMerge w:val="restart"/>
                  <w:vAlign w:val="center"/>
                </w:tcPr>
                <w:p w14:paraId="7E29AD58">
                  <w:pPr>
                    <w:pStyle w:val="2"/>
                    <w:snapToGrid w:val="0"/>
                    <w:jc w:val="center"/>
                    <w:rPr>
                      <w:color w:val="auto"/>
                      <w:sz w:val="21"/>
                      <w:szCs w:val="21"/>
                      <w:highlight w:val="none"/>
                    </w:rPr>
                  </w:pPr>
                  <w:r>
                    <w:rPr>
                      <w:color w:val="auto"/>
                      <w:sz w:val="21"/>
                      <w:szCs w:val="21"/>
                      <w:highlight w:val="none"/>
                    </w:rPr>
                    <w:t>危险废物</w:t>
                  </w:r>
                </w:p>
              </w:tc>
              <w:tc>
                <w:tcPr>
                  <w:tcW w:w="561" w:type="pct"/>
                  <w:vAlign w:val="center"/>
                </w:tcPr>
                <w:p w14:paraId="1BAA373B">
                  <w:pPr>
                    <w:pStyle w:val="2"/>
                    <w:snapToGrid w:val="0"/>
                    <w:jc w:val="center"/>
                    <w:rPr>
                      <w:color w:val="auto"/>
                      <w:sz w:val="21"/>
                      <w:szCs w:val="21"/>
                      <w:highlight w:val="none"/>
                    </w:rPr>
                  </w:pPr>
                  <w:r>
                    <w:rPr>
                      <w:color w:val="auto"/>
                      <w:sz w:val="21"/>
                      <w:szCs w:val="21"/>
                      <w:highlight w:val="none"/>
                    </w:rPr>
                    <w:t>全院</w:t>
                  </w:r>
                </w:p>
              </w:tc>
              <w:tc>
                <w:tcPr>
                  <w:tcW w:w="809" w:type="pct"/>
                  <w:vAlign w:val="center"/>
                </w:tcPr>
                <w:p w14:paraId="0E905B2C">
                  <w:pPr>
                    <w:pStyle w:val="2"/>
                    <w:snapToGrid w:val="0"/>
                    <w:jc w:val="center"/>
                    <w:rPr>
                      <w:color w:val="auto"/>
                      <w:sz w:val="21"/>
                      <w:szCs w:val="21"/>
                      <w:highlight w:val="none"/>
                    </w:rPr>
                  </w:pPr>
                  <w:r>
                    <w:rPr>
                      <w:color w:val="auto"/>
                      <w:sz w:val="21"/>
                      <w:szCs w:val="21"/>
                      <w:highlight w:val="none"/>
                    </w:rPr>
                    <w:t>医疗废物</w:t>
                  </w:r>
                </w:p>
              </w:tc>
              <w:tc>
                <w:tcPr>
                  <w:tcW w:w="417" w:type="pct"/>
                  <w:vAlign w:val="center"/>
                </w:tcPr>
                <w:p w14:paraId="24EEECB4">
                  <w:pPr>
                    <w:pStyle w:val="2"/>
                    <w:snapToGrid w:val="0"/>
                    <w:ind w:firstLine="0" w:firstLineChars="0"/>
                    <w:jc w:val="center"/>
                    <w:rPr>
                      <w:color w:val="auto"/>
                      <w:sz w:val="21"/>
                      <w:szCs w:val="21"/>
                      <w:highlight w:val="none"/>
                    </w:rPr>
                  </w:pPr>
                  <w:r>
                    <w:rPr>
                      <w:color w:val="auto"/>
                      <w:sz w:val="21"/>
                      <w:szCs w:val="21"/>
                      <w:highlight w:val="none"/>
                    </w:rPr>
                    <w:t>113.15</w:t>
                  </w:r>
                </w:p>
              </w:tc>
              <w:tc>
                <w:tcPr>
                  <w:tcW w:w="547" w:type="pct"/>
                  <w:vAlign w:val="center"/>
                </w:tcPr>
                <w:p w14:paraId="3A0B913F">
                  <w:pPr>
                    <w:pStyle w:val="2"/>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18.56</w:t>
                  </w:r>
                </w:p>
              </w:tc>
              <w:tc>
                <w:tcPr>
                  <w:tcW w:w="752" w:type="pct"/>
                  <w:vAlign w:val="center"/>
                </w:tcPr>
                <w:p w14:paraId="079E6A3C">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10D5BB7D">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131.71</w:t>
                  </w:r>
                </w:p>
              </w:tc>
              <w:tc>
                <w:tcPr>
                  <w:tcW w:w="589" w:type="pct"/>
                  <w:vAlign w:val="center"/>
                </w:tcPr>
                <w:p w14:paraId="2B73ADBA">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18.56</w:t>
                  </w:r>
                </w:p>
              </w:tc>
            </w:tr>
            <w:tr w14:paraId="2A19A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5" w:type="pct"/>
                  <w:vMerge w:val="continue"/>
                  <w:vAlign w:val="center"/>
                </w:tcPr>
                <w:p w14:paraId="238EE189">
                  <w:pPr>
                    <w:pStyle w:val="2"/>
                    <w:snapToGrid w:val="0"/>
                    <w:jc w:val="center"/>
                    <w:rPr>
                      <w:color w:val="auto"/>
                      <w:sz w:val="21"/>
                      <w:szCs w:val="21"/>
                      <w:highlight w:val="none"/>
                    </w:rPr>
                  </w:pPr>
                </w:p>
              </w:tc>
              <w:tc>
                <w:tcPr>
                  <w:tcW w:w="561" w:type="pct"/>
                  <w:vAlign w:val="center"/>
                </w:tcPr>
                <w:p w14:paraId="23189D8E">
                  <w:pPr>
                    <w:pStyle w:val="2"/>
                    <w:snapToGrid w:val="0"/>
                    <w:jc w:val="center"/>
                    <w:rPr>
                      <w:color w:val="auto"/>
                      <w:sz w:val="21"/>
                      <w:szCs w:val="21"/>
                      <w:highlight w:val="none"/>
                    </w:rPr>
                  </w:pPr>
                  <w:r>
                    <w:rPr>
                      <w:color w:val="auto"/>
                      <w:sz w:val="21"/>
                      <w:szCs w:val="21"/>
                      <w:highlight w:val="none"/>
                    </w:rPr>
                    <w:t>污水处理站</w:t>
                  </w:r>
                </w:p>
              </w:tc>
              <w:tc>
                <w:tcPr>
                  <w:tcW w:w="809" w:type="pct"/>
                  <w:vAlign w:val="center"/>
                </w:tcPr>
                <w:p w14:paraId="70F7E9CF">
                  <w:pPr>
                    <w:pStyle w:val="2"/>
                    <w:snapToGrid w:val="0"/>
                    <w:jc w:val="center"/>
                    <w:rPr>
                      <w:color w:val="auto"/>
                      <w:sz w:val="21"/>
                      <w:szCs w:val="21"/>
                      <w:highlight w:val="none"/>
                    </w:rPr>
                  </w:pPr>
                  <w:r>
                    <w:rPr>
                      <w:color w:val="auto"/>
                      <w:sz w:val="21"/>
                      <w:szCs w:val="21"/>
                      <w:highlight w:val="none"/>
                    </w:rPr>
                    <w:t>污泥</w:t>
                  </w:r>
                </w:p>
              </w:tc>
              <w:tc>
                <w:tcPr>
                  <w:tcW w:w="417" w:type="pct"/>
                  <w:vAlign w:val="center"/>
                </w:tcPr>
                <w:p w14:paraId="355975A5">
                  <w:pPr>
                    <w:pStyle w:val="2"/>
                    <w:snapToGrid w:val="0"/>
                    <w:ind w:firstLine="0" w:firstLineChars="0"/>
                    <w:jc w:val="center"/>
                    <w:rPr>
                      <w:color w:val="auto"/>
                      <w:sz w:val="21"/>
                      <w:szCs w:val="21"/>
                      <w:highlight w:val="none"/>
                    </w:rPr>
                  </w:pPr>
                  <w:r>
                    <w:rPr>
                      <w:color w:val="auto"/>
                      <w:sz w:val="21"/>
                      <w:szCs w:val="21"/>
                      <w:highlight w:val="none"/>
                    </w:rPr>
                    <w:t>14.8</w:t>
                  </w:r>
                </w:p>
              </w:tc>
              <w:tc>
                <w:tcPr>
                  <w:tcW w:w="547" w:type="pct"/>
                  <w:vAlign w:val="center"/>
                </w:tcPr>
                <w:p w14:paraId="701FDD49">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9.93</w:t>
                  </w:r>
                </w:p>
              </w:tc>
              <w:tc>
                <w:tcPr>
                  <w:tcW w:w="752" w:type="pct"/>
                  <w:vAlign w:val="center"/>
                </w:tcPr>
                <w:p w14:paraId="584E8FB3">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6E457693">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24.73</w:t>
                  </w:r>
                </w:p>
              </w:tc>
              <w:tc>
                <w:tcPr>
                  <w:tcW w:w="589" w:type="pct"/>
                  <w:vAlign w:val="center"/>
                </w:tcPr>
                <w:p w14:paraId="2999DC13">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9.93</w:t>
                  </w:r>
                </w:p>
              </w:tc>
            </w:tr>
            <w:tr w14:paraId="159C4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55" w:type="pct"/>
                  <w:vMerge w:val="continue"/>
                  <w:vAlign w:val="center"/>
                </w:tcPr>
                <w:p w14:paraId="635DE4C6">
                  <w:pPr>
                    <w:pStyle w:val="2"/>
                    <w:snapToGrid w:val="0"/>
                    <w:jc w:val="center"/>
                    <w:rPr>
                      <w:color w:val="auto"/>
                      <w:sz w:val="21"/>
                      <w:szCs w:val="21"/>
                      <w:highlight w:val="none"/>
                    </w:rPr>
                  </w:pPr>
                </w:p>
              </w:tc>
              <w:tc>
                <w:tcPr>
                  <w:tcW w:w="561" w:type="pct"/>
                  <w:vAlign w:val="center"/>
                </w:tcPr>
                <w:p w14:paraId="50A73A46">
                  <w:pPr>
                    <w:pStyle w:val="2"/>
                    <w:snapToGrid w:val="0"/>
                    <w:jc w:val="center"/>
                    <w:rPr>
                      <w:color w:val="auto"/>
                      <w:sz w:val="21"/>
                      <w:szCs w:val="21"/>
                      <w:highlight w:val="none"/>
                    </w:rPr>
                  </w:pPr>
                  <w:r>
                    <w:rPr>
                      <w:color w:val="auto"/>
                      <w:sz w:val="21"/>
                      <w:szCs w:val="21"/>
                      <w:highlight w:val="none"/>
                    </w:rPr>
                    <w:t>消毒</w:t>
                  </w:r>
                  <w:r>
                    <w:rPr>
                      <w:rFonts w:hint="eastAsia"/>
                      <w:color w:val="auto"/>
                      <w:sz w:val="21"/>
                      <w:szCs w:val="21"/>
                      <w:highlight w:val="none"/>
                      <w:lang w:val="en-US" w:eastAsia="zh-CN"/>
                    </w:rPr>
                    <w:t>中心</w:t>
                  </w:r>
                </w:p>
              </w:tc>
              <w:tc>
                <w:tcPr>
                  <w:tcW w:w="809" w:type="pct"/>
                  <w:vAlign w:val="center"/>
                </w:tcPr>
                <w:p w14:paraId="009E4977">
                  <w:pPr>
                    <w:pStyle w:val="2"/>
                    <w:snapToGrid w:val="0"/>
                    <w:jc w:val="center"/>
                    <w:rPr>
                      <w:color w:val="auto"/>
                      <w:sz w:val="21"/>
                      <w:szCs w:val="21"/>
                      <w:highlight w:val="none"/>
                    </w:rPr>
                  </w:pPr>
                  <w:r>
                    <w:rPr>
                      <w:color w:val="auto"/>
                      <w:sz w:val="21"/>
                      <w:szCs w:val="21"/>
                      <w:highlight w:val="none"/>
                    </w:rPr>
                    <w:t>废紫外灯管</w:t>
                  </w:r>
                </w:p>
              </w:tc>
              <w:tc>
                <w:tcPr>
                  <w:tcW w:w="417" w:type="pct"/>
                  <w:vAlign w:val="center"/>
                </w:tcPr>
                <w:p w14:paraId="518D383B">
                  <w:pPr>
                    <w:pStyle w:val="2"/>
                    <w:snapToGrid w:val="0"/>
                    <w:ind w:firstLine="0" w:firstLineChars="0"/>
                    <w:jc w:val="center"/>
                    <w:rPr>
                      <w:color w:val="auto"/>
                      <w:sz w:val="21"/>
                      <w:szCs w:val="21"/>
                      <w:highlight w:val="none"/>
                    </w:rPr>
                  </w:pPr>
                  <w:r>
                    <w:rPr>
                      <w:color w:val="auto"/>
                      <w:sz w:val="21"/>
                      <w:szCs w:val="21"/>
                      <w:highlight w:val="none"/>
                    </w:rPr>
                    <w:t>0.064</w:t>
                  </w:r>
                </w:p>
              </w:tc>
              <w:tc>
                <w:tcPr>
                  <w:tcW w:w="547" w:type="pct"/>
                  <w:vAlign w:val="center"/>
                </w:tcPr>
                <w:p w14:paraId="3321AC8D">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0.01</w:t>
                  </w:r>
                </w:p>
              </w:tc>
              <w:tc>
                <w:tcPr>
                  <w:tcW w:w="752" w:type="pct"/>
                  <w:vAlign w:val="center"/>
                </w:tcPr>
                <w:p w14:paraId="03522DE9">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3B55D68D">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0.074</w:t>
                  </w:r>
                </w:p>
              </w:tc>
              <w:tc>
                <w:tcPr>
                  <w:tcW w:w="589" w:type="pct"/>
                  <w:vAlign w:val="center"/>
                </w:tcPr>
                <w:p w14:paraId="365675DD">
                  <w:pPr>
                    <w:pStyle w:val="2"/>
                    <w:snapToGrid w:val="0"/>
                    <w:jc w:val="center"/>
                    <w:rPr>
                      <w:rFonts w:hint="default" w:eastAsia="宋体"/>
                      <w:color w:val="auto"/>
                      <w:sz w:val="21"/>
                      <w:szCs w:val="21"/>
                      <w:highlight w:val="none"/>
                      <w:lang w:val="en-US" w:eastAsia="zh-CN"/>
                    </w:rPr>
                  </w:pPr>
                  <w:r>
                    <w:rPr>
                      <w:color w:val="auto"/>
                      <w:sz w:val="21"/>
                      <w:szCs w:val="21"/>
                      <w:highlight w:val="none"/>
                    </w:rPr>
                    <w:t>+0.</w:t>
                  </w:r>
                  <w:r>
                    <w:rPr>
                      <w:rFonts w:hint="eastAsia"/>
                      <w:color w:val="auto"/>
                      <w:sz w:val="21"/>
                      <w:szCs w:val="21"/>
                      <w:highlight w:val="none"/>
                      <w:lang w:val="en-US" w:eastAsia="zh-CN"/>
                    </w:rPr>
                    <w:t>01</w:t>
                  </w:r>
                </w:p>
              </w:tc>
            </w:tr>
            <w:tr w14:paraId="6AFCE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55" w:type="pct"/>
                  <w:vMerge w:val="continue"/>
                  <w:vAlign w:val="center"/>
                </w:tcPr>
                <w:p w14:paraId="658FD9D0">
                  <w:pPr>
                    <w:pStyle w:val="2"/>
                    <w:snapToGrid w:val="0"/>
                    <w:jc w:val="center"/>
                    <w:rPr>
                      <w:color w:val="auto"/>
                      <w:sz w:val="21"/>
                      <w:szCs w:val="21"/>
                      <w:highlight w:val="none"/>
                    </w:rPr>
                  </w:pPr>
                </w:p>
              </w:tc>
              <w:tc>
                <w:tcPr>
                  <w:tcW w:w="561" w:type="pct"/>
                  <w:vAlign w:val="center"/>
                </w:tcPr>
                <w:p w14:paraId="26F8E9C6">
                  <w:pPr>
                    <w:pStyle w:val="2"/>
                    <w:snapToGrid w:val="0"/>
                    <w:jc w:val="center"/>
                    <w:rPr>
                      <w:color w:val="auto"/>
                      <w:sz w:val="21"/>
                      <w:szCs w:val="21"/>
                      <w:highlight w:val="none"/>
                    </w:rPr>
                  </w:pPr>
                  <w:r>
                    <w:rPr>
                      <w:color w:val="auto"/>
                      <w:sz w:val="21"/>
                      <w:szCs w:val="21"/>
                      <w:highlight w:val="none"/>
                    </w:rPr>
                    <w:t>消毒</w:t>
                  </w:r>
                  <w:r>
                    <w:rPr>
                      <w:rFonts w:hint="eastAsia"/>
                      <w:color w:val="auto"/>
                      <w:sz w:val="21"/>
                      <w:szCs w:val="21"/>
                      <w:highlight w:val="none"/>
                      <w:lang w:val="en-US" w:eastAsia="zh-CN"/>
                    </w:rPr>
                    <w:t>中心</w:t>
                  </w:r>
                </w:p>
              </w:tc>
              <w:tc>
                <w:tcPr>
                  <w:tcW w:w="809" w:type="pct"/>
                  <w:vAlign w:val="center"/>
                </w:tcPr>
                <w:p w14:paraId="43A9DAA4">
                  <w:pPr>
                    <w:pStyle w:val="2"/>
                    <w:snapToGrid w:val="0"/>
                    <w:jc w:val="center"/>
                    <w:rPr>
                      <w:color w:val="auto"/>
                      <w:sz w:val="21"/>
                      <w:szCs w:val="21"/>
                      <w:highlight w:val="none"/>
                    </w:rPr>
                  </w:pPr>
                  <w:r>
                    <w:rPr>
                      <w:rFonts w:hint="eastAsia"/>
                      <w:color w:val="auto"/>
                      <w:sz w:val="21"/>
                      <w:szCs w:val="21"/>
                      <w:highlight w:val="none"/>
                      <w:lang w:eastAsia="zh-CN"/>
                    </w:rPr>
                    <w:t>废包装桶罐</w:t>
                  </w:r>
                </w:p>
              </w:tc>
              <w:tc>
                <w:tcPr>
                  <w:tcW w:w="417" w:type="pct"/>
                  <w:vAlign w:val="center"/>
                </w:tcPr>
                <w:p w14:paraId="3E10ADBE">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47" w:type="pct"/>
                  <w:vAlign w:val="center"/>
                </w:tcPr>
                <w:p w14:paraId="4B27306E">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0.0288</w:t>
                  </w:r>
                </w:p>
              </w:tc>
              <w:tc>
                <w:tcPr>
                  <w:tcW w:w="752" w:type="pct"/>
                  <w:vAlign w:val="center"/>
                </w:tcPr>
                <w:p w14:paraId="3A36658D">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29B97819">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0.0288</w:t>
                  </w:r>
                </w:p>
              </w:tc>
              <w:tc>
                <w:tcPr>
                  <w:tcW w:w="589" w:type="pct"/>
                  <w:vAlign w:val="center"/>
                </w:tcPr>
                <w:p w14:paraId="714490CE">
                  <w:pPr>
                    <w:pStyle w:val="2"/>
                    <w:snapToGrid w:val="0"/>
                    <w:jc w:val="center"/>
                    <w:rPr>
                      <w:rFonts w:hint="default"/>
                      <w:color w:val="auto"/>
                      <w:sz w:val="21"/>
                      <w:szCs w:val="21"/>
                      <w:highlight w:val="none"/>
                      <w:lang w:val="en-US"/>
                    </w:rPr>
                  </w:pPr>
                  <w:r>
                    <w:rPr>
                      <w:color w:val="auto"/>
                      <w:sz w:val="21"/>
                      <w:szCs w:val="21"/>
                      <w:highlight w:val="none"/>
                    </w:rPr>
                    <w:t>+0.</w:t>
                  </w:r>
                  <w:r>
                    <w:rPr>
                      <w:rFonts w:hint="eastAsia"/>
                      <w:color w:val="auto"/>
                      <w:sz w:val="21"/>
                      <w:szCs w:val="21"/>
                      <w:highlight w:val="none"/>
                      <w:lang w:val="en-US" w:eastAsia="zh-CN"/>
                    </w:rPr>
                    <w:t>0288</w:t>
                  </w:r>
                </w:p>
              </w:tc>
            </w:tr>
            <w:tr w14:paraId="5A0A8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55" w:type="pct"/>
                  <w:vMerge w:val="continue"/>
                  <w:vAlign w:val="center"/>
                </w:tcPr>
                <w:p w14:paraId="5FE0D745">
                  <w:pPr>
                    <w:pStyle w:val="2"/>
                    <w:snapToGrid w:val="0"/>
                    <w:jc w:val="center"/>
                    <w:rPr>
                      <w:color w:val="auto"/>
                      <w:sz w:val="21"/>
                      <w:szCs w:val="21"/>
                      <w:highlight w:val="none"/>
                    </w:rPr>
                  </w:pPr>
                </w:p>
              </w:tc>
              <w:tc>
                <w:tcPr>
                  <w:tcW w:w="561" w:type="pct"/>
                  <w:vAlign w:val="center"/>
                </w:tcPr>
                <w:p w14:paraId="4B1E2746">
                  <w:pPr>
                    <w:pStyle w:val="2"/>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消毒中心</w:t>
                  </w:r>
                </w:p>
              </w:tc>
              <w:tc>
                <w:tcPr>
                  <w:tcW w:w="809" w:type="pct"/>
                  <w:vAlign w:val="center"/>
                </w:tcPr>
                <w:p w14:paraId="6A38B701">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废包装材料</w:t>
                  </w:r>
                </w:p>
              </w:tc>
              <w:tc>
                <w:tcPr>
                  <w:tcW w:w="417" w:type="pct"/>
                  <w:vAlign w:val="center"/>
                </w:tcPr>
                <w:p w14:paraId="08709B61">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547" w:type="pct"/>
                  <w:vAlign w:val="center"/>
                </w:tcPr>
                <w:p w14:paraId="28884CBE">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0.04</w:t>
                  </w:r>
                </w:p>
              </w:tc>
              <w:tc>
                <w:tcPr>
                  <w:tcW w:w="752" w:type="pct"/>
                  <w:vAlign w:val="center"/>
                </w:tcPr>
                <w:p w14:paraId="1762B86B">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1DF1260C">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0.04</w:t>
                  </w:r>
                </w:p>
              </w:tc>
              <w:tc>
                <w:tcPr>
                  <w:tcW w:w="589" w:type="pct"/>
                  <w:vAlign w:val="center"/>
                </w:tcPr>
                <w:p w14:paraId="00617E95">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+0.04</w:t>
                  </w:r>
                </w:p>
              </w:tc>
            </w:tr>
            <w:tr w14:paraId="4B6A0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355" w:type="pct"/>
                  <w:vMerge w:val="continue"/>
                  <w:vAlign w:val="center"/>
                </w:tcPr>
                <w:p w14:paraId="0A1A507C">
                  <w:pPr>
                    <w:pStyle w:val="2"/>
                    <w:snapToGrid w:val="0"/>
                    <w:jc w:val="center"/>
                    <w:rPr>
                      <w:color w:val="auto"/>
                      <w:sz w:val="21"/>
                      <w:szCs w:val="21"/>
                      <w:highlight w:val="none"/>
                    </w:rPr>
                  </w:pPr>
                </w:p>
              </w:tc>
              <w:tc>
                <w:tcPr>
                  <w:tcW w:w="561" w:type="pct"/>
                  <w:vAlign w:val="center"/>
                </w:tcPr>
                <w:p w14:paraId="2C9515E2">
                  <w:pPr>
                    <w:pStyle w:val="2"/>
                    <w:snapToGrid w:val="0"/>
                    <w:jc w:val="center"/>
                    <w:rPr>
                      <w:color w:val="auto"/>
                      <w:sz w:val="21"/>
                      <w:szCs w:val="21"/>
                      <w:highlight w:val="none"/>
                    </w:rPr>
                  </w:pPr>
                  <w:r>
                    <w:rPr>
                      <w:rFonts w:hint="eastAsia"/>
                      <w:color w:val="auto"/>
                      <w:sz w:val="21"/>
                      <w:szCs w:val="21"/>
                      <w:highlight w:val="none"/>
                      <w:lang w:val="en-US" w:eastAsia="zh-CN"/>
                    </w:rPr>
                    <w:t>消毒中心</w:t>
                  </w:r>
                </w:p>
              </w:tc>
              <w:tc>
                <w:tcPr>
                  <w:tcW w:w="809" w:type="pct"/>
                  <w:vAlign w:val="center"/>
                </w:tcPr>
                <w:p w14:paraId="13D8FC89">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废过滤材料</w:t>
                  </w:r>
                </w:p>
              </w:tc>
              <w:tc>
                <w:tcPr>
                  <w:tcW w:w="417" w:type="pct"/>
                  <w:vAlign w:val="center"/>
                </w:tcPr>
                <w:p w14:paraId="5A88DE41">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547" w:type="pct"/>
                  <w:vAlign w:val="center"/>
                </w:tcPr>
                <w:p w14:paraId="3B166C4A">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1.6</w:t>
                  </w:r>
                </w:p>
              </w:tc>
              <w:tc>
                <w:tcPr>
                  <w:tcW w:w="752" w:type="pct"/>
                  <w:vAlign w:val="center"/>
                </w:tcPr>
                <w:p w14:paraId="623CF409">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4C1591AC">
                  <w:pPr>
                    <w:pStyle w:val="2"/>
                    <w:snapToGrid w:val="0"/>
                    <w:jc w:val="center"/>
                    <w:rPr>
                      <w:rFonts w:hint="eastAsia"/>
                      <w:color w:val="auto"/>
                      <w:sz w:val="21"/>
                      <w:szCs w:val="21"/>
                      <w:highlight w:val="none"/>
                      <w:lang w:val="en-US" w:eastAsia="zh-CN"/>
                    </w:rPr>
                  </w:pPr>
                  <w:r>
                    <w:rPr>
                      <w:rFonts w:hint="eastAsia"/>
                      <w:color w:val="auto"/>
                      <w:sz w:val="21"/>
                      <w:szCs w:val="21"/>
                      <w:highlight w:val="none"/>
                      <w:lang w:val="en-US" w:eastAsia="zh-CN"/>
                    </w:rPr>
                    <w:t>1.6</w:t>
                  </w:r>
                </w:p>
              </w:tc>
              <w:tc>
                <w:tcPr>
                  <w:tcW w:w="589" w:type="pct"/>
                  <w:vAlign w:val="center"/>
                </w:tcPr>
                <w:p w14:paraId="22AA5F10">
                  <w:pPr>
                    <w:pStyle w:val="2"/>
                    <w:snapToGrid w:val="0"/>
                    <w:jc w:val="center"/>
                    <w:rPr>
                      <w:rFonts w:hint="default"/>
                      <w:color w:val="auto"/>
                      <w:sz w:val="21"/>
                      <w:szCs w:val="21"/>
                      <w:highlight w:val="none"/>
                      <w:lang w:val="en-US" w:eastAsia="zh-CN"/>
                    </w:rPr>
                  </w:pPr>
                  <w:r>
                    <w:rPr>
                      <w:rFonts w:hint="eastAsia"/>
                      <w:color w:val="auto"/>
                      <w:sz w:val="21"/>
                      <w:szCs w:val="21"/>
                      <w:highlight w:val="none"/>
                      <w:lang w:val="en-US" w:eastAsia="zh-CN"/>
                    </w:rPr>
                    <w:t>+1.6</w:t>
                  </w:r>
                </w:p>
              </w:tc>
            </w:tr>
          </w:tbl>
          <w:p w14:paraId="713B6CB5">
            <w:pPr>
              <w:ind w:firstLine="422"/>
              <w:jc w:val="center"/>
              <w:rPr>
                <w:b/>
                <w:bCs/>
                <w:color w:val="auto"/>
              </w:rPr>
            </w:pPr>
            <w:r>
              <w:rPr>
                <w:b/>
                <w:bCs/>
                <w:color w:val="auto"/>
                <w:sz w:val="21"/>
                <w:szCs w:val="21"/>
              </w:rPr>
              <w:t>表4-</w:t>
            </w:r>
            <w:r>
              <w:rPr>
                <w:rFonts w:hint="eastAsia"/>
                <w:b/>
                <w:bCs/>
                <w:color w:val="auto"/>
                <w:sz w:val="21"/>
                <w:szCs w:val="21"/>
                <w:lang w:val="en-US" w:eastAsia="zh-CN"/>
              </w:rPr>
              <w:t>26</w:t>
            </w:r>
            <w:r>
              <w:rPr>
                <w:b/>
                <w:bCs/>
                <w:color w:val="auto"/>
                <w:sz w:val="21"/>
                <w:szCs w:val="21"/>
              </w:rPr>
              <w:t>项目</w:t>
            </w:r>
            <w:r>
              <w:rPr>
                <w:rFonts w:hint="eastAsia"/>
                <w:b/>
                <w:bCs/>
                <w:color w:val="auto"/>
                <w:sz w:val="21"/>
                <w:szCs w:val="21"/>
                <w:lang w:val="en-US" w:eastAsia="zh-CN"/>
              </w:rPr>
              <w:t>江城卫生院</w:t>
            </w:r>
            <w:r>
              <w:rPr>
                <w:b/>
                <w:bCs/>
                <w:color w:val="auto"/>
                <w:sz w:val="21"/>
                <w:szCs w:val="21"/>
              </w:rPr>
              <w:t>“三本账”核算表t/a</w:t>
            </w:r>
          </w:p>
          <w:tbl>
            <w:tblPr>
              <w:tblStyle w:val="19"/>
              <w:tblW w:w="48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
              <w:gridCol w:w="1269"/>
              <w:gridCol w:w="1079"/>
              <w:gridCol w:w="1454"/>
              <w:gridCol w:w="2377"/>
              <w:gridCol w:w="1991"/>
              <w:gridCol w:w="2552"/>
              <w:gridCol w:w="1560"/>
            </w:tblGrid>
            <w:tr w14:paraId="7F640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5" w:type="pct"/>
                  <w:vAlign w:val="center"/>
                </w:tcPr>
                <w:p w14:paraId="187071BA">
                  <w:pPr>
                    <w:pStyle w:val="2"/>
                    <w:snapToGrid w:val="0"/>
                    <w:jc w:val="center"/>
                    <w:rPr>
                      <w:color w:val="auto"/>
                      <w:sz w:val="21"/>
                      <w:szCs w:val="21"/>
                      <w:highlight w:val="none"/>
                    </w:rPr>
                  </w:pPr>
                  <w:r>
                    <w:rPr>
                      <w:color w:val="auto"/>
                      <w:sz w:val="21"/>
                      <w:szCs w:val="21"/>
                      <w:highlight w:val="none"/>
                    </w:rPr>
                    <w:t>类别</w:t>
                  </w:r>
                </w:p>
              </w:tc>
              <w:tc>
                <w:tcPr>
                  <w:tcW w:w="479" w:type="pct"/>
                  <w:vAlign w:val="center"/>
                </w:tcPr>
                <w:p w14:paraId="21113617">
                  <w:pPr>
                    <w:pStyle w:val="2"/>
                    <w:snapToGrid w:val="0"/>
                    <w:jc w:val="center"/>
                    <w:rPr>
                      <w:color w:val="auto"/>
                      <w:sz w:val="21"/>
                      <w:szCs w:val="21"/>
                      <w:highlight w:val="none"/>
                    </w:rPr>
                  </w:pPr>
                  <w:r>
                    <w:rPr>
                      <w:color w:val="auto"/>
                      <w:sz w:val="21"/>
                      <w:szCs w:val="21"/>
                      <w:highlight w:val="none"/>
                    </w:rPr>
                    <w:t>排放源</w:t>
                  </w:r>
                </w:p>
              </w:tc>
              <w:tc>
                <w:tcPr>
                  <w:tcW w:w="408" w:type="pct"/>
                  <w:vAlign w:val="center"/>
                </w:tcPr>
                <w:p w14:paraId="0EE17A07">
                  <w:pPr>
                    <w:pStyle w:val="2"/>
                    <w:snapToGrid w:val="0"/>
                    <w:jc w:val="center"/>
                    <w:rPr>
                      <w:color w:val="auto"/>
                      <w:sz w:val="21"/>
                      <w:szCs w:val="21"/>
                      <w:highlight w:val="none"/>
                    </w:rPr>
                  </w:pPr>
                  <w:r>
                    <w:rPr>
                      <w:color w:val="auto"/>
                      <w:sz w:val="21"/>
                      <w:szCs w:val="21"/>
                      <w:highlight w:val="none"/>
                    </w:rPr>
                    <w:t>污染物</w:t>
                  </w:r>
                </w:p>
              </w:tc>
              <w:tc>
                <w:tcPr>
                  <w:tcW w:w="549" w:type="pct"/>
                  <w:vAlign w:val="center"/>
                </w:tcPr>
                <w:p w14:paraId="1F25C1B9">
                  <w:pPr>
                    <w:pStyle w:val="2"/>
                    <w:snapToGrid w:val="0"/>
                    <w:jc w:val="center"/>
                    <w:rPr>
                      <w:color w:val="auto"/>
                      <w:sz w:val="21"/>
                      <w:szCs w:val="21"/>
                      <w:highlight w:val="none"/>
                    </w:rPr>
                  </w:pPr>
                  <w:r>
                    <w:rPr>
                      <w:color w:val="auto"/>
                      <w:sz w:val="21"/>
                      <w:szCs w:val="21"/>
                      <w:highlight w:val="none"/>
                    </w:rPr>
                    <w:t>改扩建前</w:t>
                  </w:r>
                </w:p>
              </w:tc>
              <w:tc>
                <w:tcPr>
                  <w:tcW w:w="898" w:type="pct"/>
                  <w:vAlign w:val="center"/>
                </w:tcPr>
                <w:p w14:paraId="31D9D572">
                  <w:pPr>
                    <w:pStyle w:val="2"/>
                    <w:snapToGrid w:val="0"/>
                    <w:jc w:val="center"/>
                    <w:rPr>
                      <w:color w:val="auto"/>
                      <w:sz w:val="21"/>
                      <w:szCs w:val="21"/>
                      <w:highlight w:val="none"/>
                    </w:rPr>
                  </w:pPr>
                  <w:r>
                    <w:rPr>
                      <w:color w:val="auto"/>
                      <w:sz w:val="21"/>
                      <w:szCs w:val="21"/>
                      <w:highlight w:val="none"/>
                    </w:rPr>
                    <w:t>本项目排放量</w:t>
                  </w:r>
                </w:p>
              </w:tc>
              <w:tc>
                <w:tcPr>
                  <w:tcW w:w="752" w:type="pct"/>
                  <w:vAlign w:val="center"/>
                </w:tcPr>
                <w:p w14:paraId="63A81215">
                  <w:pPr>
                    <w:pStyle w:val="2"/>
                    <w:snapToGrid w:val="0"/>
                    <w:jc w:val="center"/>
                    <w:rPr>
                      <w:color w:val="auto"/>
                      <w:sz w:val="21"/>
                      <w:szCs w:val="21"/>
                      <w:highlight w:val="none"/>
                    </w:rPr>
                  </w:pPr>
                  <w:r>
                    <w:rPr>
                      <w:color w:val="auto"/>
                      <w:sz w:val="21"/>
                      <w:szCs w:val="21"/>
                      <w:highlight w:val="none"/>
                    </w:rPr>
                    <w:t>“以新带老”削减量</w:t>
                  </w:r>
                </w:p>
              </w:tc>
              <w:tc>
                <w:tcPr>
                  <w:tcW w:w="965" w:type="pct"/>
                  <w:vAlign w:val="center"/>
                </w:tcPr>
                <w:p w14:paraId="2D88B59B">
                  <w:pPr>
                    <w:pStyle w:val="2"/>
                    <w:snapToGrid w:val="0"/>
                    <w:jc w:val="center"/>
                    <w:rPr>
                      <w:color w:val="auto"/>
                      <w:sz w:val="21"/>
                      <w:szCs w:val="21"/>
                      <w:highlight w:val="none"/>
                    </w:rPr>
                  </w:pPr>
                  <w:r>
                    <w:rPr>
                      <w:color w:val="auto"/>
                      <w:sz w:val="21"/>
                      <w:szCs w:val="21"/>
                      <w:highlight w:val="none"/>
                    </w:rPr>
                    <w:t>项目改建后全厂排量</w:t>
                  </w:r>
                </w:p>
              </w:tc>
              <w:tc>
                <w:tcPr>
                  <w:tcW w:w="589" w:type="pct"/>
                  <w:vAlign w:val="center"/>
                </w:tcPr>
                <w:p w14:paraId="7B8A8339">
                  <w:pPr>
                    <w:pStyle w:val="2"/>
                    <w:snapToGrid w:val="0"/>
                    <w:jc w:val="center"/>
                    <w:rPr>
                      <w:color w:val="auto"/>
                      <w:sz w:val="21"/>
                      <w:szCs w:val="21"/>
                      <w:highlight w:val="none"/>
                    </w:rPr>
                  </w:pPr>
                  <w:r>
                    <w:rPr>
                      <w:color w:val="auto"/>
                      <w:sz w:val="21"/>
                      <w:szCs w:val="21"/>
                      <w:highlight w:val="none"/>
                    </w:rPr>
                    <w:t>增减量</w:t>
                  </w:r>
                </w:p>
              </w:tc>
            </w:tr>
            <w:tr w14:paraId="38D05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355" w:type="pct"/>
                  <w:vMerge w:val="restart"/>
                  <w:vAlign w:val="center"/>
                </w:tcPr>
                <w:p w14:paraId="426FF2A0">
                  <w:pPr>
                    <w:pStyle w:val="2"/>
                    <w:snapToGrid w:val="0"/>
                    <w:jc w:val="center"/>
                    <w:rPr>
                      <w:color w:val="auto"/>
                      <w:sz w:val="21"/>
                      <w:szCs w:val="21"/>
                      <w:highlight w:val="none"/>
                    </w:rPr>
                  </w:pPr>
                  <w:r>
                    <w:rPr>
                      <w:color w:val="auto"/>
                      <w:sz w:val="21"/>
                      <w:szCs w:val="21"/>
                      <w:highlight w:val="none"/>
                    </w:rPr>
                    <w:t>废气</w:t>
                  </w:r>
                </w:p>
              </w:tc>
              <w:tc>
                <w:tcPr>
                  <w:tcW w:w="479" w:type="pct"/>
                  <w:vMerge w:val="restart"/>
                  <w:vAlign w:val="center"/>
                </w:tcPr>
                <w:p w14:paraId="21E3F147">
                  <w:pPr>
                    <w:pStyle w:val="2"/>
                    <w:snapToGrid w:val="0"/>
                    <w:jc w:val="center"/>
                    <w:rPr>
                      <w:color w:val="auto"/>
                      <w:sz w:val="21"/>
                      <w:szCs w:val="21"/>
                      <w:highlight w:val="none"/>
                    </w:rPr>
                  </w:pPr>
                  <w:r>
                    <w:rPr>
                      <w:color w:val="auto"/>
                      <w:sz w:val="21"/>
                      <w:szCs w:val="21"/>
                      <w:highlight w:val="none"/>
                    </w:rPr>
                    <w:t>污水处理</w:t>
                  </w:r>
                </w:p>
              </w:tc>
              <w:tc>
                <w:tcPr>
                  <w:tcW w:w="408" w:type="pct"/>
                  <w:vAlign w:val="center"/>
                </w:tcPr>
                <w:p w14:paraId="542F4085">
                  <w:pPr>
                    <w:pStyle w:val="2"/>
                    <w:snapToGrid w:val="0"/>
                    <w:jc w:val="center"/>
                    <w:rPr>
                      <w:color w:val="auto"/>
                      <w:sz w:val="21"/>
                      <w:szCs w:val="21"/>
                      <w:highlight w:val="none"/>
                    </w:rPr>
                  </w:pPr>
                  <w:r>
                    <w:rPr>
                      <w:color w:val="auto"/>
                      <w:highlight w:val="none"/>
                    </w:rPr>
                    <w:t>H</w:t>
                  </w:r>
                  <w:r>
                    <w:rPr>
                      <w:color w:val="auto"/>
                      <w:highlight w:val="none"/>
                      <w:vertAlign w:val="subscript"/>
                    </w:rPr>
                    <w:t>2</w:t>
                  </w:r>
                  <w:r>
                    <w:rPr>
                      <w:color w:val="auto"/>
                      <w:highlight w:val="none"/>
                    </w:rPr>
                    <w:t>S</w:t>
                  </w:r>
                </w:p>
              </w:tc>
              <w:tc>
                <w:tcPr>
                  <w:tcW w:w="549" w:type="pct"/>
                  <w:vAlign w:val="center"/>
                </w:tcPr>
                <w:p w14:paraId="00CB0E9C">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0.00016</w:t>
                  </w:r>
                </w:p>
              </w:tc>
              <w:tc>
                <w:tcPr>
                  <w:tcW w:w="898" w:type="pct"/>
                  <w:vAlign w:val="center"/>
                </w:tcPr>
                <w:p w14:paraId="3546E360">
                  <w:pPr>
                    <w:pStyle w:val="2"/>
                    <w:snapToGrid w:val="0"/>
                    <w:ind w:firstLine="0" w:firstLineChars="0"/>
                    <w:jc w:val="center"/>
                    <w:rPr>
                      <w:color w:val="auto"/>
                      <w:sz w:val="21"/>
                      <w:szCs w:val="21"/>
                      <w:highlight w:val="none"/>
                    </w:rPr>
                  </w:pPr>
                  <w:r>
                    <w:rPr>
                      <w:rFonts w:hint="eastAsia"/>
                      <w:color w:val="auto"/>
                      <w:sz w:val="21"/>
                      <w:szCs w:val="21"/>
                      <w:highlight w:val="none"/>
                      <w:lang w:val="en-US" w:eastAsia="zh-CN"/>
                    </w:rPr>
                    <w:t>0</w:t>
                  </w:r>
                </w:p>
              </w:tc>
              <w:tc>
                <w:tcPr>
                  <w:tcW w:w="752" w:type="pct"/>
                  <w:vAlign w:val="center"/>
                </w:tcPr>
                <w:p w14:paraId="314FF190">
                  <w:pPr>
                    <w:pStyle w:val="2"/>
                    <w:snapToGrid w:val="0"/>
                    <w:jc w:val="center"/>
                    <w:rPr>
                      <w:rFonts w:hint="eastAsia" w:eastAsia="宋体"/>
                      <w:color w:val="auto"/>
                      <w:sz w:val="21"/>
                      <w:szCs w:val="21"/>
                      <w:highlight w:val="none"/>
                      <w:lang w:eastAsia="zh-CN"/>
                    </w:rPr>
                  </w:pPr>
                  <w:r>
                    <w:rPr>
                      <w:color w:val="auto"/>
                      <w:sz w:val="21"/>
                      <w:szCs w:val="21"/>
                      <w:highlight w:val="none"/>
                    </w:rPr>
                    <w:t>0</w:t>
                  </w:r>
                </w:p>
              </w:tc>
              <w:tc>
                <w:tcPr>
                  <w:tcW w:w="965" w:type="pct"/>
                  <w:vAlign w:val="center"/>
                </w:tcPr>
                <w:p w14:paraId="617F818E">
                  <w:pPr>
                    <w:pStyle w:val="2"/>
                    <w:snapToGrid w:val="0"/>
                    <w:jc w:val="center"/>
                    <w:rPr>
                      <w:color w:val="auto"/>
                      <w:sz w:val="21"/>
                      <w:szCs w:val="21"/>
                      <w:highlight w:val="none"/>
                    </w:rPr>
                  </w:pPr>
                  <w:r>
                    <w:rPr>
                      <w:rFonts w:hint="eastAsia"/>
                      <w:color w:val="auto"/>
                      <w:sz w:val="21"/>
                      <w:szCs w:val="21"/>
                      <w:highlight w:val="none"/>
                      <w:lang w:val="en-US" w:eastAsia="zh-CN"/>
                    </w:rPr>
                    <w:t>0.00016</w:t>
                  </w:r>
                </w:p>
              </w:tc>
              <w:tc>
                <w:tcPr>
                  <w:tcW w:w="589" w:type="pct"/>
                  <w:vAlign w:val="center"/>
                </w:tcPr>
                <w:p w14:paraId="587CA5CF">
                  <w:pPr>
                    <w:pStyle w:val="2"/>
                    <w:snapToGrid w:val="0"/>
                    <w:jc w:val="center"/>
                    <w:rPr>
                      <w:color w:val="auto"/>
                      <w:sz w:val="21"/>
                      <w:szCs w:val="21"/>
                      <w:highlight w:val="none"/>
                    </w:rPr>
                  </w:pPr>
                  <w:r>
                    <w:rPr>
                      <w:color w:val="auto"/>
                      <w:sz w:val="21"/>
                      <w:szCs w:val="21"/>
                      <w:highlight w:val="none"/>
                    </w:rPr>
                    <w:t>+0</w:t>
                  </w:r>
                </w:p>
              </w:tc>
            </w:tr>
            <w:tr w14:paraId="33432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355" w:type="pct"/>
                  <w:vMerge w:val="continue"/>
                  <w:vAlign w:val="center"/>
                </w:tcPr>
                <w:p w14:paraId="600EF915">
                  <w:pPr>
                    <w:pStyle w:val="2"/>
                    <w:snapToGrid w:val="0"/>
                    <w:jc w:val="center"/>
                    <w:rPr>
                      <w:color w:val="auto"/>
                      <w:sz w:val="21"/>
                      <w:szCs w:val="21"/>
                      <w:highlight w:val="none"/>
                    </w:rPr>
                  </w:pPr>
                </w:p>
              </w:tc>
              <w:tc>
                <w:tcPr>
                  <w:tcW w:w="479" w:type="pct"/>
                  <w:vMerge w:val="continue"/>
                  <w:vAlign w:val="center"/>
                </w:tcPr>
                <w:p w14:paraId="6674E91E">
                  <w:pPr>
                    <w:pStyle w:val="2"/>
                    <w:snapToGrid w:val="0"/>
                    <w:jc w:val="center"/>
                    <w:rPr>
                      <w:color w:val="auto"/>
                      <w:sz w:val="21"/>
                      <w:szCs w:val="21"/>
                      <w:highlight w:val="none"/>
                    </w:rPr>
                  </w:pPr>
                </w:p>
              </w:tc>
              <w:tc>
                <w:tcPr>
                  <w:tcW w:w="408" w:type="pct"/>
                  <w:vAlign w:val="center"/>
                </w:tcPr>
                <w:p w14:paraId="21ACB843">
                  <w:pPr>
                    <w:pStyle w:val="2"/>
                    <w:snapToGrid w:val="0"/>
                    <w:jc w:val="center"/>
                    <w:rPr>
                      <w:color w:val="auto"/>
                      <w:highlight w:val="none"/>
                    </w:rPr>
                  </w:pPr>
                  <w:r>
                    <w:rPr>
                      <w:color w:val="auto"/>
                      <w:highlight w:val="none"/>
                    </w:rPr>
                    <w:t>NH</w:t>
                  </w:r>
                  <w:r>
                    <w:rPr>
                      <w:color w:val="auto"/>
                      <w:highlight w:val="none"/>
                      <w:vertAlign w:val="subscript"/>
                    </w:rPr>
                    <w:t>3</w:t>
                  </w:r>
                </w:p>
              </w:tc>
              <w:tc>
                <w:tcPr>
                  <w:tcW w:w="549" w:type="pct"/>
                  <w:vAlign w:val="center"/>
                </w:tcPr>
                <w:p w14:paraId="61E92EF4">
                  <w:pPr>
                    <w:pStyle w:val="2"/>
                    <w:snapToGrid w:val="0"/>
                    <w:jc w:val="center"/>
                    <w:rPr>
                      <w:color w:val="auto"/>
                      <w:sz w:val="21"/>
                      <w:szCs w:val="21"/>
                      <w:highlight w:val="none"/>
                    </w:rPr>
                  </w:pPr>
                  <w:r>
                    <w:rPr>
                      <w:rFonts w:hint="eastAsia"/>
                      <w:color w:val="auto"/>
                      <w:sz w:val="21"/>
                      <w:szCs w:val="21"/>
                      <w:highlight w:val="none"/>
                      <w:lang w:val="en-US" w:eastAsia="zh-CN"/>
                    </w:rPr>
                    <w:t>0.00415</w:t>
                  </w:r>
                </w:p>
              </w:tc>
              <w:tc>
                <w:tcPr>
                  <w:tcW w:w="898" w:type="pct"/>
                  <w:vAlign w:val="center"/>
                </w:tcPr>
                <w:p w14:paraId="73329B02">
                  <w:pPr>
                    <w:pStyle w:val="2"/>
                    <w:snapToGrid w:val="0"/>
                    <w:ind w:firstLine="0" w:firstLineChars="0"/>
                    <w:jc w:val="center"/>
                    <w:rPr>
                      <w:color w:val="auto"/>
                      <w:sz w:val="21"/>
                      <w:szCs w:val="21"/>
                      <w:highlight w:val="none"/>
                    </w:rPr>
                  </w:pPr>
                  <w:r>
                    <w:rPr>
                      <w:rFonts w:hint="eastAsia"/>
                      <w:color w:val="auto"/>
                      <w:sz w:val="21"/>
                      <w:szCs w:val="21"/>
                      <w:highlight w:val="none"/>
                      <w:lang w:val="en-US" w:eastAsia="zh-CN"/>
                    </w:rPr>
                    <w:t>0</w:t>
                  </w:r>
                </w:p>
              </w:tc>
              <w:tc>
                <w:tcPr>
                  <w:tcW w:w="752" w:type="pct"/>
                  <w:vAlign w:val="center"/>
                </w:tcPr>
                <w:p w14:paraId="2EC7B137">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7476C3D2">
                  <w:pPr>
                    <w:pStyle w:val="2"/>
                    <w:snapToGrid w:val="0"/>
                    <w:jc w:val="center"/>
                    <w:rPr>
                      <w:color w:val="auto"/>
                      <w:sz w:val="21"/>
                      <w:szCs w:val="21"/>
                      <w:highlight w:val="none"/>
                    </w:rPr>
                  </w:pPr>
                  <w:r>
                    <w:rPr>
                      <w:rFonts w:hint="eastAsia"/>
                      <w:color w:val="auto"/>
                      <w:sz w:val="21"/>
                      <w:szCs w:val="21"/>
                      <w:highlight w:val="none"/>
                      <w:lang w:val="en-US" w:eastAsia="zh-CN"/>
                    </w:rPr>
                    <w:t>0.00415</w:t>
                  </w:r>
                </w:p>
              </w:tc>
              <w:tc>
                <w:tcPr>
                  <w:tcW w:w="589" w:type="pct"/>
                  <w:vAlign w:val="center"/>
                </w:tcPr>
                <w:p w14:paraId="26C80455">
                  <w:pPr>
                    <w:pStyle w:val="2"/>
                    <w:snapToGrid w:val="0"/>
                    <w:jc w:val="center"/>
                    <w:rPr>
                      <w:color w:val="auto"/>
                      <w:sz w:val="21"/>
                      <w:szCs w:val="21"/>
                      <w:highlight w:val="none"/>
                    </w:rPr>
                  </w:pPr>
                  <w:r>
                    <w:rPr>
                      <w:color w:val="auto"/>
                      <w:sz w:val="21"/>
                      <w:szCs w:val="21"/>
                      <w:highlight w:val="none"/>
                    </w:rPr>
                    <w:t>+0</w:t>
                  </w:r>
                </w:p>
              </w:tc>
            </w:tr>
            <w:tr w14:paraId="5E629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355" w:type="pct"/>
                  <w:vMerge w:val="continue"/>
                  <w:vAlign w:val="center"/>
                </w:tcPr>
                <w:p w14:paraId="4C5146FD">
                  <w:pPr>
                    <w:pStyle w:val="2"/>
                    <w:snapToGrid w:val="0"/>
                    <w:jc w:val="center"/>
                    <w:rPr>
                      <w:color w:val="auto"/>
                      <w:sz w:val="21"/>
                      <w:szCs w:val="21"/>
                      <w:highlight w:val="none"/>
                    </w:rPr>
                  </w:pPr>
                </w:p>
              </w:tc>
              <w:tc>
                <w:tcPr>
                  <w:tcW w:w="479" w:type="pct"/>
                  <w:shd w:val="clear" w:color="auto" w:fill="auto"/>
                  <w:vAlign w:val="center"/>
                </w:tcPr>
                <w:p w14:paraId="3DE2E5D8">
                  <w:pPr>
                    <w:pStyle w:val="2"/>
                    <w:snapToGrid w:val="0"/>
                    <w:jc w:val="center"/>
                    <w:rPr>
                      <w:color w:val="auto"/>
                      <w:sz w:val="21"/>
                      <w:szCs w:val="21"/>
                      <w:highlight w:val="none"/>
                    </w:rPr>
                  </w:pPr>
                  <w:r>
                    <w:rPr>
                      <w:color w:val="auto"/>
                      <w:sz w:val="21"/>
                      <w:szCs w:val="21"/>
                      <w:highlight w:val="none"/>
                    </w:rPr>
                    <w:t>厨房</w:t>
                  </w:r>
                </w:p>
              </w:tc>
              <w:tc>
                <w:tcPr>
                  <w:tcW w:w="408" w:type="pct"/>
                  <w:shd w:val="clear" w:color="auto" w:fill="auto"/>
                  <w:vAlign w:val="center"/>
                </w:tcPr>
                <w:p w14:paraId="64B1474C">
                  <w:pPr>
                    <w:pStyle w:val="2"/>
                    <w:snapToGrid w:val="0"/>
                    <w:jc w:val="center"/>
                    <w:rPr>
                      <w:color w:val="auto"/>
                      <w:sz w:val="21"/>
                      <w:szCs w:val="21"/>
                      <w:highlight w:val="none"/>
                    </w:rPr>
                  </w:pPr>
                  <w:r>
                    <w:rPr>
                      <w:color w:val="auto"/>
                      <w:sz w:val="21"/>
                      <w:szCs w:val="21"/>
                      <w:highlight w:val="none"/>
                    </w:rPr>
                    <w:t>油烟</w:t>
                  </w:r>
                </w:p>
              </w:tc>
              <w:tc>
                <w:tcPr>
                  <w:tcW w:w="549" w:type="pct"/>
                  <w:shd w:val="clear" w:color="auto" w:fill="auto"/>
                  <w:vAlign w:val="center"/>
                </w:tcPr>
                <w:p w14:paraId="1806DA75">
                  <w:pPr>
                    <w:pStyle w:val="2"/>
                    <w:snapToGrid w:val="0"/>
                    <w:jc w:val="center"/>
                    <w:rPr>
                      <w:color w:val="auto"/>
                      <w:sz w:val="21"/>
                      <w:szCs w:val="21"/>
                      <w:highlight w:val="none"/>
                    </w:rPr>
                  </w:pPr>
                  <w:r>
                    <w:rPr>
                      <w:color w:val="auto"/>
                      <w:sz w:val="21"/>
                      <w:szCs w:val="21"/>
                      <w:highlight w:val="none"/>
                    </w:rPr>
                    <w:t>-</w:t>
                  </w:r>
                </w:p>
              </w:tc>
              <w:tc>
                <w:tcPr>
                  <w:tcW w:w="898" w:type="pct"/>
                  <w:shd w:val="clear" w:color="auto" w:fill="auto"/>
                  <w:vAlign w:val="center"/>
                </w:tcPr>
                <w:p w14:paraId="13B9DA91">
                  <w:pPr>
                    <w:pStyle w:val="2"/>
                    <w:snapToGrid w:val="0"/>
                    <w:ind w:firstLine="0" w:firstLineChars="0"/>
                    <w:jc w:val="center"/>
                    <w:rPr>
                      <w:color w:val="auto"/>
                      <w:sz w:val="21"/>
                      <w:szCs w:val="21"/>
                      <w:highlight w:val="none"/>
                    </w:rPr>
                  </w:pPr>
                  <w:r>
                    <w:rPr>
                      <w:color w:val="auto"/>
                      <w:sz w:val="21"/>
                      <w:szCs w:val="21"/>
                      <w:highlight w:val="none"/>
                    </w:rPr>
                    <w:t>-</w:t>
                  </w:r>
                </w:p>
              </w:tc>
              <w:tc>
                <w:tcPr>
                  <w:tcW w:w="752" w:type="pct"/>
                  <w:shd w:val="clear" w:color="auto" w:fill="auto"/>
                  <w:vAlign w:val="center"/>
                </w:tcPr>
                <w:p w14:paraId="0A251AA9">
                  <w:pPr>
                    <w:pStyle w:val="2"/>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965" w:type="pct"/>
                  <w:shd w:val="clear" w:color="auto" w:fill="auto"/>
                  <w:vAlign w:val="center"/>
                </w:tcPr>
                <w:p w14:paraId="5E602E88">
                  <w:pPr>
                    <w:pStyle w:val="2"/>
                    <w:snapToGrid w:val="0"/>
                    <w:jc w:val="center"/>
                    <w:rPr>
                      <w:color w:val="auto"/>
                      <w:sz w:val="21"/>
                      <w:szCs w:val="21"/>
                      <w:highlight w:val="none"/>
                    </w:rPr>
                  </w:pPr>
                  <w:r>
                    <w:rPr>
                      <w:color w:val="auto"/>
                      <w:sz w:val="21"/>
                      <w:szCs w:val="21"/>
                      <w:highlight w:val="none"/>
                    </w:rPr>
                    <w:t>-</w:t>
                  </w:r>
                </w:p>
              </w:tc>
              <w:tc>
                <w:tcPr>
                  <w:tcW w:w="589" w:type="pct"/>
                  <w:shd w:val="clear" w:color="auto" w:fill="auto"/>
                  <w:vAlign w:val="center"/>
                </w:tcPr>
                <w:p w14:paraId="1E3214B6">
                  <w:pPr>
                    <w:pStyle w:val="2"/>
                    <w:snapToGrid w:val="0"/>
                    <w:jc w:val="center"/>
                    <w:rPr>
                      <w:color w:val="auto"/>
                      <w:sz w:val="21"/>
                      <w:szCs w:val="21"/>
                      <w:highlight w:val="none"/>
                    </w:rPr>
                  </w:pPr>
                  <w:r>
                    <w:rPr>
                      <w:color w:val="auto"/>
                      <w:sz w:val="21"/>
                      <w:szCs w:val="21"/>
                      <w:highlight w:val="none"/>
                    </w:rPr>
                    <w:t>-</w:t>
                  </w:r>
                </w:p>
              </w:tc>
            </w:tr>
            <w:tr w14:paraId="49E9E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55" w:type="pct"/>
                  <w:vAlign w:val="center"/>
                </w:tcPr>
                <w:p w14:paraId="0D550E74">
                  <w:pPr>
                    <w:pStyle w:val="2"/>
                    <w:snapToGrid w:val="0"/>
                    <w:jc w:val="center"/>
                    <w:rPr>
                      <w:color w:val="auto"/>
                      <w:sz w:val="21"/>
                      <w:szCs w:val="21"/>
                      <w:highlight w:val="none"/>
                    </w:rPr>
                  </w:pPr>
                  <w:r>
                    <w:rPr>
                      <w:color w:val="auto"/>
                      <w:sz w:val="21"/>
                      <w:szCs w:val="21"/>
                      <w:highlight w:val="none"/>
                    </w:rPr>
                    <w:t>固废</w:t>
                  </w:r>
                </w:p>
              </w:tc>
              <w:tc>
                <w:tcPr>
                  <w:tcW w:w="479" w:type="pct"/>
                  <w:shd w:val="clear" w:color="auto" w:fill="auto"/>
                  <w:vAlign w:val="center"/>
                </w:tcPr>
                <w:p w14:paraId="139C72A4">
                  <w:pPr>
                    <w:pStyle w:val="2"/>
                    <w:snapToGrid w:val="0"/>
                    <w:jc w:val="center"/>
                    <w:rPr>
                      <w:color w:val="auto"/>
                      <w:sz w:val="21"/>
                      <w:szCs w:val="21"/>
                      <w:highlight w:val="none"/>
                    </w:rPr>
                  </w:pPr>
                  <w:r>
                    <w:rPr>
                      <w:color w:val="auto"/>
                      <w:sz w:val="21"/>
                      <w:szCs w:val="21"/>
                      <w:highlight w:val="none"/>
                    </w:rPr>
                    <w:t>全院</w:t>
                  </w:r>
                </w:p>
              </w:tc>
              <w:tc>
                <w:tcPr>
                  <w:tcW w:w="408" w:type="pct"/>
                  <w:shd w:val="clear" w:color="auto" w:fill="auto"/>
                  <w:vAlign w:val="center"/>
                </w:tcPr>
                <w:p w14:paraId="37BDE326">
                  <w:pPr>
                    <w:pStyle w:val="2"/>
                    <w:snapToGrid w:val="0"/>
                    <w:jc w:val="center"/>
                    <w:rPr>
                      <w:color w:val="auto"/>
                      <w:sz w:val="21"/>
                      <w:szCs w:val="21"/>
                      <w:highlight w:val="none"/>
                    </w:rPr>
                  </w:pPr>
                  <w:r>
                    <w:rPr>
                      <w:color w:val="auto"/>
                      <w:sz w:val="21"/>
                      <w:szCs w:val="21"/>
                      <w:highlight w:val="none"/>
                    </w:rPr>
                    <w:t>生活垃圾</w:t>
                  </w:r>
                </w:p>
              </w:tc>
              <w:tc>
                <w:tcPr>
                  <w:tcW w:w="549" w:type="pct"/>
                  <w:shd w:val="clear" w:color="auto" w:fill="auto"/>
                  <w:vAlign w:val="center"/>
                </w:tcPr>
                <w:p w14:paraId="7EED2121">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54.77</w:t>
                  </w:r>
                </w:p>
              </w:tc>
              <w:tc>
                <w:tcPr>
                  <w:tcW w:w="898" w:type="pct"/>
                  <w:shd w:val="clear" w:color="auto" w:fill="auto"/>
                  <w:vAlign w:val="center"/>
                </w:tcPr>
                <w:p w14:paraId="747C2534">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35.2</w:t>
                  </w:r>
                </w:p>
              </w:tc>
              <w:tc>
                <w:tcPr>
                  <w:tcW w:w="752" w:type="pct"/>
                  <w:shd w:val="clear" w:color="auto" w:fill="auto"/>
                  <w:vAlign w:val="center"/>
                </w:tcPr>
                <w:p w14:paraId="5EDED7B3">
                  <w:pPr>
                    <w:pStyle w:val="2"/>
                    <w:snapToGrid w:val="0"/>
                    <w:jc w:val="center"/>
                    <w:rPr>
                      <w:color w:val="auto"/>
                      <w:sz w:val="21"/>
                      <w:szCs w:val="21"/>
                      <w:highlight w:val="none"/>
                    </w:rPr>
                  </w:pPr>
                  <w:r>
                    <w:rPr>
                      <w:color w:val="auto"/>
                      <w:sz w:val="21"/>
                      <w:szCs w:val="21"/>
                      <w:highlight w:val="none"/>
                    </w:rPr>
                    <w:t>0</w:t>
                  </w:r>
                </w:p>
              </w:tc>
              <w:tc>
                <w:tcPr>
                  <w:tcW w:w="965" w:type="pct"/>
                  <w:shd w:val="clear" w:color="auto" w:fill="auto"/>
                  <w:vAlign w:val="center"/>
                </w:tcPr>
                <w:p w14:paraId="448B42AE">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89.97</w:t>
                  </w:r>
                </w:p>
              </w:tc>
              <w:tc>
                <w:tcPr>
                  <w:tcW w:w="589" w:type="pct"/>
                  <w:shd w:val="clear" w:color="auto" w:fill="auto"/>
                  <w:vAlign w:val="center"/>
                </w:tcPr>
                <w:p w14:paraId="2D3E5180">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35.2</w:t>
                  </w:r>
                </w:p>
              </w:tc>
            </w:tr>
            <w:tr w14:paraId="1E1FB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55" w:type="pct"/>
                  <w:vAlign w:val="center"/>
                </w:tcPr>
                <w:p w14:paraId="7E1873D4">
                  <w:pPr>
                    <w:pStyle w:val="2"/>
                    <w:snapToGrid w:val="0"/>
                    <w:jc w:val="center"/>
                    <w:rPr>
                      <w:color w:val="auto"/>
                      <w:sz w:val="21"/>
                      <w:szCs w:val="21"/>
                      <w:highlight w:val="none"/>
                    </w:rPr>
                  </w:pPr>
                  <w:r>
                    <w:rPr>
                      <w:color w:val="auto"/>
                      <w:sz w:val="21"/>
                      <w:szCs w:val="21"/>
                      <w:highlight w:val="none"/>
                    </w:rPr>
                    <w:t>废水</w:t>
                  </w:r>
                </w:p>
              </w:tc>
              <w:tc>
                <w:tcPr>
                  <w:tcW w:w="479" w:type="pct"/>
                  <w:vAlign w:val="center"/>
                </w:tcPr>
                <w:p w14:paraId="66C9EFB9">
                  <w:pPr>
                    <w:pStyle w:val="2"/>
                    <w:snapToGrid w:val="0"/>
                    <w:jc w:val="center"/>
                    <w:rPr>
                      <w:color w:val="auto"/>
                      <w:sz w:val="21"/>
                      <w:szCs w:val="21"/>
                      <w:highlight w:val="none"/>
                    </w:rPr>
                  </w:pPr>
                  <w:r>
                    <w:rPr>
                      <w:color w:val="auto"/>
                      <w:sz w:val="21"/>
                      <w:szCs w:val="21"/>
                      <w:highlight w:val="none"/>
                    </w:rPr>
                    <w:t>门诊、住院、检验、厨房</w:t>
                  </w:r>
                </w:p>
              </w:tc>
              <w:tc>
                <w:tcPr>
                  <w:tcW w:w="408" w:type="pct"/>
                  <w:vAlign w:val="center"/>
                </w:tcPr>
                <w:p w14:paraId="21A4A0E4">
                  <w:pPr>
                    <w:pStyle w:val="2"/>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医疗废水</w:t>
                  </w:r>
                </w:p>
              </w:tc>
              <w:tc>
                <w:tcPr>
                  <w:tcW w:w="549" w:type="pct"/>
                  <w:vAlign w:val="center"/>
                </w:tcPr>
                <w:p w14:paraId="6423DC48">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0（回用30.64）</w:t>
                  </w:r>
                </w:p>
              </w:tc>
              <w:tc>
                <w:tcPr>
                  <w:tcW w:w="898" w:type="pct"/>
                  <w:vAlign w:val="center"/>
                </w:tcPr>
                <w:p w14:paraId="31D17ECF">
                  <w:pPr>
                    <w:pStyle w:val="2"/>
                    <w:snapToGrid w:val="0"/>
                    <w:ind w:firstLine="0" w:firstLineChars="0"/>
                    <w:jc w:val="center"/>
                    <w:rPr>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12.805</w:t>
                  </w:r>
                </w:p>
              </w:tc>
              <w:tc>
                <w:tcPr>
                  <w:tcW w:w="752" w:type="pct"/>
                  <w:vAlign w:val="center"/>
                </w:tcPr>
                <w:p w14:paraId="222B3FE4">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w:t>
                  </w:r>
                </w:p>
              </w:tc>
              <w:tc>
                <w:tcPr>
                  <w:tcW w:w="965" w:type="pct"/>
                  <w:vAlign w:val="center"/>
                </w:tcPr>
                <w:p w14:paraId="558C1530">
                  <w:pPr>
                    <w:pStyle w:val="2"/>
                    <w:snapToGrid w:val="0"/>
                    <w:jc w:val="center"/>
                    <w:rPr>
                      <w:rFonts w:hint="default"/>
                      <w:color w:val="auto"/>
                      <w:sz w:val="21"/>
                      <w:szCs w:val="21"/>
                      <w:highlight w:val="none"/>
                      <w:lang w:val="en-US"/>
                    </w:rPr>
                  </w:pPr>
                  <w:r>
                    <w:rPr>
                      <w:rFonts w:hint="eastAsia"/>
                      <w:color w:val="auto"/>
                      <w:kern w:val="0"/>
                      <w:sz w:val="21"/>
                      <w:szCs w:val="21"/>
                      <w:highlight w:val="none"/>
                      <w:lang w:val="en-US" w:eastAsia="zh-CN"/>
                    </w:rPr>
                    <w:t>43.445</w:t>
                  </w:r>
                </w:p>
              </w:tc>
              <w:tc>
                <w:tcPr>
                  <w:tcW w:w="589" w:type="pct"/>
                  <w:vAlign w:val="center"/>
                </w:tcPr>
                <w:p w14:paraId="6C53D02C">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kern w:val="0"/>
                      <w:sz w:val="21"/>
                      <w:szCs w:val="21"/>
                      <w:highlight w:val="none"/>
                      <w:lang w:val="en-US" w:eastAsia="zh-CN"/>
                    </w:rPr>
                    <w:t>43.445</w:t>
                  </w:r>
                </w:p>
              </w:tc>
            </w:tr>
            <w:tr w14:paraId="63B80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55" w:type="pct"/>
                  <w:vMerge w:val="restart"/>
                  <w:vAlign w:val="center"/>
                </w:tcPr>
                <w:p w14:paraId="4682A46B">
                  <w:pPr>
                    <w:pStyle w:val="2"/>
                    <w:snapToGrid w:val="0"/>
                    <w:jc w:val="center"/>
                    <w:rPr>
                      <w:color w:val="auto"/>
                      <w:sz w:val="21"/>
                      <w:szCs w:val="21"/>
                      <w:highlight w:val="none"/>
                    </w:rPr>
                  </w:pPr>
                  <w:r>
                    <w:rPr>
                      <w:color w:val="auto"/>
                      <w:sz w:val="21"/>
                      <w:szCs w:val="21"/>
                      <w:highlight w:val="none"/>
                    </w:rPr>
                    <w:t>危险废物</w:t>
                  </w:r>
                </w:p>
              </w:tc>
              <w:tc>
                <w:tcPr>
                  <w:tcW w:w="479" w:type="pct"/>
                  <w:vAlign w:val="center"/>
                </w:tcPr>
                <w:p w14:paraId="04BA4ABF">
                  <w:pPr>
                    <w:pStyle w:val="2"/>
                    <w:snapToGrid w:val="0"/>
                    <w:jc w:val="center"/>
                    <w:rPr>
                      <w:color w:val="auto"/>
                      <w:sz w:val="21"/>
                      <w:szCs w:val="21"/>
                      <w:highlight w:val="none"/>
                    </w:rPr>
                  </w:pPr>
                  <w:r>
                    <w:rPr>
                      <w:color w:val="auto"/>
                      <w:sz w:val="21"/>
                      <w:szCs w:val="21"/>
                      <w:highlight w:val="none"/>
                    </w:rPr>
                    <w:t>全院</w:t>
                  </w:r>
                </w:p>
              </w:tc>
              <w:tc>
                <w:tcPr>
                  <w:tcW w:w="408" w:type="pct"/>
                  <w:vAlign w:val="center"/>
                </w:tcPr>
                <w:p w14:paraId="6D45B1D7">
                  <w:pPr>
                    <w:pStyle w:val="2"/>
                    <w:snapToGrid w:val="0"/>
                    <w:jc w:val="center"/>
                    <w:rPr>
                      <w:color w:val="auto"/>
                      <w:sz w:val="21"/>
                      <w:szCs w:val="21"/>
                      <w:highlight w:val="none"/>
                    </w:rPr>
                  </w:pPr>
                  <w:r>
                    <w:rPr>
                      <w:color w:val="auto"/>
                      <w:sz w:val="21"/>
                      <w:szCs w:val="21"/>
                      <w:highlight w:val="none"/>
                    </w:rPr>
                    <w:t>医疗废物</w:t>
                  </w:r>
                </w:p>
              </w:tc>
              <w:tc>
                <w:tcPr>
                  <w:tcW w:w="549" w:type="pct"/>
                  <w:vAlign w:val="center"/>
                </w:tcPr>
                <w:p w14:paraId="57EB6691">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14.23</w:t>
                  </w:r>
                </w:p>
              </w:tc>
              <w:tc>
                <w:tcPr>
                  <w:tcW w:w="898" w:type="pct"/>
                  <w:vAlign w:val="center"/>
                </w:tcPr>
                <w:p w14:paraId="37DC3520">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4.33</w:t>
                  </w:r>
                </w:p>
              </w:tc>
              <w:tc>
                <w:tcPr>
                  <w:tcW w:w="752" w:type="pct"/>
                  <w:vAlign w:val="center"/>
                </w:tcPr>
                <w:p w14:paraId="03C62207">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3C5D1C6E">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18.56</w:t>
                  </w:r>
                </w:p>
              </w:tc>
              <w:tc>
                <w:tcPr>
                  <w:tcW w:w="589" w:type="pct"/>
                  <w:vAlign w:val="center"/>
                </w:tcPr>
                <w:p w14:paraId="18D75BF6">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4.33</w:t>
                  </w:r>
                </w:p>
              </w:tc>
            </w:tr>
            <w:tr w14:paraId="67C12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355" w:type="pct"/>
                  <w:vMerge w:val="continue"/>
                  <w:vAlign w:val="center"/>
                </w:tcPr>
                <w:p w14:paraId="4625922F">
                  <w:pPr>
                    <w:pStyle w:val="2"/>
                    <w:snapToGrid w:val="0"/>
                    <w:jc w:val="center"/>
                    <w:rPr>
                      <w:color w:val="auto"/>
                      <w:sz w:val="21"/>
                      <w:szCs w:val="21"/>
                      <w:highlight w:val="none"/>
                    </w:rPr>
                  </w:pPr>
                </w:p>
              </w:tc>
              <w:tc>
                <w:tcPr>
                  <w:tcW w:w="479" w:type="pct"/>
                  <w:vAlign w:val="center"/>
                </w:tcPr>
                <w:p w14:paraId="0DFA4BE5">
                  <w:pPr>
                    <w:pStyle w:val="2"/>
                    <w:snapToGrid w:val="0"/>
                    <w:jc w:val="center"/>
                    <w:rPr>
                      <w:color w:val="auto"/>
                      <w:sz w:val="21"/>
                      <w:szCs w:val="21"/>
                      <w:highlight w:val="none"/>
                    </w:rPr>
                  </w:pPr>
                  <w:r>
                    <w:rPr>
                      <w:color w:val="auto"/>
                      <w:sz w:val="21"/>
                      <w:szCs w:val="21"/>
                      <w:highlight w:val="none"/>
                    </w:rPr>
                    <w:t>污水处理站</w:t>
                  </w:r>
                </w:p>
              </w:tc>
              <w:tc>
                <w:tcPr>
                  <w:tcW w:w="408" w:type="pct"/>
                  <w:vAlign w:val="center"/>
                </w:tcPr>
                <w:p w14:paraId="5EA1F38D">
                  <w:pPr>
                    <w:pStyle w:val="2"/>
                    <w:snapToGrid w:val="0"/>
                    <w:jc w:val="center"/>
                    <w:rPr>
                      <w:color w:val="auto"/>
                      <w:sz w:val="21"/>
                      <w:szCs w:val="21"/>
                      <w:highlight w:val="none"/>
                    </w:rPr>
                  </w:pPr>
                  <w:r>
                    <w:rPr>
                      <w:color w:val="auto"/>
                      <w:sz w:val="21"/>
                      <w:szCs w:val="21"/>
                      <w:highlight w:val="none"/>
                    </w:rPr>
                    <w:t>污泥</w:t>
                  </w:r>
                </w:p>
              </w:tc>
              <w:tc>
                <w:tcPr>
                  <w:tcW w:w="549" w:type="pct"/>
                  <w:vAlign w:val="center"/>
                </w:tcPr>
                <w:p w14:paraId="17F33043">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1.33</w:t>
                  </w:r>
                </w:p>
              </w:tc>
              <w:tc>
                <w:tcPr>
                  <w:tcW w:w="898" w:type="pct"/>
                  <w:vAlign w:val="center"/>
                </w:tcPr>
                <w:p w14:paraId="747A611A">
                  <w:pPr>
                    <w:pStyle w:val="2"/>
                    <w:snapToGrid w:val="0"/>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0.14</w:t>
                  </w:r>
                </w:p>
              </w:tc>
              <w:tc>
                <w:tcPr>
                  <w:tcW w:w="752" w:type="pct"/>
                  <w:vAlign w:val="center"/>
                </w:tcPr>
                <w:p w14:paraId="42547BCB">
                  <w:pPr>
                    <w:pStyle w:val="2"/>
                    <w:snapToGrid w:val="0"/>
                    <w:jc w:val="center"/>
                    <w:rPr>
                      <w:color w:val="auto"/>
                      <w:sz w:val="21"/>
                      <w:szCs w:val="21"/>
                      <w:highlight w:val="none"/>
                    </w:rPr>
                  </w:pPr>
                  <w:r>
                    <w:rPr>
                      <w:color w:val="auto"/>
                      <w:sz w:val="21"/>
                      <w:szCs w:val="21"/>
                      <w:highlight w:val="none"/>
                    </w:rPr>
                    <w:t>0</w:t>
                  </w:r>
                </w:p>
              </w:tc>
              <w:tc>
                <w:tcPr>
                  <w:tcW w:w="965" w:type="pct"/>
                  <w:vAlign w:val="center"/>
                </w:tcPr>
                <w:p w14:paraId="039065AF">
                  <w:pPr>
                    <w:pStyle w:val="2"/>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1.47</w:t>
                  </w:r>
                </w:p>
              </w:tc>
              <w:tc>
                <w:tcPr>
                  <w:tcW w:w="589" w:type="pct"/>
                  <w:vAlign w:val="center"/>
                </w:tcPr>
                <w:p w14:paraId="2B7274DB">
                  <w:pPr>
                    <w:pStyle w:val="2"/>
                    <w:snapToGrid w:val="0"/>
                    <w:jc w:val="center"/>
                    <w:rPr>
                      <w:rFonts w:hint="default" w:eastAsia="宋体"/>
                      <w:color w:val="auto"/>
                      <w:sz w:val="21"/>
                      <w:szCs w:val="21"/>
                      <w:highlight w:val="none"/>
                      <w:lang w:val="en-US" w:eastAsia="zh-CN"/>
                    </w:rPr>
                  </w:pPr>
                  <w:r>
                    <w:rPr>
                      <w:color w:val="auto"/>
                      <w:sz w:val="21"/>
                      <w:szCs w:val="21"/>
                      <w:highlight w:val="none"/>
                    </w:rPr>
                    <w:t>+</w:t>
                  </w:r>
                  <w:r>
                    <w:rPr>
                      <w:rFonts w:hint="eastAsia"/>
                      <w:color w:val="auto"/>
                      <w:sz w:val="21"/>
                      <w:szCs w:val="21"/>
                      <w:highlight w:val="none"/>
                      <w:lang w:val="en-US" w:eastAsia="zh-CN"/>
                    </w:rPr>
                    <w:t>0.14</w:t>
                  </w:r>
                </w:p>
              </w:tc>
            </w:tr>
          </w:tbl>
          <w:p w14:paraId="1C2B898B">
            <w:pPr>
              <w:widowControl/>
              <w:ind w:firstLine="482"/>
              <w:jc w:val="left"/>
              <w:rPr>
                <w:b/>
                <w:bCs/>
                <w:color w:val="auto"/>
                <w:kern w:val="0"/>
                <w:szCs w:val="24"/>
                <w:lang w:bidi="ar"/>
              </w:rPr>
            </w:pPr>
          </w:p>
        </w:tc>
      </w:tr>
    </w:tbl>
    <w:p w14:paraId="0151D220">
      <w:pPr>
        <w:pStyle w:val="3"/>
        <w:jc w:val="center"/>
        <w:rPr>
          <w:color w:val="auto"/>
        </w:rPr>
        <w:sectPr>
          <w:pgSz w:w="16838" w:h="11906" w:orient="landscape"/>
          <w:pgMar w:top="1800" w:right="1440" w:bottom="1800" w:left="1440" w:header="851" w:footer="992" w:gutter="0"/>
          <w:pgNumType w:fmt="decimal"/>
          <w:cols w:space="720" w:num="1"/>
          <w:docGrid w:type="lines" w:linePitch="326" w:charSpace="0"/>
        </w:sectPr>
      </w:pPr>
      <w:r>
        <w:rPr>
          <w:color w:val="auto"/>
        </w:rPr>
        <w:br w:type="page"/>
      </w:r>
      <w:bookmarkStart w:id="17" w:name="_Toc18391"/>
    </w:p>
    <w:p w14:paraId="08249164">
      <w:pPr>
        <w:pStyle w:val="3"/>
        <w:jc w:val="center"/>
        <w:rPr>
          <w:rFonts w:hint="eastAsia" w:asciiTheme="minorEastAsia" w:hAnsiTheme="minorEastAsia" w:eastAsiaTheme="minorEastAsia" w:cstheme="minorEastAsia"/>
          <w:color w:val="auto"/>
        </w:rPr>
      </w:pPr>
      <w:r>
        <w:rPr>
          <w:color w:val="auto"/>
        </w:rPr>
        <w:t>五、</w:t>
      </w:r>
      <w:r>
        <w:rPr>
          <w:rFonts w:hint="eastAsia" w:asciiTheme="minorEastAsia" w:hAnsiTheme="minorEastAsia" w:eastAsiaTheme="minorEastAsia" w:cstheme="minorEastAsia"/>
          <w:color w:val="auto"/>
          <w:lang w:eastAsia="zh-CN"/>
        </w:rPr>
        <w:t>江川区医共体总院</w:t>
      </w:r>
      <w:r>
        <w:rPr>
          <w:rFonts w:hint="eastAsia" w:asciiTheme="minorEastAsia" w:hAnsiTheme="minorEastAsia" w:eastAsiaTheme="minorEastAsia" w:cstheme="minorEastAsia"/>
          <w:color w:val="auto"/>
        </w:rPr>
        <w:t>环境保护措施监督检查清单</w:t>
      </w:r>
    </w:p>
    <w:tbl>
      <w:tblPr>
        <w:tblStyle w:val="19"/>
        <w:tblW w:w="895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6"/>
        <w:gridCol w:w="490"/>
        <w:gridCol w:w="1040"/>
        <w:gridCol w:w="1729"/>
        <w:gridCol w:w="2660"/>
        <w:gridCol w:w="1971"/>
      </w:tblGrid>
      <w:tr w14:paraId="51D0AE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43904B40">
            <w:pPr>
              <w:spacing w:line="240" w:lineRule="auto"/>
              <w:ind w:firstLine="0" w:firstLineChars="0"/>
              <w:jc w:val="right"/>
              <w:rPr>
                <w:color w:val="auto"/>
                <w:sz w:val="21"/>
                <w:szCs w:val="21"/>
              </w:rPr>
            </w:pPr>
            <w:r>
              <w:rPr>
                <w:color w:val="auto"/>
              </w:rPr>
              <mc:AlternateContent>
                <mc:Choice Requires="wps">
                  <w:drawing>
                    <wp:anchor distT="0" distB="0" distL="114300" distR="114300" simplePos="0" relativeHeight="251705344" behindDoc="0" locked="0" layoutInCell="1" allowOverlap="1">
                      <wp:simplePos x="0" y="0"/>
                      <wp:positionH relativeFrom="column">
                        <wp:posOffset>-67945</wp:posOffset>
                      </wp:positionH>
                      <wp:positionV relativeFrom="paragraph">
                        <wp:posOffset>-17145</wp:posOffset>
                      </wp:positionV>
                      <wp:extent cx="666750" cy="501015"/>
                      <wp:effectExtent l="5715" t="7620" r="13335" b="24765"/>
                      <wp:wrapNone/>
                      <wp:docPr id="81" name="直接连接符 1"/>
                      <wp:cNvGraphicFramePr/>
                      <a:graphic xmlns:a="http://schemas.openxmlformats.org/drawingml/2006/main">
                        <a:graphicData uri="http://schemas.microsoft.com/office/word/2010/wordprocessingShape">
                          <wps:wsp>
                            <wps:cNvCnPr/>
                            <wps:spPr>
                              <a:xfrm>
                                <a:off x="0" y="0"/>
                                <a:ext cx="666750" cy="5010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1" o:spid="_x0000_s1026" o:spt="20" style="position:absolute;left:0pt;margin-left:-5.35pt;margin-top:-1.35pt;height:39.45pt;width:52.5pt;z-index:251705344;mso-width-relative:page;mso-height-relative:page;" filled="f" stroked="t" coordsize="21600,21600" o:gfxdata="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6WbYXZ&#10;AAAACAEAAA8AAAAAAAAAAQAgAAAAIgAAAGRycy9kb3ducmV2LnhtbFBLAQIUABQAAAAIAIdO4kDh&#10;JTAi5gEAALcDAAAOAAAAAAAAAAEAIAAAACgBAABkcnMvZTJvRG9jLnhtbFBLBQYAAAAABgAGAFkB&#10;AACABQAAAAA=&#10;">
                      <v:fill on="f" focussize="0,0"/>
                      <v:stroke weight="1.5pt" color="#000000 [3200]" miterlimit="8" joinstyle="miter"/>
                      <v:imagedata o:title=""/>
                      <o:lock v:ext="edit" aspectratio="f"/>
                    </v:line>
                  </w:pict>
                </mc:Fallback>
              </mc:AlternateContent>
            </w:r>
            <w:r>
              <w:rPr>
                <w:color w:val="auto"/>
                <w:sz w:val="21"/>
                <w:szCs w:val="21"/>
              </w:rPr>
              <w:t>内容</w:t>
            </w:r>
          </w:p>
          <w:p w14:paraId="64E29747">
            <w:pPr>
              <w:pStyle w:val="2"/>
              <w:rPr>
                <w:color w:val="auto"/>
                <w:sz w:val="21"/>
                <w:szCs w:val="21"/>
              </w:rPr>
            </w:pPr>
            <w:r>
              <w:rPr>
                <w:color w:val="auto"/>
                <w:sz w:val="21"/>
                <w:szCs w:val="21"/>
              </w:rPr>
              <w:t>要素</w:t>
            </w:r>
          </w:p>
        </w:tc>
        <w:tc>
          <w:tcPr>
            <w:tcW w:w="1530" w:type="dxa"/>
            <w:gridSpan w:val="2"/>
            <w:vAlign w:val="center"/>
          </w:tcPr>
          <w:p w14:paraId="1D3AB6CF">
            <w:pPr>
              <w:spacing w:line="240" w:lineRule="auto"/>
              <w:ind w:firstLine="0" w:firstLineChars="0"/>
              <w:jc w:val="center"/>
              <w:rPr>
                <w:color w:val="auto"/>
                <w:sz w:val="21"/>
                <w:szCs w:val="21"/>
              </w:rPr>
            </w:pPr>
            <w:r>
              <w:rPr>
                <w:color w:val="auto"/>
                <w:sz w:val="21"/>
                <w:szCs w:val="21"/>
              </w:rPr>
              <w:t>排放口（编号、名称）/污染源</w:t>
            </w:r>
          </w:p>
        </w:tc>
        <w:tc>
          <w:tcPr>
            <w:tcW w:w="1729" w:type="dxa"/>
            <w:vAlign w:val="center"/>
          </w:tcPr>
          <w:p w14:paraId="729F9595">
            <w:pPr>
              <w:spacing w:line="240" w:lineRule="auto"/>
              <w:ind w:firstLine="0" w:firstLineChars="0"/>
              <w:jc w:val="center"/>
              <w:rPr>
                <w:color w:val="auto"/>
                <w:sz w:val="21"/>
                <w:szCs w:val="21"/>
              </w:rPr>
            </w:pPr>
            <w:r>
              <w:rPr>
                <w:color w:val="auto"/>
                <w:sz w:val="21"/>
                <w:szCs w:val="21"/>
              </w:rPr>
              <w:t>污染物项目</w:t>
            </w:r>
          </w:p>
        </w:tc>
        <w:tc>
          <w:tcPr>
            <w:tcW w:w="2660" w:type="dxa"/>
            <w:vAlign w:val="center"/>
          </w:tcPr>
          <w:p w14:paraId="7521B6C2">
            <w:pPr>
              <w:spacing w:line="240" w:lineRule="auto"/>
              <w:ind w:firstLine="0" w:firstLineChars="0"/>
              <w:jc w:val="center"/>
              <w:rPr>
                <w:color w:val="auto"/>
                <w:sz w:val="21"/>
                <w:szCs w:val="21"/>
              </w:rPr>
            </w:pPr>
            <w:r>
              <w:rPr>
                <w:color w:val="auto"/>
                <w:sz w:val="21"/>
                <w:szCs w:val="21"/>
              </w:rPr>
              <w:t>环境保护措施</w:t>
            </w:r>
          </w:p>
        </w:tc>
        <w:tc>
          <w:tcPr>
            <w:tcW w:w="1971" w:type="dxa"/>
            <w:vAlign w:val="center"/>
          </w:tcPr>
          <w:p w14:paraId="0A78CFAE">
            <w:pPr>
              <w:spacing w:line="240" w:lineRule="auto"/>
              <w:ind w:firstLine="0" w:firstLineChars="0"/>
              <w:jc w:val="center"/>
              <w:rPr>
                <w:color w:val="auto"/>
                <w:sz w:val="21"/>
                <w:szCs w:val="21"/>
              </w:rPr>
            </w:pPr>
            <w:r>
              <w:rPr>
                <w:color w:val="auto"/>
                <w:sz w:val="21"/>
                <w:szCs w:val="21"/>
              </w:rPr>
              <w:t>执行标准</w:t>
            </w:r>
          </w:p>
        </w:tc>
      </w:tr>
      <w:tr w14:paraId="4ED519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3B95865D">
            <w:pPr>
              <w:spacing w:line="240" w:lineRule="auto"/>
              <w:ind w:firstLine="0" w:firstLineChars="0"/>
              <w:rPr>
                <w:rFonts w:hint="eastAsia" w:eastAsia="宋体"/>
                <w:color w:val="auto"/>
                <w:sz w:val="21"/>
                <w:szCs w:val="21"/>
                <w:lang w:val="en-US" w:eastAsia="zh-CN"/>
              </w:rPr>
            </w:pPr>
            <w:r>
              <w:rPr>
                <w:rFonts w:hint="eastAsia"/>
                <w:color w:val="auto"/>
                <w:sz w:val="21"/>
                <w:szCs w:val="21"/>
                <w:lang w:val="en-US" w:eastAsia="zh-CN"/>
              </w:rPr>
              <w:t>大气环境</w:t>
            </w:r>
          </w:p>
        </w:tc>
        <w:tc>
          <w:tcPr>
            <w:tcW w:w="1530" w:type="dxa"/>
            <w:gridSpan w:val="2"/>
            <w:vAlign w:val="center"/>
          </w:tcPr>
          <w:p w14:paraId="0FE5591D">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消毒中心</w:t>
            </w:r>
          </w:p>
        </w:tc>
        <w:tc>
          <w:tcPr>
            <w:tcW w:w="1729" w:type="dxa"/>
            <w:vAlign w:val="center"/>
          </w:tcPr>
          <w:p w14:paraId="205DD3CD">
            <w:pPr>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甲醛</w:t>
            </w:r>
          </w:p>
        </w:tc>
        <w:tc>
          <w:tcPr>
            <w:tcW w:w="2660" w:type="dxa"/>
            <w:vAlign w:val="center"/>
          </w:tcPr>
          <w:p w14:paraId="14A401A1">
            <w:pPr>
              <w:spacing w:line="240" w:lineRule="auto"/>
              <w:ind w:firstLine="0" w:firstLineChars="0"/>
              <w:rPr>
                <w:rFonts w:hint="eastAsia" w:eastAsia="宋体"/>
                <w:color w:val="auto"/>
                <w:sz w:val="21"/>
                <w:szCs w:val="21"/>
                <w:lang w:eastAsia="zh-CN"/>
              </w:rPr>
            </w:pPr>
            <w:r>
              <w:rPr>
                <w:rFonts w:hint="eastAsia"/>
                <w:color w:val="auto"/>
                <w:sz w:val="21"/>
                <w:szCs w:val="21"/>
                <w:lang w:eastAsia="zh-CN"/>
              </w:rPr>
              <w:t>甲醛低温灭菌使用时产生的甲醛残气，采取通风和规范操作等措施，呈无组织排放，对环境影响较小</w:t>
            </w:r>
          </w:p>
        </w:tc>
        <w:tc>
          <w:tcPr>
            <w:tcW w:w="1971" w:type="dxa"/>
            <w:vAlign w:val="center"/>
          </w:tcPr>
          <w:p w14:paraId="3E61A4D0">
            <w:pPr>
              <w:spacing w:line="240" w:lineRule="auto"/>
              <w:ind w:firstLine="0" w:firstLineChars="0"/>
              <w:jc w:val="center"/>
              <w:rPr>
                <w:color w:val="auto"/>
                <w:sz w:val="21"/>
                <w:szCs w:val="21"/>
              </w:rPr>
            </w:pPr>
            <w:r>
              <w:rPr>
                <w:rFonts w:hint="eastAsia"/>
                <w:color w:val="auto"/>
                <w:sz w:val="21"/>
                <w:szCs w:val="21"/>
              </w:rPr>
              <w:t>《大气污染物综合排放标准》（</w:t>
            </w:r>
            <w:r>
              <w:rPr>
                <w:color w:val="auto"/>
                <w:sz w:val="21"/>
                <w:szCs w:val="21"/>
              </w:rPr>
              <w:t>GB16297-1996</w:t>
            </w:r>
            <w:r>
              <w:rPr>
                <w:rFonts w:hint="eastAsia"/>
                <w:color w:val="auto"/>
                <w:sz w:val="21"/>
                <w:szCs w:val="21"/>
              </w:rPr>
              <w:t>）</w:t>
            </w:r>
          </w:p>
        </w:tc>
      </w:tr>
      <w:tr w14:paraId="033C1C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4" w:hRule="atLeast"/>
        </w:trPr>
        <w:tc>
          <w:tcPr>
            <w:tcW w:w="1066" w:type="dxa"/>
            <w:vMerge w:val="restart"/>
            <w:vAlign w:val="center"/>
          </w:tcPr>
          <w:p w14:paraId="73AB8EB4">
            <w:pPr>
              <w:spacing w:line="240" w:lineRule="auto"/>
              <w:ind w:firstLine="0" w:firstLineChars="0"/>
              <w:jc w:val="center"/>
              <w:rPr>
                <w:color w:val="auto"/>
                <w:sz w:val="21"/>
                <w:szCs w:val="21"/>
              </w:rPr>
            </w:pPr>
            <w:r>
              <w:rPr>
                <w:color w:val="auto"/>
                <w:sz w:val="21"/>
                <w:szCs w:val="21"/>
              </w:rPr>
              <w:t>地表水环境</w:t>
            </w:r>
          </w:p>
        </w:tc>
        <w:tc>
          <w:tcPr>
            <w:tcW w:w="490" w:type="dxa"/>
            <w:vMerge w:val="restart"/>
            <w:tcBorders>
              <w:right w:val="single" w:color="auto" w:sz="4" w:space="0"/>
            </w:tcBorders>
            <w:vAlign w:val="center"/>
          </w:tcPr>
          <w:p w14:paraId="36ADC355">
            <w:pPr>
              <w:spacing w:line="240" w:lineRule="auto"/>
              <w:ind w:firstLine="0" w:firstLineChars="0"/>
              <w:jc w:val="center"/>
              <w:rPr>
                <w:rFonts w:hint="eastAsia"/>
                <w:color w:val="auto"/>
                <w:sz w:val="21"/>
                <w:szCs w:val="24"/>
                <w:lang w:val="en-US" w:eastAsia="zh-CN"/>
              </w:rPr>
            </w:pPr>
            <w:r>
              <w:rPr>
                <w:color w:val="auto"/>
                <w:sz w:val="21"/>
                <w:szCs w:val="24"/>
              </w:rPr>
              <w:t>DW001</w:t>
            </w:r>
          </w:p>
        </w:tc>
        <w:tc>
          <w:tcPr>
            <w:tcW w:w="1040" w:type="dxa"/>
            <w:tcBorders>
              <w:left w:val="single" w:color="auto" w:sz="4" w:space="0"/>
            </w:tcBorders>
            <w:vAlign w:val="center"/>
          </w:tcPr>
          <w:p w14:paraId="15C571F0">
            <w:pPr>
              <w:spacing w:line="240" w:lineRule="auto"/>
              <w:ind w:firstLine="0" w:firstLineChars="0"/>
              <w:jc w:val="center"/>
              <w:rPr>
                <w:color w:val="auto"/>
                <w:sz w:val="21"/>
                <w:szCs w:val="24"/>
              </w:rPr>
            </w:pPr>
            <w:r>
              <w:rPr>
                <w:color w:val="auto"/>
                <w:sz w:val="21"/>
                <w:szCs w:val="24"/>
              </w:rPr>
              <w:t>门诊、住院用水</w:t>
            </w:r>
          </w:p>
        </w:tc>
        <w:tc>
          <w:tcPr>
            <w:tcW w:w="1729" w:type="dxa"/>
            <w:vMerge w:val="restart"/>
            <w:vAlign w:val="center"/>
          </w:tcPr>
          <w:p w14:paraId="7DA8047F">
            <w:pPr>
              <w:spacing w:line="240" w:lineRule="auto"/>
              <w:ind w:firstLine="0" w:firstLineChars="0"/>
              <w:jc w:val="center"/>
              <w:rPr>
                <w:color w:val="auto"/>
                <w:sz w:val="21"/>
                <w:szCs w:val="21"/>
              </w:rPr>
            </w:pPr>
            <w:r>
              <w:rPr>
                <w:color w:val="auto"/>
                <w:sz w:val="21"/>
                <w:szCs w:val="24"/>
              </w:rPr>
              <w:t>粪大肠菌数、pH、COD、BOD</w:t>
            </w:r>
            <w:r>
              <w:rPr>
                <w:color w:val="auto"/>
                <w:sz w:val="21"/>
                <w:szCs w:val="24"/>
                <w:vertAlign w:val="subscript"/>
              </w:rPr>
              <w:t>5</w:t>
            </w:r>
            <w:r>
              <w:rPr>
                <w:color w:val="auto"/>
                <w:sz w:val="21"/>
                <w:szCs w:val="24"/>
              </w:rPr>
              <w:t>、SS、动植物油、氨氮、石油类、阴离子表面活性剂、色度、挥发酚、总氰化物、总余氯等</w:t>
            </w:r>
          </w:p>
        </w:tc>
        <w:tc>
          <w:tcPr>
            <w:tcW w:w="2660" w:type="dxa"/>
            <w:vAlign w:val="center"/>
          </w:tcPr>
          <w:p w14:paraId="15B9CC08">
            <w:pPr>
              <w:spacing w:line="240" w:lineRule="auto"/>
              <w:ind w:firstLine="0" w:firstLineChars="0"/>
              <w:jc w:val="center"/>
              <w:rPr>
                <w:color w:val="auto"/>
                <w:sz w:val="21"/>
                <w:szCs w:val="21"/>
              </w:rPr>
            </w:pPr>
            <w:r>
              <w:rPr>
                <w:color w:val="auto"/>
                <w:sz w:val="21"/>
                <w:szCs w:val="21"/>
              </w:rPr>
              <w:t>“一级处理+消毒工艺”的污水处理站</w:t>
            </w:r>
          </w:p>
        </w:tc>
        <w:tc>
          <w:tcPr>
            <w:tcW w:w="1971" w:type="dxa"/>
            <w:vMerge w:val="restart"/>
            <w:vAlign w:val="center"/>
          </w:tcPr>
          <w:p w14:paraId="5785CC6A">
            <w:pPr>
              <w:spacing w:line="240" w:lineRule="auto"/>
              <w:ind w:firstLine="0" w:firstLineChars="0"/>
              <w:jc w:val="center"/>
              <w:rPr>
                <w:rFonts w:hint="eastAsia" w:eastAsia="宋体"/>
                <w:color w:val="auto"/>
                <w:sz w:val="21"/>
                <w:szCs w:val="21"/>
                <w:lang w:eastAsia="zh-CN"/>
              </w:rPr>
            </w:pPr>
            <w:r>
              <w:rPr>
                <w:color w:val="auto"/>
                <w:sz w:val="21"/>
                <w:szCs w:val="21"/>
              </w:rPr>
              <w:t>满足《医疗机构水污染物排放标准》GB18466-2005中表2</w:t>
            </w:r>
          </w:p>
          <w:p w14:paraId="23FB6164">
            <w:pPr>
              <w:spacing w:line="240" w:lineRule="auto"/>
              <w:ind w:firstLine="0" w:firstLineChars="0"/>
              <w:jc w:val="center"/>
              <w:rPr>
                <w:color w:val="auto"/>
                <w:sz w:val="21"/>
                <w:szCs w:val="21"/>
              </w:rPr>
            </w:pPr>
            <w:r>
              <w:rPr>
                <w:color w:val="auto"/>
                <w:sz w:val="21"/>
                <w:szCs w:val="21"/>
              </w:rPr>
              <w:t>预处理标准要求</w:t>
            </w:r>
          </w:p>
        </w:tc>
      </w:tr>
      <w:tr w14:paraId="22EBB2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70E7316F">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3E2A17BA">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202AA91C">
            <w:pPr>
              <w:spacing w:line="240" w:lineRule="auto"/>
              <w:ind w:firstLine="0" w:firstLineChars="0"/>
              <w:jc w:val="center"/>
              <w:rPr>
                <w:color w:val="auto"/>
                <w:sz w:val="21"/>
                <w:szCs w:val="24"/>
              </w:rPr>
            </w:pPr>
            <w:r>
              <w:rPr>
                <w:color w:val="auto"/>
                <w:sz w:val="21"/>
                <w:szCs w:val="24"/>
              </w:rPr>
              <w:t>检验科用水</w:t>
            </w:r>
          </w:p>
        </w:tc>
        <w:tc>
          <w:tcPr>
            <w:tcW w:w="1729" w:type="dxa"/>
            <w:vMerge w:val="continue"/>
            <w:vAlign w:val="center"/>
          </w:tcPr>
          <w:p w14:paraId="406F6C78">
            <w:pPr>
              <w:spacing w:line="240" w:lineRule="auto"/>
              <w:ind w:firstLine="0" w:firstLineChars="0"/>
              <w:jc w:val="center"/>
              <w:rPr>
                <w:color w:val="auto"/>
                <w:sz w:val="21"/>
                <w:szCs w:val="21"/>
              </w:rPr>
            </w:pPr>
          </w:p>
        </w:tc>
        <w:tc>
          <w:tcPr>
            <w:tcW w:w="2660" w:type="dxa"/>
            <w:vAlign w:val="center"/>
          </w:tcPr>
          <w:p w14:paraId="0DD73E73">
            <w:pPr>
              <w:spacing w:line="240" w:lineRule="auto"/>
              <w:ind w:firstLine="0" w:firstLineChars="0"/>
              <w:jc w:val="center"/>
              <w:rPr>
                <w:color w:val="auto"/>
                <w:sz w:val="21"/>
                <w:szCs w:val="21"/>
              </w:rPr>
            </w:pPr>
            <w:r>
              <w:rPr>
                <w:color w:val="auto"/>
                <w:sz w:val="21"/>
                <w:szCs w:val="21"/>
              </w:rPr>
              <w:t>经一体化污水处理设施后进入污水处理站。</w:t>
            </w:r>
          </w:p>
        </w:tc>
        <w:tc>
          <w:tcPr>
            <w:tcW w:w="1971" w:type="dxa"/>
            <w:vMerge w:val="continue"/>
            <w:vAlign w:val="center"/>
          </w:tcPr>
          <w:p w14:paraId="27553293">
            <w:pPr>
              <w:spacing w:line="240" w:lineRule="auto"/>
              <w:ind w:firstLine="0" w:firstLineChars="0"/>
              <w:jc w:val="center"/>
              <w:rPr>
                <w:color w:val="auto"/>
                <w:sz w:val="21"/>
                <w:szCs w:val="21"/>
              </w:rPr>
            </w:pPr>
          </w:p>
        </w:tc>
      </w:tr>
      <w:tr w14:paraId="2F062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13F91D50">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349CCD5D">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44ADA0BF">
            <w:pPr>
              <w:spacing w:line="240" w:lineRule="auto"/>
              <w:ind w:firstLine="0" w:firstLineChars="0"/>
              <w:jc w:val="center"/>
              <w:rPr>
                <w:color w:val="auto"/>
                <w:sz w:val="21"/>
                <w:szCs w:val="24"/>
              </w:rPr>
            </w:pPr>
            <w:r>
              <w:rPr>
                <w:color w:val="auto"/>
                <w:sz w:val="21"/>
                <w:szCs w:val="24"/>
              </w:rPr>
              <w:t>厨房用水</w:t>
            </w:r>
          </w:p>
        </w:tc>
        <w:tc>
          <w:tcPr>
            <w:tcW w:w="1729" w:type="dxa"/>
            <w:vMerge w:val="continue"/>
            <w:vAlign w:val="center"/>
          </w:tcPr>
          <w:p w14:paraId="07C9269F">
            <w:pPr>
              <w:spacing w:line="240" w:lineRule="auto"/>
              <w:ind w:firstLine="0" w:firstLineChars="0"/>
              <w:jc w:val="center"/>
              <w:rPr>
                <w:color w:val="auto"/>
                <w:sz w:val="21"/>
                <w:szCs w:val="21"/>
              </w:rPr>
            </w:pPr>
          </w:p>
        </w:tc>
        <w:tc>
          <w:tcPr>
            <w:tcW w:w="2660" w:type="dxa"/>
            <w:vAlign w:val="center"/>
          </w:tcPr>
          <w:p w14:paraId="2A8BABD0">
            <w:pPr>
              <w:spacing w:line="240" w:lineRule="auto"/>
              <w:ind w:firstLine="0" w:firstLineChars="0"/>
              <w:jc w:val="center"/>
              <w:rPr>
                <w:color w:val="auto"/>
                <w:sz w:val="21"/>
                <w:szCs w:val="21"/>
              </w:rPr>
            </w:pPr>
            <w:r>
              <w:rPr>
                <w:color w:val="auto"/>
                <w:sz w:val="21"/>
                <w:szCs w:val="21"/>
              </w:rPr>
              <w:t>经隔油池处理后进入化粪池处理后进入污水处理站</w:t>
            </w:r>
          </w:p>
        </w:tc>
        <w:tc>
          <w:tcPr>
            <w:tcW w:w="1971" w:type="dxa"/>
            <w:vMerge w:val="continue"/>
            <w:vAlign w:val="center"/>
          </w:tcPr>
          <w:p w14:paraId="2124B503">
            <w:pPr>
              <w:spacing w:line="240" w:lineRule="auto"/>
              <w:ind w:firstLine="0" w:firstLineChars="0"/>
              <w:jc w:val="center"/>
              <w:rPr>
                <w:color w:val="auto"/>
                <w:sz w:val="21"/>
                <w:szCs w:val="21"/>
              </w:rPr>
            </w:pPr>
          </w:p>
        </w:tc>
      </w:tr>
      <w:tr w14:paraId="719EE2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029F7230">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7CB22A5F">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604035A2">
            <w:pPr>
              <w:spacing w:line="240" w:lineRule="auto"/>
              <w:ind w:firstLine="0" w:firstLineChars="0"/>
              <w:jc w:val="center"/>
              <w:rPr>
                <w:rFonts w:hint="eastAsia"/>
                <w:color w:val="auto"/>
                <w:sz w:val="21"/>
                <w:szCs w:val="24"/>
                <w:lang w:val="en-US" w:eastAsia="zh-CN"/>
              </w:rPr>
            </w:pPr>
            <w:r>
              <w:rPr>
                <w:rFonts w:hint="eastAsia"/>
                <w:color w:val="auto"/>
                <w:sz w:val="21"/>
                <w:szCs w:val="24"/>
                <w:lang w:val="en-US" w:eastAsia="zh-CN"/>
              </w:rPr>
              <w:t>地面清洗用水</w:t>
            </w:r>
          </w:p>
          <w:p w14:paraId="56F28FB9">
            <w:pPr>
              <w:spacing w:line="240" w:lineRule="auto"/>
              <w:ind w:firstLine="0" w:firstLineChars="0"/>
              <w:jc w:val="center"/>
              <w:rPr>
                <w:color w:val="auto"/>
                <w:sz w:val="21"/>
                <w:szCs w:val="24"/>
              </w:rPr>
            </w:pPr>
          </w:p>
        </w:tc>
        <w:tc>
          <w:tcPr>
            <w:tcW w:w="1729" w:type="dxa"/>
            <w:vMerge w:val="continue"/>
            <w:vAlign w:val="center"/>
          </w:tcPr>
          <w:p w14:paraId="7C659FBF">
            <w:pPr>
              <w:spacing w:line="240" w:lineRule="auto"/>
              <w:ind w:firstLine="0" w:firstLineChars="0"/>
              <w:jc w:val="center"/>
              <w:rPr>
                <w:color w:val="auto"/>
                <w:sz w:val="21"/>
                <w:szCs w:val="21"/>
              </w:rPr>
            </w:pPr>
          </w:p>
        </w:tc>
        <w:tc>
          <w:tcPr>
            <w:tcW w:w="2660" w:type="dxa"/>
            <w:vAlign w:val="center"/>
          </w:tcPr>
          <w:p w14:paraId="14E8AE40">
            <w:pPr>
              <w:spacing w:line="240" w:lineRule="auto"/>
              <w:ind w:firstLine="0" w:firstLineChars="0"/>
              <w:jc w:val="center"/>
              <w:rPr>
                <w:color w:val="auto"/>
                <w:sz w:val="21"/>
                <w:szCs w:val="21"/>
              </w:rPr>
            </w:pPr>
            <w:r>
              <w:rPr>
                <w:color w:val="auto"/>
                <w:sz w:val="21"/>
                <w:szCs w:val="21"/>
              </w:rPr>
              <w:t>“一级处理+消毒工艺”的污水处理站</w:t>
            </w:r>
          </w:p>
        </w:tc>
        <w:tc>
          <w:tcPr>
            <w:tcW w:w="1971" w:type="dxa"/>
            <w:vMerge w:val="continue"/>
            <w:vAlign w:val="center"/>
          </w:tcPr>
          <w:p w14:paraId="3D7E228A">
            <w:pPr>
              <w:spacing w:line="240" w:lineRule="auto"/>
              <w:ind w:firstLine="0" w:firstLineChars="0"/>
              <w:jc w:val="center"/>
              <w:rPr>
                <w:color w:val="auto"/>
                <w:sz w:val="21"/>
                <w:szCs w:val="21"/>
              </w:rPr>
            </w:pPr>
          </w:p>
        </w:tc>
      </w:tr>
      <w:tr w14:paraId="6E088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200DC9D7">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190CF499">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4AD1E22B">
            <w:pPr>
              <w:spacing w:line="240" w:lineRule="auto"/>
              <w:ind w:firstLine="0" w:firstLineChars="0"/>
              <w:jc w:val="center"/>
              <w:rPr>
                <w:rFonts w:hint="eastAsia"/>
                <w:color w:val="auto"/>
                <w:sz w:val="21"/>
                <w:szCs w:val="24"/>
                <w:lang w:val="en-US" w:eastAsia="zh-CN"/>
              </w:rPr>
            </w:pPr>
            <w:r>
              <w:rPr>
                <w:rFonts w:hint="eastAsia"/>
                <w:color w:val="auto"/>
                <w:sz w:val="21"/>
                <w:szCs w:val="24"/>
                <w:lang w:val="en-US" w:eastAsia="zh-CN"/>
              </w:rPr>
              <w:t>运输设施（转运箱）清洗用水</w:t>
            </w:r>
          </w:p>
        </w:tc>
        <w:tc>
          <w:tcPr>
            <w:tcW w:w="1729" w:type="dxa"/>
            <w:vMerge w:val="continue"/>
            <w:vAlign w:val="center"/>
          </w:tcPr>
          <w:p w14:paraId="6610B2C9">
            <w:pPr>
              <w:spacing w:line="240" w:lineRule="auto"/>
              <w:ind w:firstLine="0" w:firstLineChars="0"/>
              <w:jc w:val="center"/>
              <w:rPr>
                <w:color w:val="auto"/>
                <w:sz w:val="21"/>
                <w:szCs w:val="21"/>
              </w:rPr>
            </w:pPr>
          </w:p>
        </w:tc>
        <w:tc>
          <w:tcPr>
            <w:tcW w:w="2660" w:type="dxa"/>
            <w:vAlign w:val="center"/>
          </w:tcPr>
          <w:p w14:paraId="7582E452">
            <w:pPr>
              <w:spacing w:line="240" w:lineRule="auto"/>
              <w:ind w:firstLine="0" w:firstLineChars="0"/>
              <w:jc w:val="center"/>
              <w:rPr>
                <w:color w:val="auto"/>
                <w:sz w:val="21"/>
                <w:szCs w:val="21"/>
              </w:rPr>
            </w:pPr>
            <w:r>
              <w:rPr>
                <w:color w:val="auto"/>
                <w:sz w:val="21"/>
                <w:szCs w:val="21"/>
              </w:rPr>
              <w:t>“一级处理+消毒工艺”的污水处理站</w:t>
            </w:r>
          </w:p>
        </w:tc>
        <w:tc>
          <w:tcPr>
            <w:tcW w:w="1971" w:type="dxa"/>
            <w:vMerge w:val="continue"/>
            <w:vAlign w:val="center"/>
          </w:tcPr>
          <w:p w14:paraId="448E4CD9">
            <w:pPr>
              <w:spacing w:line="240" w:lineRule="auto"/>
              <w:ind w:firstLine="0" w:firstLineChars="0"/>
              <w:jc w:val="center"/>
              <w:rPr>
                <w:color w:val="auto"/>
                <w:sz w:val="21"/>
                <w:szCs w:val="21"/>
              </w:rPr>
            </w:pPr>
          </w:p>
        </w:tc>
      </w:tr>
      <w:tr w14:paraId="798051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562F2797">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6419C68F">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06B903BF">
            <w:pPr>
              <w:spacing w:line="240" w:lineRule="auto"/>
              <w:ind w:firstLine="0" w:firstLineChars="0"/>
              <w:jc w:val="center"/>
              <w:rPr>
                <w:rFonts w:hint="eastAsia"/>
                <w:color w:val="auto"/>
                <w:sz w:val="21"/>
                <w:szCs w:val="24"/>
                <w:lang w:val="en-US" w:eastAsia="zh-CN"/>
              </w:rPr>
            </w:pPr>
            <w:r>
              <w:rPr>
                <w:rFonts w:hint="eastAsia"/>
                <w:color w:val="auto"/>
                <w:sz w:val="21"/>
                <w:szCs w:val="24"/>
                <w:lang w:val="en-US" w:eastAsia="zh-CN"/>
              </w:rPr>
              <w:t>蒸汽系统用水</w:t>
            </w:r>
          </w:p>
        </w:tc>
        <w:tc>
          <w:tcPr>
            <w:tcW w:w="1729" w:type="dxa"/>
            <w:vMerge w:val="continue"/>
            <w:vAlign w:val="center"/>
          </w:tcPr>
          <w:p w14:paraId="352A6C7C">
            <w:pPr>
              <w:spacing w:line="240" w:lineRule="auto"/>
              <w:ind w:firstLine="0" w:firstLineChars="0"/>
              <w:jc w:val="center"/>
              <w:rPr>
                <w:color w:val="auto"/>
                <w:sz w:val="21"/>
                <w:szCs w:val="21"/>
              </w:rPr>
            </w:pPr>
          </w:p>
        </w:tc>
        <w:tc>
          <w:tcPr>
            <w:tcW w:w="2660" w:type="dxa"/>
            <w:vAlign w:val="center"/>
          </w:tcPr>
          <w:p w14:paraId="2C1642BB">
            <w:pPr>
              <w:spacing w:line="240" w:lineRule="auto"/>
              <w:ind w:firstLine="0" w:firstLineChars="0"/>
              <w:jc w:val="center"/>
              <w:rPr>
                <w:rFonts w:hint="eastAsia"/>
                <w:color w:val="auto"/>
                <w:sz w:val="21"/>
                <w:szCs w:val="24"/>
                <w:lang w:val="en-US" w:eastAsia="zh-CN"/>
              </w:rPr>
            </w:pPr>
            <w:r>
              <w:rPr>
                <w:rFonts w:hint="eastAsia"/>
                <w:color w:val="auto"/>
                <w:sz w:val="21"/>
                <w:szCs w:val="21"/>
                <w:lang w:val="en-US" w:eastAsia="zh-CN"/>
              </w:rPr>
              <w:t>冷却水回用于</w:t>
            </w:r>
            <w:r>
              <w:rPr>
                <w:rFonts w:hint="eastAsia"/>
                <w:color w:val="auto"/>
                <w:sz w:val="21"/>
                <w:szCs w:val="24"/>
                <w:lang w:val="en-US" w:eastAsia="zh-CN"/>
              </w:rPr>
              <w:t>灭菌器真空泵冷却用水、地面清洗用水、运输设施（转运箱）清洗用水</w:t>
            </w:r>
          </w:p>
          <w:p w14:paraId="6D4786AF">
            <w:pPr>
              <w:spacing w:line="240" w:lineRule="auto"/>
              <w:ind w:firstLine="0" w:firstLineChars="0"/>
              <w:jc w:val="center"/>
              <w:rPr>
                <w:rFonts w:hint="default" w:eastAsia="宋体"/>
                <w:color w:val="auto"/>
                <w:sz w:val="21"/>
                <w:szCs w:val="21"/>
                <w:lang w:val="en-US" w:eastAsia="zh-CN"/>
              </w:rPr>
            </w:pPr>
          </w:p>
        </w:tc>
        <w:tc>
          <w:tcPr>
            <w:tcW w:w="1971" w:type="dxa"/>
            <w:vMerge w:val="continue"/>
            <w:vAlign w:val="center"/>
          </w:tcPr>
          <w:p w14:paraId="662E6833">
            <w:pPr>
              <w:spacing w:line="240" w:lineRule="auto"/>
              <w:ind w:firstLine="0" w:firstLineChars="0"/>
              <w:jc w:val="center"/>
              <w:rPr>
                <w:color w:val="auto"/>
                <w:sz w:val="21"/>
                <w:szCs w:val="21"/>
              </w:rPr>
            </w:pPr>
          </w:p>
        </w:tc>
      </w:tr>
      <w:tr w14:paraId="2ACAAB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7AEEE4AD">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074CB50F">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647DD4B9">
            <w:pPr>
              <w:spacing w:line="240" w:lineRule="auto"/>
              <w:ind w:firstLine="0" w:firstLineChars="0"/>
              <w:jc w:val="center"/>
              <w:rPr>
                <w:rFonts w:hint="eastAsia"/>
                <w:color w:val="auto"/>
                <w:sz w:val="21"/>
                <w:szCs w:val="24"/>
                <w:lang w:val="en-US" w:eastAsia="zh-CN"/>
              </w:rPr>
            </w:pPr>
            <w:r>
              <w:rPr>
                <w:rFonts w:hint="eastAsia"/>
                <w:color w:val="auto"/>
                <w:sz w:val="21"/>
                <w:szCs w:val="24"/>
                <w:lang w:val="en-US" w:eastAsia="zh-CN"/>
              </w:rPr>
              <w:t>洗涤用水</w:t>
            </w:r>
          </w:p>
        </w:tc>
        <w:tc>
          <w:tcPr>
            <w:tcW w:w="1729" w:type="dxa"/>
            <w:vMerge w:val="continue"/>
            <w:vAlign w:val="center"/>
          </w:tcPr>
          <w:p w14:paraId="5057F4AA">
            <w:pPr>
              <w:spacing w:line="240" w:lineRule="auto"/>
              <w:ind w:firstLine="0" w:firstLineChars="0"/>
              <w:jc w:val="center"/>
              <w:rPr>
                <w:color w:val="auto"/>
                <w:sz w:val="21"/>
                <w:szCs w:val="21"/>
              </w:rPr>
            </w:pPr>
          </w:p>
        </w:tc>
        <w:tc>
          <w:tcPr>
            <w:tcW w:w="2660" w:type="dxa"/>
            <w:vAlign w:val="center"/>
          </w:tcPr>
          <w:p w14:paraId="71B5E64A">
            <w:pPr>
              <w:spacing w:line="240" w:lineRule="auto"/>
              <w:ind w:firstLine="0" w:firstLineChars="0"/>
              <w:jc w:val="center"/>
              <w:rPr>
                <w:color w:val="auto"/>
                <w:sz w:val="21"/>
                <w:szCs w:val="21"/>
              </w:rPr>
            </w:pPr>
            <w:r>
              <w:rPr>
                <w:color w:val="auto"/>
                <w:sz w:val="21"/>
                <w:szCs w:val="21"/>
              </w:rPr>
              <w:t>经一体化污水处理设施后进入污水处理站</w:t>
            </w:r>
          </w:p>
        </w:tc>
        <w:tc>
          <w:tcPr>
            <w:tcW w:w="1971" w:type="dxa"/>
            <w:vMerge w:val="continue"/>
            <w:vAlign w:val="center"/>
          </w:tcPr>
          <w:p w14:paraId="614F3209">
            <w:pPr>
              <w:spacing w:line="240" w:lineRule="auto"/>
              <w:ind w:firstLine="0" w:firstLineChars="0"/>
              <w:jc w:val="center"/>
              <w:rPr>
                <w:color w:val="auto"/>
                <w:sz w:val="21"/>
                <w:szCs w:val="21"/>
              </w:rPr>
            </w:pPr>
          </w:p>
        </w:tc>
      </w:tr>
      <w:tr w14:paraId="50F528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3705B555">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7DAB3430">
            <w:pPr>
              <w:spacing w:line="240" w:lineRule="auto"/>
              <w:ind w:firstLine="0" w:firstLineChars="0"/>
              <w:jc w:val="center"/>
              <w:rPr>
                <w:color w:val="auto"/>
                <w:sz w:val="21"/>
                <w:szCs w:val="24"/>
              </w:rPr>
            </w:pPr>
          </w:p>
        </w:tc>
        <w:tc>
          <w:tcPr>
            <w:tcW w:w="1040" w:type="dxa"/>
            <w:tcBorders>
              <w:left w:val="single" w:color="auto" w:sz="4" w:space="0"/>
            </w:tcBorders>
            <w:vAlign w:val="center"/>
          </w:tcPr>
          <w:p w14:paraId="5663E56D">
            <w:pPr>
              <w:spacing w:line="240" w:lineRule="auto"/>
              <w:ind w:firstLine="0" w:firstLineChars="0"/>
              <w:jc w:val="center"/>
              <w:rPr>
                <w:rFonts w:hint="default"/>
                <w:color w:val="auto"/>
                <w:sz w:val="21"/>
                <w:szCs w:val="24"/>
                <w:lang w:val="en-US" w:eastAsia="zh-CN"/>
              </w:rPr>
            </w:pPr>
            <w:r>
              <w:rPr>
                <w:rFonts w:hint="eastAsia"/>
                <w:color w:val="auto"/>
                <w:sz w:val="21"/>
                <w:szCs w:val="24"/>
                <w:lang w:val="en-US" w:eastAsia="zh-CN"/>
              </w:rPr>
              <w:t>灭菌器真空泵冷却用水</w:t>
            </w:r>
          </w:p>
        </w:tc>
        <w:tc>
          <w:tcPr>
            <w:tcW w:w="1729" w:type="dxa"/>
            <w:vMerge w:val="continue"/>
            <w:vAlign w:val="center"/>
          </w:tcPr>
          <w:p w14:paraId="18769335">
            <w:pPr>
              <w:spacing w:line="240" w:lineRule="auto"/>
              <w:ind w:firstLine="0" w:firstLineChars="0"/>
              <w:jc w:val="center"/>
              <w:rPr>
                <w:color w:val="auto"/>
                <w:sz w:val="21"/>
                <w:szCs w:val="21"/>
              </w:rPr>
            </w:pPr>
          </w:p>
        </w:tc>
        <w:tc>
          <w:tcPr>
            <w:tcW w:w="2660" w:type="dxa"/>
            <w:vAlign w:val="center"/>
          </w:tcPr>
          <w:p w14:paraId="6352D212">
            <w:pPr>
              <w:spacing w:line="240" w:lineRule="auto"/>
              <w:ind w:firstLine="0" w:firstLineChars="0"/>
              <w:jc w:val="center"/>
              <w:rPr>
                <w:color w:val="auto"/>
                <w:sz w:val="21"/>
                <w:szCs w:val="21"/>
              </w:rPr>
            </w:pPr>
            <w:r>
              <w:rPr>
                <w:color w:val="auto"/>
                <w:sz w:val="21"/>
                <w:szCs w:val="21"/>
              </w:rPr>
              <w:t>“一级处理+消毒工艺”的污水处理站</w:t>
            </w:r>
          </w:p>
        </w:tc>
        <w:tc>
          <w:tcPr>
            <w:tcW w:w="1971" w:type="dxa"/>
            <w:vMerge w:val="continue"/>
            <w:vAlign w:val="center"/>
          </w:tcPr>
          <w:p w14:paraId="661BDDF4">
            <w:pPr>
              <w:spacing w:line="240" w:lineRule="auto"/>
              <w:ind w:firstLine="0" w:firstLineChars="0"/>
              <w:jc w:val="center"/>
              <w:rPr>
                <w:color w:val="auto"/>
                <w:sz w:val="21"/>
                <w:szCs w:val="21"/>
              </w:rPr>
            </w:pPr>
          </w:p>
        </w:tc>
      </w:tr>
      <w:tr w14:paraId="5FA2FD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66444DBD">
            <w:pPr>
              <w:spacing w:line="240" w:lineRule="auto"/>
              <w:ind w:firstLine="0" w:firstLineChars="0"/>
              <w:jc w:val="center"/>
              <w:rPr>
                <w:color w:val="auto"/>
                <w:sz w:val="21"/>
                <w:szCs w:val="21"/>
              </w:rPr>
            </w:pPr>
          </w:p>
        </w:tc>
        <w:tc>
          <w:tcPr>
            <w:tcW w:w="490" w:type="dxa"/>
            <w:vMerge w:val="continue"/>
            <w:tcBorders>
              <w:right w:val="single" w:color="auto" w:sz="4" w:space="0"/>
            </w:tcBorders>
            <w:vAlign w:val="center"/>
          </w:tcPr>
          <w:p w14:paraId="2FB7AA41">
            <w:pPr>
              <w:spacing w:line="240" w:lineRule="auto"/>
              <w:ind w:firstLine="0" w:firstLineChars="0"/>
              <w:jc w:val="center"/>
              <w:rPr>
                <w:rFonts w:hint="eastAsia"/>
                <w:color w:val="auto"/>
                <w:sz w:val="21"/>
                <w:szCs w:val="24"/>
                <w:lang w:val="en-US" w:eastAsia="zh-CN"/>
              </w:rPr>
            </w:pPr>
          </w:p>
        </w:tc>
        <w:tc>
          <w:tcPr>
            <w:tcW w:w="1040" w:type="dxa"/>
            <w:tcBorders>
              <w:left w:val="single" w:color="auto" w:sz="4" w:space="0"/>
            </w:tcBorders>
            <w:vAlign w:val="center"/>
          </w:tcPr>
          <w:p w14:paraId="41E223EE">
            <w:pPr>
              <w:spacing w:line="240" w:lineRule="auto"/>
              <w:ind w:firstLine="0" w:firstLineChars="0"/>
              <w:jc w:val="center"/>
              <w:rPr>
                <w:rFonts w:hint="eastAsia"/>
                <w:color w:val="auto"/>
                <w:sz w:val="21"/>
                <w:szCs w:val="24"/>
                <w:lang w:val="en-US" w:eastAsia="zh-CN"/>
              </w:rPr>
            </w:pPr>
            <w:r>
              <w:rPr>
                <w:rFonts w:hint="eastAsia"/>
                <w:color w:val="auto"/>
                <w:sz w:val="21"/>
                <w:szCs w:val="24"/>
                <w:lang w:val="en-US" w:eastAsia="zh-CN"/>
              </w:rPr>
              <w:t>水纯水、软水制备用水</w:t>
            </w:r>
          </w:p>
        </w:tc>
        <w:tc>
          <w:tcPr>
            <w:tcW w:w="1729" w:type="dxa"/>
            <w:vMerge w:val="continue"/>
            <w:vAlign w:val="center"/>
          </w:tcPr>
          <w:p w14:paraId="78FCE77E">
            <w:pPr>
              <w:spacing w:line="240" w:lineRule="auto"/>
              <w:ind w:firstLine="0" w:firstLineChars="0"/>
              <w:jc w:val="center"/>
              <w:rPr>
                <w:color w:val="auto"/>
                <w:sz w:val="21"/>
                <w:szCs w:val="21"/>
              </w:rPr>
            </w:pPr>
          </w:p>
        </w:tc>
        <w:tc>
          <w:tcPr>
            <w:tcW w:w="2660" w:type="dxa"/>
            <w:vAlign w:val="center"/>
          </w:tcPr>
          <w:p w14:paraId="252B36B7">
            <w:pPr>
              <w:spacing w:line="240" w:lineRule="auto"/>
              <w:ind w:firstLine="0" w:firstLineChars="0"/>
              <w:jc w:val="center"/>
              <w:rPr>
                <w:color w:val="auto"/>
                <w:sz w:val="21"/>
                <w:szCs w:val="21"/>
              </w:rPr>
            </w:pPr>
            <w:r>
              <w:rPr>
                <w:rFonts w:hint="eastAsia"/>
                <w:color w:val="auto"/>
                <w:sz w:val="21"/>
                <w:szCs w:val="21"/>
                <w:lang w:val="en-US" w:eastAsia="zh-CN"/>
              </w:rPr>
              <w:t>回用于</w:t>
            </w:r>
            <w:r>
              <w:rPr>
                <w:rFonts w:hint="eastAsia"/>
                <w:color w:val="auto"/>
                <w:sz w:val="21"/>
                <w:szCs w:val="24"/>
                <w:lang w:val="en-US" w:eastAsia="zh-CN"/>
              </w:rPr>
              <w:t>灭菌器真空泵冷却用水</w:t>
            </w:r>
          </w:p>
        </w:tc>
        <w:tc>
          <w:tcPr>
            <w:tcW w:w="1971" w:type="dxa"/>
            <w:vMerge w:val="continue"/>
            <w:vAlign w:val="center"/>
          </w:tcPr>
          <w:p w14:paraId="619549D2">
            <w:pPr>
              <w:spacing w:line="240" w:lineRule="auto"/>
              <w:ind w:firstLine="0" w:firstLineChars="0"/>
              <w:jc w:val="center"/>
              <w:rPr>
                <w:color w:val="auto"/>
                <w:sz w:val="21"/>
                <w:szCs w:val="21"/>
              </w:rPr>
            </w:pPr>
          </w:p>
        </w:tc>
      </w:tr>
      <w:tr w14:paraId="3EF7DC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7" w:hRule="atLeast"/>
        </w:trPr>
        <w:tc>
          <w:tcPr>
            <w:tcW w:w="1066" w:type="dxa"/>
            <w:vAlign w:val="center"/>
          </w:tcPr>
          <w:p w14:paraId="01DB9451">
            <w:pPr>
              <w:spacing w:line="240" w:lineRule="auto"/>
              <w:ind w:firstLine="0" w:firstLineChars="0"/>
              <w:jc w:val="center"/>
              <w:rPr>
                <w:color w:val="auto"/>
                <w:sz w:val="21"/>
                <w:szCs w:val="21"/>
              </w:rPr>
            </w:pPr>
            <w:r>
              <w:rPr>
                <w:color w:val="auto"/>
                <w:sz w:val="21"/>
                <w:szCs w:val="21"/>
              </w:rPr>
              <w:t>声环境</w:t>
            </w:r>
          </w:p>
        </w:tc>
        <w:tc>
          <w:tcPr>
            <w:tcW w:w="1530" w:type="dxa"/>
            <w:gridSpan w:val="2"/>
            <w:vAlign w:val="center"/>
          </w:tcPr>
          <w:p w14:paraId="25223A5D">
            <w:pPr>
              <w:spacing w:line="240" w:lineRule="auto"/>
              <w:ind w:firstLine="0" w:firstLineChars="0"/>
              <w:jc w:val="center"/>
              <w:rPr>
                <w:color w:val="auto"/>
                <w:sz w:val="21"/>
                <w:szCs w:val="24"/>
              </w:rPr>
            </w:pPr>
            <w:r>
              <w:rPr>
                <w:color w:val="auto"/>
                <w:sz w:val="21"/>
                <w:szCs w:val="24"/>
              </w:rPr>
              <w:t>污水处理站水泵噪声和社会活动噪声</w:t>
            </w:r>
          </w:p>
        </w:tc>
        <w:tc>
          <w:tcPr>
            <w:tcW w:w="1729" w:type="dxa"/>
            <w:vAlign w:val="center"/>
          </w:tcPr>
          <w:p w14:paraId="69F2094E">
            <w:pPr>
              <w:widowControl/>
              <w:spacing w:line="240" w:lineRule="auto"/>
              <w:ind w:firstLine="0" w:firstLineChars="0"/>
              <w:jc w:val="center"/>
              <w:rPr>
                <w:color w:val="auto"/>
                <w:sz w:val="21"/>
                <w:szCs w:val="21"/>
              </w:rPr>
            </w:pPr>
            <w:r>
              <w:rPr>
                <w:color w:val="auto"/>
                <w:kern w:val="0"/>
                <w:sz w:val="21"/>
                <w:szCs w:val="21"/>
                <w:lang w:bidi="ar"/>
              </w:rPr>
              <w:t>等效</w:t>
            </w:r>
            <w:r>
              <w:rPr>
                <w:rFonts w:eastAsia="TimesNewRomanPSMT"/>
                <w:color w:val="auto"/>
                <w:kern w:val="0"/>
                <w:sz w:val="21"/>
                <w:szCs w:val="21"/>
                <w:lang w:bidi="ar"/>
              </w:rPr>
              <w:t>A</w:t>
            </w:r>
            <w:r>
              <w:rPr>
                <w:color w:val="auto"/>
                <w:kern w:val="0"/>
                <w:sz w:val="21"/>
                <w:szCs w:val="21"/>
                <w:lang w:bidi="ar"/>
              </w:rPr>
              <w:t>声级</w:t>
            </w:r>
          </w:p>
        </w:tc>
        <w:tc>
          <w:tcPr>
            <w:tcW w:w="2660" w:type="dxa"/>
            <w:vAlign w:val="center"/>
          </w:tcPr>
          <w:p w14:paraId="496A37D2">
            <w:pPr>
              <w:spacing w:line="240" w:lineRule="auto"/>
              <w:ind w:firstLine="0" w:firstLineChars="0"/>
              <w:jc w:val="center"/>
              <w:rPr>
                <w:color w:val="auto"/>
                <w:sz w:val="21"/>
                <w:szCs w:val="21"/>
              </w:rPr>
            </w:pPr>
            <w:r>
              <w:rPr>
                <w:color w:val="auto"/>
                <w:sz w:val="21"/>
                <w:szCs w:val="21"/>
              </w:rPr>
              <w:t>设置基础减振、房间隔声</w:t>
            </w:r>
          </w:p>
        </w:tc>
        <w:tc>
          <w:tcPr>
            <w:tcW w:w="1971" w:type="dxa"/>
            <w:vAlign w:val="center"/>
          </w:tcPr>
          <w:p w14:paraId="5CE941A0">
            <w:pPr>
              <w:spacing w:line="240" w:lineRule="auto"/>
              <w:ind w:firstLine="0" w:firstLineChars="0"/>
              <w:jc w:val="center"/>
              <w:rPr>
                <w:color w:val="auto"/>
                <w:sz w:val="21"/>
                <w:szCs w:val="21"/>
              </w:rPr>
            </w:pPr>
            <w:r>
              <w:rPr>
                <w:color w:val="auto"/>
                <w:sz w:val="21"/>
                <w:szCs w:val="21"/>
              </w:rPr>
              <w:t>《工业企业厂界环境噪声排放标准》（GB12348-2008）中的2类、4类标准（项目东侧靠近湖滨路35±5米范围类执行4类标准）。</w:t>
            </w:r>
          </w:p>
        </w:tc>
      </w:tr>
      <w:tr w14:paraId="3422DC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6" w:hRule="atLeast"/>
        </w:trPr>
        <w:tc>
          <w:tcPr>
            <w:tcW w:w="1066" w:type="dxa"/>
            <w:vAlign w:val="center"/>
          </w:tcPr>
          <w:p w14:paraId="56167176">
            <w:pPr>
              <w:spacing w:line="240" w:lineRule="auto"/>
              <w:ind w:firstLine="0" w:firstLineChars="0"/>
              <w:jc w:val="center"/>
              <w:rPr>
                <w:color w:val="auto"/>
                <w:sz w:val="21"/>
                <w:szCs w:val="21"/>
              </w:rPr>
            </w:pPr>
            <w:r>
              <w:rPr>
                <w:color w:val="auto"/>
                <w:sz w:val="21"/>
                <w:szCs w:val="21"/>
              </w:rPr>
              <w:t>电磁辐射</w:t>
            </w:r>
          </w:p>
        </w:tc>
        <w:tc>
          <w:tcPr>
            <w:tcW w:w="1530" w:type="dxa"/>
            <w:gridSpan w:val="2"/>
            <w:vAlign w:val="center"/>
          </w:tcPr>
          <w:p w14:paraId="5D0C9613">
            <w:pPr>
              <w:spacing w:line="240" w:lineRule="auto"/>
              <w:ind w:firstLine="0" w:firstLineChars="0"/>
              <w:jc w:val="center"/>
              <w:rPr>
                <w:color w:val="auto"/>
                <w:sz w:val="21"/>
                <w:szCs w:val="21"/>
              </w:rPr>
            </w:pPr>
            <w:r>
              <w:rPr>
                <w:color w:val="auto"/>
                <w:sz w:val="21"/>
                <w:szCs w:val="21"/>
              </w:rPr>
              <w:t>/</w:t>
            </w:r>
          </w:p>
        </w:tc>
        <w:tc>
          <w:tcPr>
            <w:tcW w:w="1729" w:type="dxa"/>
            <w:vAlign w:val="center"/>
          </w:tcPr>
          <w:p w14:paraId="3BECB692">
            <w:pPr>
              <w:spacing w:line="240" w:lineRule="auto"/>
              <w:ind w:firstLine="0" w:firstLineChars="0"/>
              <w:jc w:val="center"/>
              <w:rPr>
                <w:color w:val="auto"/>
                <w:sz w:val="21"/>
                <w:szCs w:val="21"/>
              </w:rPr>
            </w:pPr>
            <w:r>
              <w:rPr>
                <w:color w:val="auto"/>
                <w:sz w:val="21"/>
                <w:szCs w:val="21"/>
              </w:rPr>
              <w:t>/</w:t>
            </w:r>
          </w:p>
        </w:tc>
        <w:tc>
          <w:tcPr>
            <w:tcW w:w="2660" w:type="dxa"/>
            <w:vAlign w:val="center"/>
          </w:tcPr>
          <w:p w14:paraId="44DD01EB">
            <w:pPr>
              <w:spacing w:line="240" w:lineRule="auto"/>
              <w:ind w:firstLine="0" w:firstLineChars="0"/>
              <w:jc w:val="center"/>
              <w:rPr>
                <w:color w:val="auto"/>
                <w:sz w:val="21"/>
                <w:szCs w:val="21"/>
              </w:rPr>
            </w:pPr>
            <w:r>
              <w:rPr>
                <w:color w:val="auto"/>
                <w:sz w:val="21"/>
                <w:szCs w:val="21"/>
              </w:rPr>
              <w:t>/</w:t>
            </w:r>
          </w:p>
        </w:tc>
        <w:tc>
          <w:tcPr>
            <w:tcW w:w="1971" w:type="dxa"/>
            <w:vAlign w:val="center"/>
          </w:tcPr>
          <w:p w14:paraId="541621D5">
            <w:pPr>
              <w:spacing w:line="240" w:lineRule="auto"/>
              <w:ind w:firstLine="0" w:firstLineChars="0"/>
              <w:jc w:val="center"/>
              <w:rPr>
                <w:color w:val="auto"/>
                <w:sz w:val="21"/>
                <w:szCs w:val="21"/>
              </w:rPr>
            </w:pPr>
            <w:r>
              <w:rPr>
                <w:color w:val="auto"/>
                <w:sz w:val="21"/>
                <w:szCs w:val="21"/>
              </w:rPr>
              <w:t>/</w:t>
            </w:r>
          </w:p>
        </w:tc>
      </w:tr>
      <w:tr w14:paraId="1C4FB8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1066" w:type="dxa"/>
            <w:vMerge w:val="restart"/>
            <w:vAlign w:val="center"/>
          </w:tcPr>
          <w:p w14:paraId="0A87CD6E">
            <w:pPr>
              <w:spacing w:line="240" w:lineRule="auto"/>
              <w:ind w:firstLine="0" w:firstLineChars="0"/>
              <w:jc w:val="center"/>
              <w:rPr>
                <w:color w:val="auto"/>
                <w:sz w:val="21"/>
                <w:szCs w:val="21"/>
              </w:rPr>
            </w:pPr>
            <w:r>
              <w:rPr>
                <w:color w:val="auto"/>
                <w:sz w:val="21"/>
                <w:szCs w:val="21"/>
              </w:rPr>
              <w:t>固体废物</w:t>
            </w:r>
          </w:p>
        </w:tc>
        <w:tc>
          <w:tcPr>
            <w:tcW w:w="1530" w:type="dxa"/>
            <w:gridSpan w:val="2"/>
            <w:vAlign w:val="center"/>
          </w:tcPr>
          <w:p w14:paraId="248C6675">
            <w:pPr>
              <w:pStyle w:val="2"/>
              <w:snapToGrid w:val="0"/>
              <w:ind w:firstLine="0" w:firstLineChars="0"/>
              <w:jc w:val="center"/>
              <w:rPr>
                <w:rFonts w:eastAsia="宋体"/>
                <w:color w:val="auto"/>
                <w:sz w:val="21"/>
                <w:szCs w:val="21"/>
              </w:rPr>
            </w:pPr>
            <w:r>
              <w:rPr>
                <w:color w:val="auto"/>
                <w:sz w:val="21"/>
                <w:szCs w:val="21"/>
                <w:highlight w:val="none"/>
              </w:rPr>
              <w:t>医疗废物</w:t>
            </w:r>
          </w:p>
        </w:tc>
        <w:tc>
          <w:tcPr>
            <w:tcW w:w="1729" w:type="dxa"/>
            <w:vAlign w:val="center"/>
          </w:tcPr>
          <w:p w14:paraId="7FB7049A">
            <w:pPr>
              <w:pStyle w:val="2"/>
              <w:snapToGrid w:val="0"/>
              <w:ind w:firstLine="0" w:firstLineChars="0"/>
              <w:jc w:val="center"/>
              <w:rPr>
                <w:rFonts w:eastAsia="宋体"/>
                <w:color w:val="auto"/>
                <w:sz w:val="21"/>
                <w:szCs w:val="21"/>
              </w:rPr>
            </w:pPr>
            <w:r>
              <w:rPr>
                <w:color w:val="auto"/>
                <w:sz w:val="21"/>
                <w:szCs w:val="21"/>
                <w:highlight w:val="none"/>
              </w:rPr>
              <w:t>医疗废物</w:t>
            </w:r>
          </w:p>
        </w:tc>
        <w:tc>
          <w:tcPr>
            <w:tcW w:w="2660" w:type="dxa"/>
            <w:vAlign w:val="center"/>
          </w:tcPr>
          <w:p w14:paraId="0A54F537">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暂存于院区内医疗废物暂存室内，定期交由有资质单位处置</w:t>
            </w:r>
          </w:p>
        </w:tc>
        <w:tc>
          <w:tcPr>
            <w:tcW w:w="1971" w:type="dxa"/>
            <w:vMerge w:val="restart"/>
            <w:vAlign w:val="center"/>
          </w:tcPr>
          <w:p w14:paraId="22B2B636">
            <w:pPr>
              <w:spacing w:line="240" w:lineRule="auto"/>
              <w:ind w:firstLine="0" w:firstLineChars="0"/>
              <w:jc w:val="center"/>
              <w:rPr>
                <w:color w:val="auto"/>
                <w:sz w:val="21"/>
                <w:szCs w:val="21"/>
              </w:rPr>
            </w:pPr>
            <w:r>
              <w:rPr>
                <w:color w:val="auto"/>
                <w:sz w:val="21"/>
                <w:szCs w:val="21"/>
              </w:rPr>
              <w:t>/</w:t>
            </w:r>
          </w:p>
          <w:p w14:paraId="7D995D96">
            <w:pPr>
              <w:spacing w:line="240" w:lineRule="auto"/>
              <w:ind w:firstLine="0" w:firstLineChars="0"/>
              <w:jc w:val="center"/>
              <w:rPr>
                <w:color w:val="auto"/>
                <w:sz w:val="21"/>
                <w:szCs w:val="21"/>
              </w:rPr>
            </w:pPr>
            <w:r>
              <w:rPr>
                <w:color w:val="auto"/>
                <w:sz w:val="21"/>
                <w:szCs w:val="21"/>
              </w:rPr>
              <w:t>危险废物执行《危险废物物贮存污染控制标准》（GB18579-2023）</w:t>
            </w:r>
          </w:p>
        </w:tc>
      </w:tr>
      <w:tr w14:paraId="7DB824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1066" w:type="dxa"/>
            <w:vMerge w:val="continue"/>
            <w:vAlign w:val="center"/>
          </w:tcPr>
          <w:p w14:paraId="5B934132">
            <w:pPr>
              <w:spacing w:line="240" w:lineRule="auto"/>
              <w:ind w:firstLine="0" w:firstLineChars="0"/>
              <w:jc w:val="center"/>
              <w:rPr>
                <w:color w:val="auto"/>
                <w:sz w:val="21"/>
                <w:szCs w:val="21"/>
              </w:rPr>
            </w:pPr>
          </w:p>
        </w:tc>
        <w:tc>
          <w:tcPr>
            <w:tcW w:w="1530" w:type="dxa"/>
            <w:gridSpan w:val="2"/>
            <w:vAlign w:val="center"/>
          </w:tcPr>
          <w:p w14:paraId="0F33DBCC">
            <w:pPr>
              <w:pStyle w:val="2"/>
              <w:snapToGrid w:val="0"/>
              <w:ind w:firstLine="0" w:firstLineChars="0"/>
              <w:jc w:val="center"/>
              <w:rPr>
                <w:rFonts w:eastAsia="宋体"/>
                <w:color w:val="auto"/>
                <w:sz w:val="21"/>
                <w:szCs w:val="21"/>
              </w:rPr>
            </w:pPr>
            <w:r>
              <w:rPr>
                <w:color w:val="auto"/>
                <w:sz w:val="21"/>
                <w:szCs w:val="21"/>
                <w:highlight w:val="none"/>
              </w:rPr>
              <w:t>污泥</w:t>
            </w:r>
          </w:p>
        </w:tc>
        <w:tc>
          <w:tcPr>
            <w:tcW w:w="1729" w:type="dxa"/>
            <w:vAlign w:val="center"/>
          </w:tcPr>
          <w:p w14:paraId="7CF2B09A">
            <w:pPr>
              <w:pStyle w:val="2"/>
              <w:snapToGrid w:val="0"/>
              <w:ind w:firstLine="0" w:firstLineChars="0"/>
              <w:jc w:val="center"/>
              <w:rPr>
                <w:rFonts w:eastAsia="宋体"/>
                <w:color w:val="auto"/>
                <w:sz w:val="21"/>
                <w:szCs w:val="21"/>
              </w:rPr>
            </w:pPr>
            <w:r>
              <w:rPr>
                <w:color w:val="auto"/>
                <w:sz w:val="21"/>
                <w:szCs w:val="21"/>
                <w:highlight w:val="none"/>
              </w:rPr>
              <w:t>污泥</w:t>
            </w:r>
          </w:p>
        </w:tc>
        <w:tc>
          <w:tcPr>
            <w:tcW w:w="2660" w:type="dxa"/>
            <w:vAlign w:val="center"/>
          </w:tcPr>
          <w:p w14:paraId="232BC5E9">
            <w:pPr>
              <w:pStyle w:val="16"/>
              <w:tabs>
                <w:tab w:val="left" w:pos="1110"/>
              </w:tabs>
              <w:adjustRightInd w:val="0"/>
              <w:snapToGrid w:val="0"/>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定期委托有资质的单位进行清掏和清运</w:t>
            </w:r>
          </w:p>
        </w:tc>
        <w:tc>
          <w:tcPr>
            <w:tcW w:w="1971" w:type="dxa"/>
            <w:vMerge w:val="continue"/>
            <w:vAlign w:val="center"/>
          </w:tcPr>
          <w:p w14:paraId="7B612578">
            <w:pPr>
              <w:spacing w:line="240" w:lineRule="auto"/>
              <w:ind w:firstLine="0" w:firstLineChars="0"/>
              <w:jc w:val="center"/>
              <w:rPr>
                <w:color w:val="auto"/>
                <w:sz w:val="21"/>
                <w:szCs w:val="21"/>
              </w:rPr>
            </w:pPr>
          </w:p>
        </w:tc>
      </w:tr>
      <w:tr w14:paraId="027A3F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0769E273">
            <w:pPr>
              <w:spacing w:line="240" w:lineRule="auto"/>
              <w:ind w:firstLine="0" w:firstLineChars="0"/>
              <w:jc w:val="center"/>
              <w:rPr>
                <w:color w:val="auto"/>
                <w:sz w:val="21"/>
                <w:szCs w:val="21"/>
              </w:rPr>
            </w:pPr>
          </w:p>
        </w:tc>
        <w:tc>
          <w:tcPr>
            <w:tcW w:w="1530" w:type="dxa"/>
            <w:gridSpan w:val="2"/>
            <w:vAlign w:val="center"/>
          </w:tcPr>
          <w:p w14:paraId="2F76C409">
            <w:pPr>
              <w:pStyle w:val="2"/>
              <w:snapToGrid w:val="0"/>
              <w:ind w:firstLine="0" w:firstLineChars="0"/>
              <w:jc w:val="center"/>
              <w:rPr>
                <w:rFonts w:eastAsia="宋体"/>
                <w:color w:val="auto"/>
                <w:sz w:val="21"/>
                <w:szCs w:val="21"/>
              </w:rPr>
            </w:pPr>
            <w:r>
              <w:rPr>
                <w:color w:val="auto"/>
                <w:sz w:val="21"/>
                <w:szCs w:val="21"/>
                <w:highlight w:val="none"/>
              </w:rPr>
              <w:t>废紫外灯管</w:t>
            </w:r>
          </w:p>
        </w:tc>
        <w:tc>
          <w:tcPr>
            <w:tcW w:w="1729" w:type="dxa"/>
            <w:vAlign w:val="center"/>
          </w:tcPr>
          <w:p w14:paraId="1DCFB2B3">
            <w:pPr>
              <w:pStyle w:val="2"/>
              <w:snapToGrid w:val="0"/>
              <w:ind w:firstLine="0" w:firstLineChars="0"/>
              <w:jc w:val="center"/>
              <w:rPr>
                <w:rFonts w:eastAsia="宋体"/>
                <w:color w:val="auto"/>
                <w:sz w:val="21"/>
                <w:szCs w:val="21"/>
              </w:rPr>
            </w:pPr>
            <w:r>
              <w:rPr>
                <w:color w:val="auto"/>
                <w:sz w:val="21"/>
                <w:szCs w:val="21"/>
                <w:highlight w:val="none"/>
              </w:rPr>
              <w:t>废紫外灯管</w:t>
            </w:r>
          </w:p>
        </w:tc>
        <w:tc>
          <w:tcPr>
            <w:tcW w:w="2660" w:type="dxa"/>
            <w:vAlign w:val="center"/>
          </w:tcPr>
          <w:p w14:paraId="5E2B7AB9">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暂存于院区内医疗废物暂存室内，定期交由有资质单位处置</w:t>
            </w:r>
          </w:p>
        </w:tc>
        <w:tc>
          <w:tcPr>
            <w:tcW w:w="1971" w:type="dxa"/>
            <w:vMerge w:val="continue"/>
            <w:vAlign w:val="center"/>
          </w:tcPr>
          <w:p w14:paraId="7593C70C">
            <w:pPr>
              <w:spacing w:line="240" w:lineRule="auto"/>
              <w:ind w:firstLine="0" w:firstLineChars="0"/>
              <w:jc w:val="center"/>
              <w:rPr>
                <w:color w:val="auto"/>
                <w:sz w:val="21"/>
                <w:szCs w:val="21"/>
              </w:rPr>
            </w:pPr>
          </w:p>
        </w:tc>
      </w:tr>
      <w:tr w14:paraId="3E7646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37985F5A">
            <w:pPr>
              <w:spacing w:line="240" w:lineRule="auto"/>
              <w:ind w:firstLine="0" w:firstLineChars="0"/>
              <w:jc w:val="center"/>
              <w:rPr>
                <w:color w:val="auto"/>
                <w:sz w:val="21"/>
                <w:szCs w:val="21"/>
              </w:rPr>
            </w:pPr>
          </w:p>
        </w:tc>
        <w:tc>
          <w:tcPr>
            <w:tcW w:w="1530" w:type="dxa"/>
            <w:gridSpan w:val="2"/>
            <w:vAlign w:val="center"/>
          </w:tcPr>
          <w:p w14:paraId="29782910">
            <w:pPr>
              <w:pStyle w:val="2"/>
              <w:snapToGrid w:val="0"/>
              <w:ind w:firstLine="0" w:firstLineChars="0"/>
              <w:jc w:val="center"/>
              <w:rPr>
                <w:rFonts w:eastAsia="宋体"/>
                <w:color w:val="auto"/>
                <w:sz w:val="21"/>
                <w:szCs w:val="21"/>
              </w:rPr>
            </w:pPr>
            <w:r>
              <w:rPr>
                <w:rFonts w:hint="eastAsia"/>
                <w:color w:val="auto"/>
                <w:sz w:val="21"/>
                <w:szCs w:val="21"/>
                <w:highlight w:val="none"/>
                <w:lang w:eastAsia="zh-CN"/>
              </w:rPr>
              <w:t>废包装桶罐</w:t>
            </w:r>
          </w:p>
        </w:tc>
        <w:tc>
          <w:tcPr>
            <w:tcW w:w="1729" w:type="dxa"/>
            <w:vAlign w:val="center"/>
          </w:tcPr>
          <w:p w14:paraId="36E4A85C">
            <w:pPr>
              <w:pStyle w:val="2"/>
              <w:snapToGrid w:val="0"/>
              <w:ind w:firstLine="0" w:firstLineChars="0"/>
              <w:jc w:val="center"/>
              <w:rPr>
                <w:rFonts w:eastAsia="宋体"/>
                <w:color w:val="auto"/>
                <w:sz w:val="21"/>
                <w:szCs w:val="21"/>
              </w:rPr>
            </w:pPr>
            <w:r>
              <w:rPr>
                <w:rFonts w:hint="eastAsia"/>
                <w:color w:val="auto"/>
                <w:sz w:val="21"/>
                <w:szCs w:val="21"/>
                <w:highlight w:val="none"/>
                <w:lang w:eastAsia="zh-CN"/>
              </w:rPr>
              <w:t>废包装桶罐</w:t>
            </w:r>
          </w:p>
        </w:tc>
        <w:tc>
          <w:tcPr>
            <w:tcW w:w="2660" w:type="dxa"/>
            <w:vAlign w:val="center"/>
          </w:tcPr>
          <w:p w14:paraId="7C540FCF">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暂存于院区内医疗废物暂存室内，定期交由有资质单位处置</w:t>
            </w:r>
          </w:p>
        </w:tc>
        <w:tc>
          <w:tcPr>
            <w:tcW w:w="1971" w:type="dxa"/>
            <w:vMerge w:val="continue"/>
            <w:vAlign w:val="center"/>
          </w:tcPr>
          <w:p w14:paraId="709A1A60">
            <w:pPr>
              <w:spacing w:line="240" w:lineRule="auto"/>
              <w:ind w:firstLine="0" w:firstLineChars="0"/>
              <w:jc w:val="center"/>
              <w:rPr>
                <w:color w:val="auto"/>
                <w:sz w:val="21"/>
                <w:szCs w:val="21"/>
              </w:rPr>
            </w:pPr>
          </w:p>
        </w:tc>
      </w:tr>
      <w:tr w14:paraId="2048D7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4B2B9A8F">
            <w:pPr>
              <w:spacing w:line="240" w:lineRule="auto"/>
              <w:ind w:firstLine="0" w:firstLineChars="0"/>
              <w:jc w:val="center"/>
              <w:rPr>
                <w:color w:val="auto"/>
                <w:sz w:val="21"/>
                <w:szCs w:val="21"/>
              </w:rPr>
            </w:pPr>
            <w:r>
              <w:rPr>
                <w:color w:val="auto"/>
                <w:sz w:val="21"/>
                <w:szCs w:val="21"/>
              </w:rPr>
              <w:t>土壤及地下水污染防治措施</w:t>
            </w:r>
          </w:p>
        </w:tc>
        <w:tc>
          <w:tcPr>
            <w:tcW w:w="7890" w:type="dxa"/>
            <w:gridSpan w:val="5"/>
            <w:vAlign w:val="center"/>
          </w:tcPr>
          <w:p w14:paraId="761FF129">
            <w:pPr>
              <w:spacing w:line="240" w:lineRule="auto"/>
              <w:ind w:firstLine="0" w:firstLineChars="0"/>
              <w:jc w:val="center"/>
              <w:rPr>
                <w:color w:val="auto"/>
                <w:sz w:val="21"/>
                <w:szCs w:val="21"/>
              </w:rPr>
            </w:pPr>
            <w:r>
              <w:rPr>
                <w:color w:val="auto"/>
                <w:sz w:val="21"/>
                <w:szCs w:val="21"/>
              </w:rPr>
              <w:t>结合建设项目各区域等泄露可能造成地下水环境污染，提出分区防渗分为重点防渗区和一般防渗区。重点防渗区主要为医疗废物暂存间（由医疗废物暂存处、医疗废物登记处和医疗废物收集箱清洗间组成）已采取防渗措施；一般防渗区为化粪池，依托原有。</w:t>
            </w:r>
          </w:p>
        </w:tc>
      </w:tr>
      <w:tr w14:paraId="51721A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0" w:hRule="atLeast"/>
        </w:trPr>
        <w:tc>
          <w:tcPr>
            <w:tcW w:w="1066" w:type="dxa"/>
            <w:vAlign w:val="center"/>
          </w:tcPr>
          <w:p w14:paraId="7E95C1E8">
            <w:pPr>
              <w:spacing w:line="240" w:lineRule="auto"/>
              <w:ind w:firstLine="0" w:firstLineChars="0"/>
              <w:jc w:val="center"/>
              <w:rPr>
                <w:color w:val="auto"/>
                <w:sz w:val="21"/>
                <w:szCs w:val="21"/>
              </w:rPr>
            </w:pPr>
            <w:r>
              <w:rPr>
                <w:color w:val="auto"/>
                <w:sz w:val="21"/>
                <w:szCs w:val="21"/>
              </w:rPr>
              <w:t>生态保护措施</w:t>
            </w:r>
          </w:p>
        </w:tc>
        <w:tc>
          <w:tcPr>
            <w:tcW w:w="1530" w:type="dxa"/>
            <w:gridSpan w:val="2"/>
            <w:vAlign w:val="center"/>
          </w:tcPr>
          <w:p w14:paraId="47EA37E4">
            <w:pPr>
              <w:spacing w:line="240" w:lineRule="auto"/>
              <w:ind w:firstLine="0" w:firstLineChars="0"/>
              <w:jc w:val="center"/>
              <w:rPr>
                <w:color w:val="auto"/>
                <w:sz w:val="21"/>
                <w:szCs w:val="21"/>
              </w:rPr>
            </w:pPr>
            <w:r>
              <w:rPr>
                <w:color w:val="auto"/>
                <w:sz w:val="21"/>
                <w:szCs w:val="21"/>
              </w:rPr>
              <w:t>/</w:t>
            </w:r>
          </w:p>
        </w:tc>
        <w:tc>
          <w:tcPr>
            <w:tcW w:w="1729" w:type="dxa"/>
            <w:vAlign w:val="center"/>
          </w:tcPr>
          <w:p w14:paraId="2C32CB3A">
            <w:pPr>
              <w:spacing w:line="240" w:lineRule="auto"/>
              <w:ind w:firstLine="0" w:firstLineChars="0"/>
              <w:jc w:val="center"/>
              <w:rPr>
                <w:color w:val="auto"/>
                <w:sz w:val="21"/>
                <w:szCs w:val="21"/>
              </w:rPr>
            </w:pPr>
            <w:r>
              <w:rPr>
                <w:color w:val="auto"/>
                <w:sz w:val="21"/>
                <w:szCs w:val="21"/>
              </w:rPr>
              <w:t>/</w:t>
            </w:r>
          </w:p>
        </w:tc>
        <w:tc>
          <w:tcPr>
            <w:tcW w:w="2660" w:type="dxa"/>
            <w:vAlign w:val="center"/>
          </w:tcPr>
          <w:p w14:paraId="35968F6E">
            <w:pPr>
              <w:spacing w:line="240" w:lineRule="auto"/>
              <w:ind w:firstLine="0" w:firstLineChars="0"/>
              <w:jc w:val="center"/>
              <w:rPr>
                <w:color w:val="auto"/>
                <w:sz w:val="21"/>
                <w:szCs w:val="21"/>
              </w:rPr>
            </w:pPr>
            <w:r>
              <w:rPr>
                <w:color w:val="auto"/>
                <w:sz w:val="21"/>
                <w:szCs w:val="21"/>
              </w:rPr>
              <w:t>/</w:t>
            </w:r>
          </w:p>
        </w:tc>
        <w:tc>
          <w:tcPr>
            <w:tcW w:w="1971" w:type="dxa"/>
            <w:vAlign w:val="center"/>
          </w:tcPr>
          <w:p w14:paraId="2CBF2705">
            <w:pPr>
              <w:spacing w:line="240" w:lineRule="auto"/>
              <w:ind w:firstLine="0" w:firstLineChars="0"/>
              <w:jc w:val="center"/>
              <w:rPr>
                <w:color w:val="auto"/>
                <w:sz w:val="21"/>
                <w:szCs w:val="21"/>
              </w:rPr>
            </w:pPr>
            <w:r>
              <w:rPr>
                <w:color w:val="auto"/>
                <w:sz w:val="21"/>
                <w:szCs w:val="21"/>
              </w:rPr>
              <w:t>/</w:t>
            </w:r>
          </w:p>
        </w:tc>
      </w:tr>
      <w:tr w14:paraId="2E32A0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763CE3C6">
            <w:pPr>
              <w:spacing w:line="240" w:lineRule="auto"/>
              <w:ind w:firstLine="0" w:firstLineChars="0"/>
              <w:jc w:val="center"/>
              <w:rPr>
                <w:color w:val="auto"/>
                <w:sz w:val="21"/>
                <w:szCs w:val="21"/>
              </w:rPr>
            </w:pPr>
            <w:r>
              <w:rPr>
                <w:color w:val="auto"/>
                <w:sz w:val="21"/>
                <w:szCs w:val="21"/>
              </w:rPr>
              <w:t>环境风险</w:t>
            </w:r>
          </w:p>
          <w:p w14:paraId="79C19543">
            <w:pPr>
              <w:spacing w:line="240" w:lineRule="auto"/>
              <w:ind w:firstLine="0" w:firstLineChars="0"/>
              <w:jc w:val="center"/>
              <w:rPr>
                <w:color w:val="auto"/>
                <w:sz w:val="21"/>
                <w:szCs w:val="21"/>
              </w:rPr>
            </w:pPr>
            <w:r>
              <w:rPr>
                <w:color w:val="auto"/>
                <w:sz w:val="21"/>
                <w:szCs w:val="21"/>
              </w:rPr>
              <w:t>防治措施</w:t>
            </w:r>
          </w:p>
        </w:tc>
        <w:tc>
          <w:tcPr>
            <w:tcW w:w="7890" w:type="dxa"/>
            <w:gridSpan w:val="5"/>
            <w:vAlign w:val="center"/>
          </w:tcPr>
          <w:p w14:paraId="3AC465A5">
            <w:pPr>
              <w:spacing w:line="240" w:lineRule="auto"/>
              <w:ind w:firstLine="420"/>
              <w:rPr>
                <w:color w:val="auto"/>
                <w:sz w:val="21"/>
                <w:szCs w:val="21"/>
                <w:highlight w:val="none"/>
              </w:rPr>
            </w:pPr>
            <w:r>
              <w:rPr>
                <w:color w:val="auto"/>
                <w:sz w:val="21"/>
                <w:szCs w:val="21"/>
              </w:rPr>
              <w:t>（1）</w:t>
            </w:r>
            <w:r>
              <w:rPr>
                <w:rFonts w:hint="eastAsia"/>
                <w:color w:val="auto"/>
                <w:sz w:val="21"/>
                <w:szCs w:val="21"/>
                <w:lang w:val="en-US" w:eastAsia="zh-CN"/>
              </w:rPr>
              <w:t>两边院区</w:t>
            </w:r>
            <w:r>
              <w:rPr>
                <w:color w:val="auto"/>
                <w:sz w:val="21"/>
                <w:szCs w:val="21"/>
              </w:rPr>
              <w:t>已设事故应急池</w:t>
            </w:r>
            <w:r>
              <w:rPr>
                <w:color w:val="auto"/>
                <w:sz w:val="21"/>
                <w:szCs w:val="21"/>
                <w:highlight w:val="none"/>
              </w:rPr>
              <w:t>。</w:t>
            </w:r>
          </w:p>
          <w:p w14:paraId="351C4E17">
            <w:pPr>
              <w:spacing w:line="240" w:lineRule="auto"/>
              <w:ind w:firstLine="420"/>
              <w:rPr>
                <w:color w:val="auto"/>
                <w:sz w:val="21"/>
                <w:szCs w:val="21"/>
              </w:rPr>
            </w:pPr>
            <w:r>
              <w:rPr>
                <w:color w:val="auto"/>
                <w:sz w:val="21"/>
                <w:szCs w:val="21"/>
                <w:highlight w:val="none"/>
              </w:rPr>
              <w:t>（2）配置备用人工投加消毒剂设</w:t>
            </w:r>
            <w:r>
              <w:rPr>
                <w:color w:val="auto"/>
                <w:sz w:val="21"/>
                <w:szCs w:val="21"/>
              </w:rPr>
              <w:t>施，污水处理站故障情况手动投加消毒剂；</w:t>
            </w:r>
          </w:p>
          <w:p w14:paraId="56D72786">
            <w:pPr>
              <w:spacing w:line="240" w:lineRule="auto"/>
              <w:ind w:firstLine="420"/>
              <w:rPr>
                <w:color w:val="auto"/>
                <w:sz w:val="21"/>
                <w:szCs w:val="21"/>
              </w:rPr>
            </w:pPr>
            <w:r>
              <w:rPr>
                <w:color w:val="auto"/>
                <w:sz w:val="21"/>
                <w:szCs w:val="21"/>
              </w:rPr>
              <w:t>（3）项目区内应按满足分区防渗：</w:t>
            </w:r>
          </w:p>
          <w:p w14:paraId="198B7146">
            <w:pPr>
              <w:spacing w:line="240" w:lineRule="auto"/>
              <w:ind w:firstLine="420"/>
              <w:rPr>
                <w:color w:val="auto"/>
                <w:sz w:val="21"/>
                <w:szCs w:val="21"/>
              </w:rPr>
            </w:pPr>
            <w:r>
              <w:rPr>
                <w:rFonts w:hint="eastAsia" w:ascii="宋体" w:hAnsi="宋体" w:cs="宋体"/>
                <w:color w:val="auto"/>
                <w:sz w:val="21"/>
                <w:szCs w:val="21"/>
              </w:rPr>
              <w:t>①</w:t>
            </w:r>
            <w:r>
              <w:rPr>
                <w:color w:val="auto"/>
                <w:sz w:val="21"/>
                <w:szCs w:val="21"/>
              </w:rPr>
              <w:t>重点防渗区：</w:t>
            </w:r>
            <w:r>
              <w:rPr>
                <w:rFonts w:hint="eastAsia"/>
                <w:color w:val="auto"/>
                <w:sz w:val="21"/>
                <w:szCs w:val="21"/>
                <w:lang w:eastAsia="zh-CN"/>
              </w:rPr>
              <w:t>医疗</w:t>
            </w:r>
            <w:r>
              <w:rPr>
                <w:color w:val="auto"/>
                <w:sz w:val="21"/>
                <w:szCs w:val="21"/>
              </w:rPr>
              <w:t>废物暂存间已采取防渗；</w:t>
            </w:r>
            <w:r>
              <w:rPr>
                <w:rFonts w:hint="eastAsia" w:ascii="宋体" w:hAnsi="宋体" w:cs="宋体"/>
                <w:color w:val="auto"/>
                <w:sz w:val="21"/>
                <w:szCs w:val="21"/>
              </w:rPr>
              <w:t>②</w:t>
            </w:r>
            <w:r>
              <w:rPr>
                <w:color w:val="auto"/>
                <w:sz w:val="21"/>
                <w:szCs w:val="21"/>
              </w:rPr>
              <w:t>一般防渗区：化粪池、污水处理设施等依托原有；</w:t>
            </w:r>
            <w:r>
              <w:rPr>
                <w:rFonts w:hint="eastAsia" w:ascii="宋体" w:hAnsi="宋体" w:cs="宋体"/>
                <w:color w:val="auto"/>
                <w:sz w:val="21"/>
                <w:szCs w:val="21"/>
              </w:rPr>
              <w:t>③</w:t>
            </w:r>
            <w:r>
              <w:rPr>
                <w:color w:val="auto"/>
                <w:sz w:val="21"/>
                <w:szCs w:val="21"/>
              </w:rPr>
              <w:t>简单防渗区：其他区域进行水泥硬化。</w:t>
            </w:r>
          </w:p>
          <w:p w14:paraId="1153C7B3">
            <w:pPr>
              <w:spacing w:line="240" w:lineRule="auto"/>
              <w:ind w:firstLine="420"/>
              <w:rPr>
                <w:color w:val="auto"/>
                <w:sz w:val="21"/>
                <w:szCs w:val="21"/>
              </w:rPr>
            </w:pPr>
            <w:r>
              <w:rPr>
                <w:color w:val="auto"/>
                <w:sz w:val="21"/>
                <w:szCs w:val="21"/>
              </w:rPr>
              <w:t>（4）贮存室配备专业知识的技术人员管理。</w:t>
            </w:r>
          </w:p>
          <w:p w14:paraId="7253120E">
            <w:pPr>
              <w:spacing w:line="240" w:lineRule="auto"/>
              <w:ind w:firstLine="420"/>
              <w:rPr>
                <w:color w:val="auto"/>
                <w:sz w:val="21"/>
                <w:szCs w:val="21"/>
              </w:rPr>
            </w:pPr>
            <w:r>
              <w:rPr>
                <w:color w:val="auto"/>
                <w:sz w:val="21"/>
                <w:szCs w:val="21"/>
              </w:rPr>
              <w:t>（5）及时编制突发环境应急预案，并在生态环境部门备案，及时演练。</w:t>
            </w:r>
          </w:p>
        </w:tc>
      </w:tr>
      <w:tr w14:paraId="409881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47" w:hRule="atLeast"/>
        </w:trPr>
        <w:tc>
          <w:tcPr>
            <w:tcW w:w="1066" w:type="dxa"/>
            <w:vAlign w:val="center"/>
          </w:tcPr>
          <w:p w14:paraId="648EFFF4">
            <w:pPr>
              <w:spacing w:line="240" w:lineRule="auto"/>
              <w:ind w:firstLine="0" w:firstLineChars="0"/>
              <w:jc w:val="center"/>
              <w:rPr>
                <w:color w:val="auto"/>
                <w:sz w:val="21"/>
                <w:szCs w:val="21"/>
              </w:rPr>
            </w:pPr>
            <w:r>
              <w:rPr>
                <w:color w:val="auto"/>
                <w:sz w:val="21"/>
                <w:szCs w:val="21"/>
              </w:rPr>
              <w:t>其他环境</w:t>
            </w:r>
          </w:p>
          <w:p w14:paraId="1EEB1FF8">
            <w:pPr>
              <w:spacing w:line="240" w:lineRule="auto"/>
              <w:ind w:firstLine="0" w:firstLineChars="0"/>
              <w:jc w:val="center"/>
              <w:rPr>
                <w:color w:val="auto"/>
                <w:sz w:val="21"/>
                <w:szCs w:val="21"/>
              </w:rPr>
            </w:pPr>
            <w:r>
              <w:rPr>
                <w:color w:val="auto"/>
                <w:sz w:val="21"/>
                <w:szCs w:val="21"/>
              </w:rPr>
              <w:t>管理要求</w:t>
            </w:r>
          </w:p>
        </w:tc>
        <w:tc>
          <w:tcPr>
            <w:tcW w:w="7890" w:type="dxa"/>
            <w:gridSpan w:val="5"/>
            <w:vAlign w:val="center"/>
          </w:tcPr>
          <w:p w14:paraId="60E4C1FA">
            <w:pPr>
              <w:spacing w:line="240" w:lineRule="auto"/>
              <w:ind w:firstLine="420"/>
              <w:rPr>
                <w:color w:val="auto"/>
                <w:sz w:val="21"/>
                <w:szCs w:val="21"/>
              </w:rPr>
            </w:pPr>
            <w:r>
              <w:rPr>
                <w:color w:val="auto"/>
                <w:sz w:val="21"/>
                <w:szCs w:val="21"/>
              </w:rPr>
              <w:t>一、环境管理</w:t>
            </w:r>
          </w:p>
          <w:p w14:paraId="2FE167CF">
            <w:pPr>
              <w:spacing w:line="240" w:lineRule="auto"/>
              <w:ind w:firstLine="420"/>
              <w:rPr>
                <w:color w:val="auto"/>
                <w:sz w:val="21"/>
                <w:szCs w:val="21"/>
              </w:rPr>
            </w:pPr>
            <w:r>
              <w:rPr>
                <w:color w:val="auto"/>
                <w:sz w:val="21"/>
                <w:szCs w:val="21"/>
              </w:rPr>
              <w:t>项目运营期会对周边环境造成一定影响，因此项目运营必须做到严格、科学管理，并同时进行环境监测，以及时、准确、全面地了解项目环保措施的落实情况，掌握污染动态，发现潜在的不利影响，从而及时采取有效的环保措施以减轻和消除不利影响，使环保设施发挥最佳功效，把对环境的不利影响降低到最低限，使建设项目的社会效益和环境效益得到有机的统一。项目运行期的环境管理工作由建设单位安排专人负责，将环保工作纳入日常的管理工作中。对厂区的环境管理工作进行监督。</w:t>
            </w:r>
          </w:p>
          <w:p w14:paraId="719CB3D1">
            <w:pPr>
              <w:spacing w:line="240" w:lineRule="auto"/>
              <w:ind w:firstLine="420"/>
              <w:rPr>
                <w:color w:val="auto"/>
                <w:sz w:val="21"/>
                <w:szCs w:val="21"/>
              </w:rPr>
            </w:pPr>
            <w:r>
              <w:rPr>
                <w:color w:val="auto"/>
                <w:sz w:val="21"/>
                <w:szCs w:val="21"/>
              </w:rPr>
              <w:t>(1）加强污染治理设施的管理和维护，保证净化效果;</w:t>
            </w:r>
          </w:p>
          <w:p w14:paraId="23DD567B">
            <w:pPr>
              <w:spacing w:line="240" w:lineRule="auto"/>
              <w:ind w:firstLine="420"/>
              <w:rPr>
                <w:color w:val="auto"/>
                <w:sz w:val="21"/>
                <w:szCs w:val="21"/>
              </w:rPr>
            </w:pPr>
            <w:r>
              <w:rPr>
                <w:color w:val="auto"/>
                <w:sz w:val="21"/>
                <w:szCs w:val="21"/>
              </w:rPr>
              <w:t>(2）建立污染治理设施运行台账;</w:t>
            </w:r>
          </w:p>
          <w:p w14:paraId="76F04567">
            <w:pPr>
              <w:spacing w:line="240" w:lineRule="auto"/>
              <w:ind w:firstLine="420"/>
              <w:rPr>
                <w:color w:val="auto"/>
                <w:sz w:val="21"/>
                <w:szCs w:val="21"/>
              </w:rPr>
            </w:pPr>
            <w:r>
              <w:rPr>
                <w:color w:val="auto"/>
                <w:sz w:val="21"/>
                <w:szCs w:val="21"/>
              </w:rPr>
              <w:t>(3）按环保部门及行业主管部门要求，开展台帐记录，如实填报企业环境统计报表、污染源申报登记表。</w:t>
            </w:r>
          </w:p>
          <w:p w14:paraId="40E13C22">
            <w:pPr>
              <w:spacing w:line="240" w:lineRule="auto"/>
              <w:ind w:firstLine="420"/>
              <w:rPr>
                <w:color w:val="auto"/>
                <w:sz w:val="21"/>
                <w:szCs w:val="21"/>
              </w:rPr>
            </w:pPr>
            <w:r>
              <w:rPr>
                <w:color w:val="auto"/>
                <w:sz w:val="21"/>
                <w:szCs w:val="21"/>
              </w:rPr>
              <w:t>(4）每天定期或不定期用余氯比色计对消毒池出口进行总余氯监测，确保消毒池的消毒效率。</w:t>
            </w:r>
          </w:p>
          <w:p w14:paraId="44177CB1">
            <w:pPr>
              <w:spacing w:line="240" w:lineRule="auto"/>
              <w:ind w:firstLine="420"/>
              <w:rPr>
                <w:color w:val="auto"/>
                <w:sz w:val="21"/>
                <w:szCs w:val="21"/>
              </w:rPr>
            </w:pPr>
            <w:r>
              <w:rPr>
                <w:color w:val="auto"/>
                <w:sz w:val="21"/>
                <w:szCs w:val="21"/>
              </w:rPr>
              <w:t>二、排污许可</w:t>
            </w:r>
          </w:p>
          <w:p w14:paraId="384CCD7B">
            <w:pPr>
              <w:spacing w:line="240" w:lineRule="auto"/>
              <w:ind w:firstLine="420"/>
              <w:rPr>
                <w:color w:val="auto"/>
                <w:sz w:val="21"/>
                <w:szCs w:val="21"/>
              </w:rPr>
            </w:pPr>
            <w:r>
              <w:rPr>
                <w:color w:val="auto"/>
                <w:sz w:val="21"/>
                <w:szCs w:val="21"/>
              </w:rPr>
              <w:t>企业及时申请排污许可证变更。</w:t>
            </w:r>
          </w:p>
          <w:p w14:paraId="6934C8E5">
            <w:pPr>
              <w:spacing w:line="240" w:lineRule="auto"/>
              <w:ind w:firstLine="420"/>
              <w:rPr>
                <w:color w:val="auto"/>
                <w:sz w:val="21"/>
                <w:szCs w:val="21"/>
              </w:rPr>
            </w:pPr>
            <w:r>
              <w:rPr>
                <w:color w:val="auto"/>
                <w:sz w:val="21"/>
                <w:szCs w:val="21"/>
              </w:rPr>
              <w:t>三、环保设施竣工验收</w:t>
            </w:r>
          </w:p>
          <w:p w14:paraId="25001B6F">
            <w:pPr>
              <w:spacing w:line="240" w:lineRule="auto"/>
              <w:ind w:firstLine="420"/>
              <w:rPr>
                <w:color w:val="auto"/>
                <w:sz w:val="21"/>
                <w:szCs w:val="21"/>
              </w:rPr>
            </w:pPr>
            <w:r>
              <w:rPr>
                <w:color w:val="auto"/>
                <w:sz w:val="21"/>
                <w:szCs w:val="21"/>
              </w:rPr>
              <w:t>根据《建设项目环境保护管理条例》(2017年7月16日修订)，建设项目设计和施工中应严格落实“三同时”制度，建设单位应按照国家及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2478A2B9">
            <w:pPr>
              <w:spacing w:line="240" w:lineRule="auto"/>
              <w:ind w:firstLine="420"/>
              <w:rPr>
                <w:color w:val="auto"/>
                <w:sz w:val="21"/>
                <w:szCs w:val="21"/>
              </w:rPr>
            </w:pPr>
            <w:r>
              <w:rPr>
                <w:color w:val="auto"/>
                <w:sz w:val="21"/>
                <w:szCs w:val="21"/>
              </w:rPr>
              <w:t>建设单位是建设项目值工环境保护验收的责任主体，应当按照《建设项目竣工环境保护验收暂行办法》（国环规环评（2017）4号)、《建设项目竣工环境保护验收技术指南污染影响类》(生态环境部办公厅2018年5月16日印发）、《建设项目竣工环境保护验收技术规范医疗机构》HJ794-2016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中弄虚作假。</w:t>
            </w:r>
          </w:p>
          <w:p w14:paraId="626A3B6C">
            <w:pPr>
              <w:spacing w:line="240" w:lineRule="auto"/>
              <w:ind w:firstLine="420"/>
              <w:rPr>
                <w:color w:val="auto"/>
                <w:sz w:val="21"/>
                <w:szCs w:val="21"/>
              </w:rPr>
            </w:pPr>
            <w:r>
              <w:rPr>
                <w:color w:val="auto"/>
                <w:sz w:val="21"/>
                <w:szCs w:val="21"/>
              </w:rPr>
              <w:t>建设项目竣工后，除需要取得排污许可证的水和大气污染防治设施外，其他环境保护设施的验收期限一般不超过3个月，需要对该类环境保护设施进行调试或者调整的，验收期限可以适当延期，但最长不超过12个月。企业应在项目建设完成后及时对环保设施讲行验收。</w:t>
            </w:r>
          </w:p>
        </w:tc>
      </w:tr>
    </w:tbl>
    <w:p w14:paraId="76B6C4A2">
      <w:pPr>
        <w:rPr>
          <w:color w:val="auto"/>
        </w:rPr>
      </w:pPr>
      <w:r>
        <w:rPr>
          <w:color w:val="auto"/>
        </w:rPr>
        <w:br w:type="page"/>
      </w:r>
    </w:p>
    <w:p w14:paraId="1F3225DB">
      <w:pPr>
        <w:pStyle w:val="3"/>
        <w:jc w:val="center"/>
        <w:rPr>
          <w:color w:val="auto"/>
        </w:rPr>
      </w:pPr>
      <w:r>
        <w:rPr>
          <w:rFonts w:hint="eastAsia"/>
          <w:color w:val="auto"/>
          <w:lang w:eastAsia="zh-CN"/>
        </w:rPr>
        <w:t>江城镇卫生院</w:t>
      </w:r>
      <w:r>
        <w:rPr>
          <w:color w:val="auto"/>
        </w:rPr>
        <w:t>环境保护措施监督检查清单</w:t>
      </w:r>
      <w:bookmarkEnd w:id="17"/>
    </w:p>
    <w:tbl>
      <w:tblPr>
        <w:tblStyle w:val="19"/>
        <w:tblW w:w="895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6"/>
        <w:gridCol w:w="760"/>
        <w:gridCol w:w="770"/>
        <w:gridCol w:w="1729"/>
        <w:gridCol w:w="2351"/>
        <w:gridCol w:w="2280"/>
      </w:tblGrid>
      <w:tr w14:paraId="381400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6B150EFD">
            <w:pPr>
              <w:spacing w:line="240" w:lineRule="auto"/>
              <w:ind w:firstLine="0" w:firstLineChars="0"/>
              <w:jc w:val="right"/>
              <w:rPr>
                <w:color w:val="auto"/>
                <w:sz w:val="21"/>
                <w:szCs w:val="21"/>
              </w:rPr>
            </w:pPr>
            <w:r>
              <w:rPr>
                <w:color w:val="auto"/>
              </w:rPr>
              <mc:AlternateContent>
                <mc:Choice Requires="wps">
                  <w:drawing>
                    <wp:anchor distT="0" distB="0" distL="114300" distR="114300" simplePos="0" relativeHeight="251660288" behindDoc="0" locked="0" layoutInCell="1" allowOverlap="1">
                      <wp:simplePos x="0" y="0"/>
                      <wp:positionH relativeFrom="column">
                        <wp:posOffset>-67945</wp:posOffset>
                      </wp:positionH>
                      <wp:positionV relativeFrom="paragraph">
                        <wp:posOffset>-17145</wp:posOffset>
                      </wp:positionV>
                      <wp:extent cx="666750" cy="501015"/>
                      <wp:effectExtent l="0" t="0" r="0" b="13335"/>
                      <wp:wrapNone/>
                      <wp:docPr id="276023464" name="直接连接符 1"/>
                      <wp:cNvGraphicFramePr/>
                      <a:graphic xmlns:a="http://schemas.openxmlformats.org/drawingml/2006/main">
                        <a:graphicData uri="http://schemas.microsoft.com/office/word/2010/wordprocessingShape">
                          <wps:wsp>
                            <wps:cNvCnPr/>
                            <wps:spPr>
                              <a:xfrm>
                                <a:off x="0" y="0"/>
                                <a:ext cx="666750" cy="5010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1" o:spid="_x0000_s1026" o:spt="20" style="position:absolute;left:0pt;margin-left:-5.35pt;margin-top:-1.35pt;height:39.45pt;width:52.5pt;z-index:251660288;mso-width-relative:page;mso-height-relative:page;" filled="f" stroked="t" coordsize="21600,21600" o:gfxdata="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ulm2F2QAAAAgBAAAPAAAAAAAAAAEAIAAAACIAAABkcnMvZG93bnJldi54bWxQSwECFAAUAAAA&#10;CACHTuJAeLWpxu0BAAC+AwAADgAAAAAAAAABACAAAAAoAQAAZHJzL2Uyb0RvYy54bWxQSwUGAAAA&#10;AAYABgBZAQAAhwUAAAAA&#10;">
                      <v:fill on="f" focussize="0,0"/>
                      <v:stroke weight="1.5pt" color="#000000 [3200]" miterlimit="8" joinstyle="miter"/>
                      <v:imagedata o:title=""/>
                      <o:lock v:ext="edit" aspectratio="f"/>
                    </v:line>
                  </w:pict>
                </mc:Fallback>
              </mc:AlternateContent>
            </w:r>
            <w:r>
              <w:rPr>
                <w:color w:val="auto"/>
                <w:sz w:val="21"/>
                <w:szCs w:val="21"/>
              </w:rPr>
              <w:t>内容</w:t>
            </w:r>
          </w:p>
          <w:p w14:paraId="2C84E317">
            <w:pPr>
              <w:pStyle w:val="2"/>
              <w:rPr>
                <w:color w:val="auto"/>
                <w:sz w:val="21"/>
                <w:szCs w:val="21"/>
              </w:rPr>
            </w:pPr>
            <w:r>
              <w:rPr>
                <w:color w:val="auto"/>
                <w:sz w:val="21"/>
                <w:szCs w:val="21"/>
              </w:rPr>
              <w:t>要素</w:t>
            </w:r>
          </w:p>
        </w:tc>
        <w:tc>
          <w:tcPr>
            <w:tcW w:w="1530" w:type="dxa"/>
            <w:gridSpan w:val="2"/>
            <w:vAlign w:val="center"/>
          </w:tcPr>
          <w:p w14:paraId="4BBF7E23">
            <w:pPr>
              <w:spacing w:line="240" w:lineRule="auto"/>
              <w:ind w:firstLine="0" w:firstLineChars="0"/>
              <w:jc w:val="center"/>
              <w:rPr>
                <w:color w:val="auto"/>
                <w:sz w:val="21"/>
                <w:szCs w:val="21"/>
              </w:rPr>
            </w:pPr>
            <w:r>
              <w:rPr>
                <w:color w:val="auto"/>
                <w:sz w:val="21"/>
                <w:szCs w:val="21"/>
              </w:rPr>
              <w:t>排放口（编号、名称）/污染源</w:t>
            </w:r>
          </w:p>
        </w:tc>
        <w:tc>
          <w:tcPr>
            <w:tcW w:w="1729" w:type="dxa"/>
            <w:vAlign w:val="center"/>
          </w:tcPr>
          <w:p w14:paraId="38432DC8">
            <w:pPr>
              <w:spacing w:line="240" w:lineRule="auto"/>
              <w:ind w:firstLine="0" w:firstLineChars="0"/>
              <w:jc w:val="center"/>
              <w:rPr>
                <w:color w:val="auto"/>
                <w:sz w:val="21"/>
                <w:szCs w:val="21"/>
              </w:rPr>
            </w:pPr>
            <w:r>
              <w:rPr>
                <w:color w:val="auto"/>
                <w:sz w:val="21"/>
                <w:szCs w:val="21"/>
              </w:rPr>
              <w:t>污染物项目</w:t>
            </w:r>
          </w:p>
        </w:tc>
        <w:tc>
          <w:tcPr>
            <w:tcW w:w="2351" w:type="dxa"/>
            <w:vAlign w:val="center"/>
          </w:tcPr>
          <w:p w14:paraId="1D2E301E">
            <w:pPr>
              <w:spacing w:line="240" w:lineRule="auto"/>
              <w:ind w:firstLine="0" w:firstLineChars="0"/>
              <w:jc w:val="center"/>
              <w:rPr>
                <w:color w:val="auto"/>
                <w:sz w:val="21"/>
                <w:szCs w:val="21"/>
              </w:rPr>
            </w:pPr>
            <w:r>
              <w:rPr>
                <w:color w:val="auto"/>
                <w:sz w:val="21"/>
                <w:szCs w:val="21"/>
              </w:rPr>
              <w:t>环境保护措施</w:t>
            </w:r>
          </w:p>
        </w:tc>
        <w:tc>
          <w:tcPr>
            <w:tcW w:w="2280" w:type="dxa"/>
            <w:vAlign w:val="center"/>
          </w:tcPr>
          <w:p w14:paraId="711B4285">
            <w:pPr>
              <w:spacing w:line="240" w:lineRule="auto"/>
              <w:ind w:firstLine="0" w:firstLineChars="0"/>
              <w:jc w:val="center"/>
              <w:rPr>
                <w:color w:val="auto"/>
                <w:sz w:val="21"/>
                <w:szCs w:val="21"/>
              </w:rPr>
            </w:pPr>
            <w:r>
              <w:rPr>
                <w:color w:val="auto"/>
                <w:sz w:val="21"/>
                <w:szCs w:val="21"/>
              </w:rPr>
              <w:t>执行标准</w:t>
            </w:r>
          </w:p>
        </w:tc>
      </w:tr>
      <w:tr w14:paraId="06843F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restart"/>
            <w:vAlign w:val="center"/>
          </w:tcPr>
          <w:p w14:paraId="2A6FA2A7">
            <w:pPr>
              <w:spacing w:line="240" w:lineRule="auto"/>
              <w:ind w:firstLine="0" w:firstLineChars="0"/>
              <w:jc w:val="center"/>
              <w:rPr>
                <w:color w:val="auto"/>
                <w:sz w:val="21"/>
                <w:szCs w:val="21"/>
              </w:rPr>
            </w:pPr>
            <w:r>
              <w:rPr>
                <w:color w:val="auto"/>
                <w:sz w:val="21"/>
                <w:szCs w:val="21"/>
              </w:rPr>
              <w:t>大气环境</w:t>
            </w:r>
          </w:p>
        </w:tc>
        <w:tc>
          <w:tcPr>
            <w:tcW w:w="1530" w:type="dxa"/>
            <w:gridSpan w:val="2"/>
            <w:vAlign w:val="center"/>
          </w:tcPr>
          <w:p w14:paraId="73004F4A">
            <w:pPr>
              <w:spacing w:line="240" w:lineRule="auto"/>
              <w:ind w:firstLine="0" w:firstLineChars="0"/>
              <w:jc w:val="center"/>
              <w:rPr>
                <w:color w:val="auto"/>
                <w:sz w:val="21"/>
                <w:szCs w:val="21"/>
              </w:rPr>
            </w:pPr>
            <w:r>
              <w:rPr>
                <w:color w:val="auto"/>
                <w:sz w:val="21"/>
                <w:szCs w:val="21"/>
              </w:rPr>
              <w:t>污水处理站</w:t>
            </w:r>
          </w:p>
        </w:tc>
        <w:tc>
          <w:tcPr>
            <w:tcW w:w="1729" w:type="dxa"/>
            <w:vAlign w:val="center"/>
          </w:tcPr>
          <w:p w14:paraId="4AF6484D">
            <w:pPr>
              <w:spacing w:line="240" w:lineRule="auto"/>
              <w:ind w:firstLine="0" w:firstLineChars="0"/>
              <w:jc w:val="center"/>
              <w:rPr>
                <w:color w:val="auto"/>
                <w:sz w:val="21"/>
                <w:szCs w:val="21"/>
              </w:rPr>
            </w:pPr>
            <w:r>
              <w:rPr>
                <w:color w:val="auto"/>
                <w:sz w:val="21"/>
                <w:szCs w:val="21"/>
              </w:rPr>
              <w:t>恶臭</w:t>
            </w:r>
          </w:p>
        </w:tc>
        <w:tc>
          <w:tcPr>
            <w:tcW w:w="2351" w:type="dxa"/>
            <w:vAlign w:val="center"/>
          </w:tcPr>
          <w:p w14:paraId="627C0AF5">
            <w:pPr>
              <w:spacing w:line="240" w:lineRule="auto"/>
              <w:ind w:firstLine="0" w:firstLineChars="0"/>
              <w:jc w:val="center"/>
              <w:rPr>
                <w:rFonts w:hint="eastAsia" w:eastAsia="宋体"/>
                <w:color w:val="auto"/>
                <w:sz w:val="21"/>
                <w:szCs w:val="21"/>
                <w:lang w:eastAsia="zh-CN"/>
              </w:rPr>
            </w:pPr>
            <w:r>
              <w:rPr>
                <w:color w:val="auto"/>
                <w:sz w:val="21"/>
                <w:szCs w:val="21"/>
              </w:rPr>
              <w:t>污水处理设备为全封闭型设施，平时均为密闭状态，污水处理站的各构筑物将加盖密闭</w:t>
            </w:r>
          </w:p>
        </w:tc>
        <w:tc>
          <w:tcPr>
            <w:tcW w:w="2280" w:type="dxa"/>
            <w:vMerge w:val="restart"/>
            <w:vAlign w:val="center"/>
          </w:tcPr>
          <w:p w14:paraId="51FEF9BB">
            <w:pPr>
              <w:widowControl/>
              <w:ind w:firstLine="0" w:firstLineChars="0"/>
              <w:jc w:val="left"/>
              <w:rPr>
                <w:color w:val="auto"/>
                <w:sz w:val="21"/>
                <w:szCs w:val="21"/>
              </w:rPr>
            </w:pPr>
            <w:r>
              <w:rPr>
                <w:color w:val="auto"/>
                <w:sz w:val="21"/>
                <w:szCs w:val="21"/>
              </w:rPr>
              <w:t>《恶臭污染物排放标准》（GB14554-93）</w:t>
            </w:r>
          </w:p>
        </w:tc>
      </w:tr>
      <w:tr w14:paraId="71350F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0B7897AA">
            <w:pPr>
              <w:spacing w:line="240" w:lineRule="auto"/>
              <w:ind w:firstLine="0" w:firstLineChars="0"/>
              <w:rPr>
                <w:color w:val="auto"/>
                <w:sz w:val="21"/>
                <w:szCs w:val="21"/>
              </w:rPr>
            </w:pPr>
          </w:p>
        </w:tc>
        <w:tc>
          <w:tcPr>
            <w:tcW w:w="1530" w:type="dxa"/>
            <w:gridSpan w:val="2"/>
            <w:vAlign w:val="center"/>
          </w:tcPr>
          <w:p w14:paraId="69E6BA16">
            <w:pPr>
              <w:spacing w:line="240" w:lineRule="auto"/>
              <w:ind w:firstLine="0" w:firstLineChars="0"/>
              <w:jc w:val="center"/>
              <w:rPr>
                <w:color w:val="auto"/>
                <w:sz w:val="21"/>
                <w:szCs w:val="21"/>
              </w:rPr>
            </w:pPr>
            <w:r>
              <w:rPr>
                <w:color w:val="auto"/>
                <w:sz w:val="21"/>
                <w:szCs w:val="21"/>
              </w:rPr>
              <w:t>化粪池、医疗废物暂存间、垃圾桶、卫生间</w:t>
            </w:r>
          </w:p>
        </w:tc>
        <w:tc>
          <w:tcPr>
            <w:tcW w:w="1729" w:type="dxa"/>
            <w:vAlign w:val="center"/>
          </w:tcPr>
          <w:p w14:paraId="2AD184DD">
            <w:pPr>
              <w:spacing w:line="240" w:lineRule="auto"/>
              <w:ind w:firstLine="0" w:firstLineChars="0"/>
              <w:jc w:val="center"/>
              <w:rPr>
                <w:color w:val="auto"/>
                <w:sz w:val="21"/>
                <w:szCs w:val="21"/>
              </w:rPr>
            </w:pPr>
            <w:r>
              <w:rPr>
                <w:color w:val="auto"/>
                <w:sz w:val="21"/>
                <w:szCs w:val="21"/>
              </w:rPr>
              <w:t>恶臭</w:t>
            </w:r>
          </w:p>
        </w:tc>
        <w:tc>
          <w:tcPr>
            <w:tcW w:w="2351" w:type="dxa"/>
            <w:vAlign w:val="center"/>
          </w:tcPr>
          <w:p w14:paraId="53BE07C2">
            <w:pPr>
              <w:spacing w:line="240" w:lineRule="auto"/>
              <w:ind w:firstLine="0" w:firstLineChars="0"/>
              <w:jc w:val="center"/>
              <w:rPr>
                <w:color w:val="auto"/>
                <w:sz w:val="21"/>
                <w:szCs w:val="21"/>
              </w:rPr>
            </w:pPr>
            <w:r>
              <w:rPr>
                <w:color w:val="auto"/>
                <w:sz w:val="21"/>
                <w:szCs w:val="21"/>
              </w:rPr>
              <w:t>化粪池清运、拉运污泥为年清理2次，医疗废物定期清运，恶臭产生量较少，卫生间每天清扫1次，垃圾收集采用密闭式垃圾桶，日产日清</w:t>
            </w:r>
          </w:p>
        </w:tc>
        <w:tc>
          <w:tcPr>
            <w:tcW w:w="2280" w:type="dxa"/>
            <w:vMerge w:val="continue"/>
            <w:vAlign w:val="center"/>
          </w:tcPr>
          <w:p w14:paraId="74421C75">
            <w:pPr>
              <w:spacing w:line="240" w:lineRule="auto"/>
              <w:ind w:firstLine="0" w:firstLineChars="0"/>
              <w:jc w:val="center"/>
              <w:rPr>
                <w:color w:val="auto"/>
                <w:sz w:val="21"/>
                <w:szCs w:val="21"/>
              </w:rPr>
            </w:pPr>
          </w:p>
        </w:tc>
      </w:tr>
      <w:tr w14:paraId="660619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9" w:hRule="atLeast"/>
        </w:trPr>
        <w:tc>
          <w:tcPr>
            <w:tcW w:w="1066" w:type="dxa"/>
            <w:vMerge w:val="continue"/>
            <w:vAlign w:val="center"/>
          </w:tcPr>
          <w:p w14:paraId="30471D2C">
            <w:pPr>
              <w:spacing w:line="240" w:lineRule="auto"/>
              <w:ind w:firstLine="0" w:firstLineChars="0"/>
              <w:rPr>
                <w:color w:val="auto"/>
                <w:sz w:val="21"/>
                <w:szCs w:val="21"/>
              </w:rPr>
            </w:pPr>
          </w:p>
        </w:tc>
        <w:tc>
          <w:tcPr>
            <w:tcW w:w="1530" w:type="dxa"/>
            <w:gridSpan w:val="2"/>
            <w:vAlign w:val="center"/>
          </w:tcPr>
          <w:p w14:paraId="058BCF22">
            <w:pPr>
              <w:spacing w:line="240" w:lineRule="auto"/>
              <w:ind w:firstLine="0" w:firstLineChars="0"/>
              <w:jc w:val="center"/>
              <w:rPr>
                <w:color w:val="auto"/>
                <w:sz w:val="21"/>
                <w:szCs w:val="21"/>
              </w:rPr>
            </w:pPr>
            <w:r>
              <w:rPr>
                <w:color w:val="auto"/>
                <w:sz w:val="21"/>
                <w:szCs w:val="21"/>
              </w:rPr>
              <w:t>厨房</w:t>
            </w:r>
          </w:p>
        </w:tc>
        <w:tc>
          <w:tcPr>
            <w:tcW w:w="1729" w:type="dxa"/>
            <w:vAlign w:val="center"/>
          </w:tcPr>
          <w:p w14:paraId="74798544">
            <w:pPr>
              <w:spacing w:line="240" w:lineRule="auto"/>
              <w:ind w:firstLine="0" w:firstLineChars="0"/>
              <w:jc w:val="center"/>
              <w:rPr>
                <w:color w:val="auto"/>
                <w:sz w:val="21"/>
                <w:szCs w:val="21"/>
              </w:rPr>
            </w:pPr>
            <w:r>
              <w:rPr>
                <w:color w:val="auto"/>
                <w:sz w:val="21"/>
                <w:szCs w:val="21"/>
              </w:rPr>
              <w:t>油烟</w:t>
            </w:r>
          </w:p>
        </w:tc>
        <w:tc>
          <w:tcPr>
            <w:tcW w:w="2351" w:type="dxa"/>
            <w:vAlign w:val="center"/>
          </w:tcPr>
          <w:p w14:paraId="69E5AFDE">
            <w:pPr>
              <w:spacing w:line="240" w:lineRule="auto"/>
              <w:ind w:firstLine="0" w:firstLineChars="0"/>
              <w:jc w:val="center"/>
              <w:rPr>
                <w:color w:val="auto"/>
                <w:sz w:val="21"/>
                <w:szCs w:val="21"/>
              </w:rPr>
            </w:pPr>
            <w:r>
              <w:rPr>
                <w:color w:val="auto"/>
                <w:sz w:val="21"/>
                <w:szCs w:val="21"/>
              </w:rPr>
              <w:t>经抽油烟机+油烟净化装置处理后排放</w:t>
            </w:r>
          </w:p>
        </w:tc>
        <w:tc>
          <w:tcPr>
            <w:tcW w:w="2280" w:type="dxa"/>
            <w:vAlign w:val="center"/>
          </w:tcPr>
          <w:p w14:paraId="4281F6F3">
            <w:pPr>
              <w:spacing w:line="240" w:lineRule="auto"/>
              <w:ind w:firstLine="0" w:firstLineChars="0"/>
              <w:jc w:val="center"/>
              <w:rPr>
                <w:color w:val="auto"/>
                <w:sz w:val="21"/>
                <w:szCs w:val="21"/>
              </w:rPr>
            </w:pPr>
            <w:r>
              <w:rPr>
                <w:color w:val="auto"/>
                <w:sz w:val="21"/>
                <w:szCs w:val="21"/>
              </w:rPr>
              <w:t>/</w:t>
            </w:r>
          </w:p>
        </w:tc>
      </w:tr>
      <w:tr w14:paraId="3B80CA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2AF139AA">
            <w:pPr>
              <w:spacing w:line="240" w:lineRule="auto"/>
              <w:ind w:firstLine="0" w:firstLineChars="0"/>
              <w:rPr>
                <w:color w:val="auto"/>
                <w:sz w:val="21"/>
                <w:szCs w:val="21"/>
              </w:rPr>
            </w:pPr>
          </w:p>
        </w:tc>
        <w:tc>
          <w:tcPr>
            <w:tcW w:w="1530" w:type="dxa"/>
            <w:gridSpan w:val="2"/>
            <w:vAlign w:val="center"/>
          </w:tcPr>
          <w:p w14:paraId="4DCF4741">
            <w:pPr>
              <w:spacing w:line="240" w:lineRule="auto"/>
              <w:ind w:firstLine="0" w:firstLineChars="0"/>
              <w:jc w:val="center"/>
              <w:rPr>
                <w:color w:val="auto"/>
                <w:sz w:val="21"/>
                <w:szCs w:val="21"/>
              </w:rPr>
            </w:pPr>
            <w:r>
              <w:rPr>
                <w:color w:val="auto"/>
                <w:sz w:val="21"/>
                <w:szCs w:val="21"/>
              </w:rPr>
              <w:t>备用发电间</w:t>
            </w:r>
          </w:p>
        </w:tc>
        <w:tc>
          <w:tcPr>
            <w:tcW w:w="1729" w:type="dxa"/>
            <w:vAlign w:val="center"/>
          </w:tcPr>
          <w:p w14:paraId="309EEFD2">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r>
              <w:rPr>
                <w:color w:val="auto"/>
                <w:sz w:val="21"/>
                <w:szCs w:val="21"/>
              </w:rPr>
              <w:t>、NOx、CO、H</w:t>
            </w:r>
            <w:r>
              <w:rPr>
                <w:color w:val="auto"/>
                <w:sz w:val="21"/>
                <w:szCs w:val="21"/>
                <w:vertAlign w:val="subscript"/>
              </w:rPr>
              <w:t>n</w:t>
            </w:r>
            <w:r>
              <w:rPr>
                <w:color w:val="auto"/>
                <w:sz w:val="21"/>
                <w:szCs w:val="21"/>
              </w:rPr>
              <w:t>C</w:t>
            </w:r>
            <w:r>
              <w:rPr>
                <w:color w:val="auto"/>
                <w:sz w:val="21"/>
                <w:szCs w:val="21"/>
                <w:vertAlign w:val="subscript"/>
              </w:rPr>
              <w:t>m</w:t>
            </w:r>
            <w:r>
              <w:rPr>
                <w:color w:val="auto"/>
                <w:sz w:val="21"/>
                <w:szCs w:val="21"/>
              </w:rPr>
              <w:t>和烟尘等</w:t>
            </w:r>
          </w:p>
        </w:tc>
        <w:tc>
          <w:tcPr>
            <w:tcW w:w="2351" w:type="dxa"/>
            <w:vAlign w:val="center"/>
          </w:tcPr>
          <w:p w14:paraId="11304BE2">
            <w:pPr>
              <w:spacing w:line="240" w:lineRule="auto"/>
              <w:ind w:firstLine="0" w:firstLineChars="0"/>
              <w:rPr>
                <w:color w:val="auto"/>
                <w:sz w:val="21"/>
                <w:szCs w:val="21"/>
              </w:rPr>
            </w:pPr>
            <w:r>
              <w:rPr>
                <w:color w:val="auto"/>
                <w:sz w:val="21"/>
                <w:szCs w:val="21"/>
              </w:rPr>
              <w:t>使用柴油发电机，停电时应急用，使用量很小</w:t>
            </w:r>
          </w:p>
        </w:tc>
        <w:tc>
          <w:tcPr>
            <w:tcW w:w="2280" w:type="dxa"/>
            <w:vAlign w:val="center"/>
          </w:tcPr>
          <w:p w14:paraId="701EE5F6">
            <w:pPr>
              <w:spacing w:line="240" w:lineRule="auto"/>
              <w:ind w:firstLine="0" w:firstLineChars="0"/>
              <w:jc w:val="center"/>
              <w:rPr>
                <w:color w:val="auto"/>
                <w:sz w:val="21"/>
                <w:szCs w:val="21"/>
              </w:rPr>
            </w:pPr>
            <w:r>
              <w:rPr>
                <w:color w:val="auto"/>
                <w:sz w:val="21"/>
                <w:szCs w:val="21"/>
              </w:rPr>
              <w:t>/</w:t>
            </w:r>
          </w:p>
        </w:tc>
      </w:tr>
      <w:tr w14:paraId="14EE0A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4" w:hRule="atLeast"/>
        </w:trPr>
        <w:tc>
          <w:tcPr>
            <w:tcW w:w="1066" w:type="dxa"/>
            <w:vMerge w:val="restart"/>
            <w:vAlign w:val="center"/>
          </w:tcPr>
          <w:p w14:paraId="35D28A9D">
            <w:pPr>
              <w:spacing w:line="240" w:lineRule="auto"/>
              <w:ind w:firstLine="0" w:firstLineChars="0"/>
              <w:jc w:val="center"/>
              <w:rPr>
                <w:color w:val="auto"/>
                <w:sz w:val="21"/>
                <w:szCs w:val="21"/>
              </w:rPr>
            </w:pPr>
            <w:r>
              <w:rPr>
                <w:color w:val="auto"/>
                <w:sz w:val="21"/>
                <w:szCs w:val="21"/>
              </w:rPr>
              <w:t>地表水环境</w:t>
            </w:r>
          </w:p>
        </w:tc>
        <w:tc>
          <w:tcPr>
            <w:tcW w:w="760" w:type="dxa"/>
            <w:vMerge w:val="restart"/>
            <w:tcBorders>
              <w:right w:val="single" w:color="auto" w:sz="4" w:space="0"/>
            </w:tcBorders>
            <w:vAlign w:val="center"/>
          </w:tcPr>
          <w:p w14:paraId="543B4A46">
            <w:pPr>
              <w:spacing w:line="240" w:lineRule="auto"/>
              <w:ind w:firstLine="0" w:firstLineChars="0"/>
              <w:jc w:val="center"/>
              <w:rPr>
                <w:color w:val="auto"/>
                <w:sz w:val="21"/>
                <w:szCs w:val="24"/>
              </w:rPr>
            </w:pPr>
            <w:r>
              <w:rPr>
                <w:color w:val="auto"/>
                <w:sz w:val="21"/>
                <w:szCs w:val="24"/>
              </w:rPr>
              <w:t>DW001</w:t>
            </w:r>
          </w:p>
          <w:p w14:paraId="2F2091B4">
            <w:pPr>
              <w:spacing w:line="240" w:lineRule="auto"/>
              <w:ind w:firstLine="0" w:firstLineChars="0"/>
              <w:jc w:val="center"/>
              <w:rPr>
                <w:color w:val="auto"/>
                <w:sz w:val="21"/>
                <w:szCs w:val="24"/>
              </w:rPr>
            </w:pPr>
          </w:p>
          <w:p w14:paraId="24F5F59C">
            <w:pPr>
              <w:spacing w:line="240" w:lineRule="auto"/>
              <w:ind w:firstLine="0" w:firstLineChars="0"/>
              <w:jc w:val="center"/>
              <w:rPr>
                <w:color w:val="auto"/>
                <w:sz w:val="21"/>
                <w:szCs w:val="24"/>
              </w:rPr>
            </w:pPr>
          </w:p>
        </w:tc>
        <w:tc>
          <w:tcPr>
            <w:tcW w:w="770" w:type="dxa"/>
            <w:tcBorders>
              <w:left w:val="single" w:color="auto" w:sz="4" w:space="0"/>
            </w:tcBorders>
            <w:vAlign w:val="center"/>
          </w:tcPr>
          <w:p w14:paraId="55E6BC88">
            <w:pPr>
              <w:spacing w:line="240" w:lineRule="auto"/>
              <w:ind w:firstLine="0" w:firstLineChars="0"/>
              <w:jc w:val="center"/>
              <w:rPr>
                <w:color w:val="auto"/>
                <w:sz w:val="21"/>
                <w:szCs w:val="24"/>
              </w:rPr>
            </w:pPr>
            <w:r>
              <w:rPr>
                <w:color w:val="auto"/>
                <w:sz w:val="21"/>
                <w:szCs w:val="24"/>
              </w:rPr>
              <w:t>门诊、住院用水</w:t>
            </w:r>
          </w:p>
        </w:tc>
        <w:tc>
          <w:tcPr>
            <w:tcW w:w="1729" w:type="dxa"/>
            <w:vMerge w:val="restart"/>
            <w:vAlign w:val="center"/>
          </w:tcPr>
          <w:p w14:paraId="3B7D1AA1">
            <w:pPr>
              <w:spacing w:line="240" w:lineRule="auto"/>
              <w:ind w:firstLine="0" w:firstLineChars="0"/>
              <w:jc w:val="center"/>
              <w:rPr>
                <w:color w:val="auto"/>
                <w:sz w:val="21"/>
                <w:szCs w:val="21"/>
              </w:rPr>
            </w:pPr>
            <w:r>
              <w:rPr>
                <w:color w:val="auto"/>
                <w:sz w:val="21"/>
                <w:szCs w:val="24"/>
              </w:rPr>
              <w:t>粪大肠菌数、pH、COD、BOD</w:t>
            </w:r>
            <w:r>
              <w:rPr>
                <w:color w:val="auto"/>
                <w:sz w:val="21"/>
                <w:szCs w:val="24"/>
                <w:vertAlign w:val="subscript"/>
              </w:rPr>
              <w:t>5</w:t>
            </w:r>
            <w:r>
              <w:rPr>
                <w:color w:val="auto"/>
                <w:sz w:val="21"/>
                <w:szCs w:val="24"/>
              </w:rPr>
              <w:t>、SS、动植物油、氨氮、石油类、阴离子表面活性剂、色度、挥发酚、总氰化物、总余氯等</w:t>
            </w:r>
          </w:p>
        </w:tc>
        <w:tc>
          <w:tcPr>
            <w:tcW w:w="2351" w:type="dxa"/>
            <w:vAlign w:val="center"/>
          </w:tcPr>
          <w:p w14:paraId="12B381A1">
            <w:pPr>
              <w:spacing w:line="240" w:lineRule="auto"/>
              <w:ind w:firstLine="0" w:firstLineChars="0"/>
              <w:jc w:val="center"/>
              <w:rPr>
                <w:color w:val="auto"/>
                <w:sz w:val="21"/>
                <w:szCs w:val="21"/>
              </w:rPr>
            </w:pPr>
            <w:r>
              <w:rPr>
                <w:color w:val="auto"/>
                <w:sz w:val="21"/>
                <w:szCs w:val="21"/>
              </w:rPr>
              <w:t>“一级处理+消毒工艺”的污水处理站</w:t>
            </w:r>
          </w:p>
        </w:tc>
        <w:tc>
          <w:tcPr>
            <w:tcW w:w="2280" w:type="dxa"/>
            <w:vMerge w:val="restart"/>
            <w:vAlign w:val="center"/>
          </w:tcPr>
          <w:p w14:paraId="2DF48EC4">
            <w:pPr>
              <w:spacing w:line="240" w:lineRule="auto"/>
              <w:ind w:firstLine="0" w:firstLineChars="0"/>
              <w:jc w:val="center"/>
              <w:rPr>
                <w:color w:val="auto"/>
                <w:sz w:val="21"/>
                <w:szCs w:val="21"/>
              </w:rPr>
            </w:pPr>
            <w:r>
              <w:rPr>
                <w:color w:val="auto"/>
                <w:sz w:val="21"/>
                <w:szCs w:val="21"/>
              </w:rPr>
              <w:t>满足《医疗机构水污染物排放标准》GB18466-2005中表2预处理标准要求</w:t>
            </w:r>
          </w:p>
        </w:tc>
      </w:tr>
      <w:tr w14:paraId="44D7DE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5A61EEB0">
            <w:pPr>
              <w:spacing w:line="240" w:lineRule="auto"/>
              <w:ind w:firstLine="0" w:firstLineChars="0"/>
              <w:jc w:val="center"/>
              <w:rPr>
                <w:color w:val="auto"/>
                <w:sz w:val="21"/>
                <w:szCs w:val="21"/>
              </w:rPr>
            </w:pPr>
          </w:p>
        </w:tc>
        <w:tc>
          <w:tcPr>
            <w:tcW w:w="760" w:type="dxa"/>
            <w:vMerge w:val="continue"/>
            <w:tcBorders>
              <w:right w:val="single" w:color="auto" w:sz="4" w:space="0"/>
            </w:tcBorders>
            <w:vAlign w:val="center"/>
          </w:tcPr>
          <w:p w14:paraId="2BDD1DCC">
            <w:pPr>
              <w:spacing w:line="240" w:lineRule="auto"/>
              <w:ind w:firstLine="0" w:firstLineChars="0"/>
              <w:jc w:val="center"/>
              <w:rPr>
                <w:color w:val="auto"/>
                <w:sz w:val="21"/>
                <w:szCs w:val="24"/>
              </w:rPr>
            </w:pPr>
          </w:p>
        </w:tc>
        <w:tc>
          <w:tcPr>
            <w:tcW w:w="770" w:type="dxa"/>
            <w:tcBorders>
              <w:left w:val="single" w:color="auto" w:sz="4" w:space="0"/>
            </w:tcBorders>
            <w:vAlign w:val="center"/>
          </w:tcPr>
          <w:p w14:paraId="67AB5EC2">
            <w:pPr>
              <w:spacing w:line="240" w:lineRule="auto"/>
              <w:ind w:firstLine="0" w:firstLineChars="0"/>
              <w:jc w:val="center"/>
              <w:rPr>
                <w:color w:val="auto"/>
                <w:sz w:val="21"/>
                <w:szCs w:val="24"/>
              </w:rPr>
            </w:pPr>
            <w:r>
              <w:rPr>
                <w:color w:val="auto"/>
                <w:sz w:val="21"/>
                <w:szCs w:val="24"/>
              </w:rPr>
              <w:t>检验科用水</w:t>
            </w:r>
          </w:p>
        </w:tc>
        <w:tc>
          <w:tcPr>
            <w:tcW w:w="1729" w:type="dxa"/>
            <w:vMerge w:val="continue"/>
            <w:vAlign w:val="center"/>
          </w:tcPr>
          <w:p w14:paraId="402A1E7D">
            <w:pPr>
              <w:spacing w:line="240" w:lineRule="auto"/>
              <w:ind w:firstLine="0" w:firstLineChars="0"/>
              <w:jc w:val="center"/>
              <w:rPr>
                <w:color w:val="auto"/>
                <w:sz w:val="21"/>
                <w:szCs w:val="21"/>
              </w:rPr>
            </w:pPr>
          </w:p>
        </w:tc>
        <w:tc>
          <w:tcPr>
            <w:tcW w:w="2351" w:type="dxa"/>
            <w:vAlign w:val="center"/>
          </w:tcPr>
          <w:p w14:paraId="07A332EE">
            <w:pPr>
              <w:spacing w:line="240" w:lineRule="auto"/>
              <w:ind w:firstLine="0" w:firstLineChars="0"/>
              <w:jc w:val="center"/>
              <w:rPr>
                <w:color w:val="auto"/>
                <w:sz w:val="21"/>
                <w:szCs w:val="21"/>
              </w:rPr>
            </w:pPr>
            <w:r>
              <w:rPr>
                <w:color w:val="auto"/>
                <w:sz w:val="21"/>
                <w:szCs w:val="21"/>
              </w:rPr>
              <w:t>经一体化污水处理设施后进入污水处理站。</w:t>
            </w:r>
          </w:p>
        </w:tc>
        <w:tc>
          <w:tcPr>
            <w:tcW w:w="2280" w:type="dxa"/>
            <w:vMerge w:val="continue"/>
            <w:vAlign w:val="center"/>
          </w:tcPr>
          <w:p w14:paraId="6BCD8041">
            <w:pPr>
              <w:spacing w:line="240" w:lineRule="auto"/>
              <w:ind w:firstLine="0" w:firstLineChars="0"/>
              <w:jc w:val="center"/>
              <w:rPr>
                <w:color w:val="auto"/>
                <w:sz w:val="21"/>
                <w:szCs w:val="21"/>
              </w:rPr>
            </w:pPr>
          </w:p>
        </w:tc>
      </w:tr>
      <w:tr w14:paraId="65233D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7D5E806A">
            <w:pPr>
              <w:spacing w:line="240" w:lineRule="auto"/>
              <w:ind w:firstLine="0" w:firstLineChars="0"/>
              <w:jc w:val="center"/>
              <w:rPr>
                <w:color w:val="auto"/>
                <w:sz w:val="21"/>
                <w:szCs w:val="21"/>
              </w:rPr>
            </w:pPr>
          </w:p>
        </w:tc>
        <w:tc>
          <w:tcPr>
            <w:tcW w:w="760" w:type="dxa"/>
            <w:vMerge w:val="continue"/>
            <w:tcBorders>
              <w:right w:val="single" w:color="auto" w:sz="4" w:space="0"/>
            </w:tcBorders>
            <w:vAlign w:val="center"/>
          </w:tcPr>
          <w:p w14:paraId="5E74EE2D">
            <w:pPr>
              <w:spacing w:line="240" w:lineRule="auto"/>
              <w:ind w:firstLine="0" w:firstLineChars="0"/>
              <w:jc w:val="center"/>
              <w:rPr>
                <w:color w:val="auto"/>
                <w:sz w:val="21"/>
                <w:szCs w:val="24"/>
              </w:rPr>
            </w:pPr>
          </w:p>
        </w:tc>
        <w:tc>
          <w:tcPr>
            <w:tcW w:w="770" w:type="dxa"/>
            <w:tcBorders>
              <w:left w:val="single" w:color="auto" w:sz="4" w:space="0"/>
            </w:tcBorders>
            <w:vAlign w:val="center"/>
          </w:tcPr>
          <w:p w14:paraId="5DCE7CA0">
            <w:pPr>
              <w:spacing w:line="240" w:lineRule="auto"/>
              <w:ind w:firstLine="0" w:firstLineChars="0"/>
              <w:jc w:val="center"/>
              <w:rPr>
                <w:color w:val="auto"/>
                <w:sz w:val="21"/>
                <w:szCs w:val="24"/>
              </w:rPr>
            </w:pPr>
            <w:r>
              <w:rPr>
                <w:color w:val="auto"/>
                <w:sz w:val="21"/>
                <w:szCs w:val="24"/>
              </w:rPr>
              <w:t>厨房用水</w:t>
            </w:r>
          </w:p>
        </w:tc>
        <w:tc>
          <w:tcPr>
            <w:tcW w:w="1729" w:type="dxa"/>
            <w:vMerge w:val="continue"/>
            <w:vAlign w:val="center"/>
          </w:tcPr>
          <w:p w14:paraId="2E137009">
            <w:pPr>
              <w:spacing w:line="240" w:lineRule="auto"/>
              <w:ind w:firstLine="0" w:firstLineChars="0"/>
              <w:jc w:val="center"/>
              <w:rPr>
                <w:color w:val="auto"/>
                <w:sz w:val="21"/>
                <w:szCs w:val="21"/>
              </w:rPr>
            </w:pPr>
          </w:p>
        </w:tc>
        <w:tc>
          <w:tcPr>
            <w:tcW w:w="2351" w:type="dxa"/>
            <w:vAlign w:val="center"/>
          </w:tcPr>
          <w:p w14:paraId="0A9A1202">
            <w:pPr>
              <w:spacing w:line="240" w:lineRule="auto"/>
              <w:ind w:firstLine="0" w:firstLineChars="0"/>
              <w:jc w:val="center"/>
              <w:rPr>
                <w:color w:val="auto"/>
                <w:sz w:val="21"/>
                <w:szCs w:val="21"/>
              </w:rPr>
            </w:pPr>
            <w:r>
              <w:rPr>
                <w:color w:val="auto"/>
                <w:sz w:val="21"/>
                <w:szCs w:val="21"/>
              </w:rPr>
              <w:t>经隔油池处理后进入化粪池处理后进入污水处理站</w:t>
            </w:r>
          </w:p>
        </w:tc>
        <w:tc>
          <w:tcPr>
            <w:tcW w:w="2280" w:type="dxa"/>
            <w:vMerge w:val="continue"/>
            <w:vAlign w:val="center"/>
          </w:tcPr>
          <w:p w14:paraId="1AA15249">
            <w:pPr>
              <w:spacing w:line="240" w:lineRule="auto"/>
              <w:ind w:firstLine="0" w:firstLineChars="0"/>
              <w:jc w:val="center"/>
              <w:rPr>
                <w:color w:val="auto"/>
                <w:sz w:val="21"/>
                <w:szCs w:val="21"/>
              </w:rPr>
            </w:pPr>
          </w:p>
        </w:tc>
      </w:tr>
      <w:tr w14:paraId="0F38F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7" w:hRule="atLeast"/>
        </w:trPr>
        <w:tc>
          <w:tcPr>
            <w:tcW w:w="1066" w:type="dxa"/>
            <w:vAlign w:val="center"/>
          </w:tcPr>
          <w:p w14:paraId="76F0D1BA">
            <w:pPr>
              <w:spacing w:line="240" w:lineRule="auto"/>
              <w:ind w:firstLine="0" w:firstLineChars="0"/>
              <w:jc w:val="center"/>
              <w:rPr>
                <w:color w:val="auto"/>
                <w:sz w:val="21"/>
                <w:szCs w:val="21"/>
              </w:rPr>
            </w:pPr>
            <w:r>
              <w:rPr>
                <w:color w:val="auto"/>
                <w:sz w:val="21"/>
                <w:szCs w:val="21"/>
              </w:rPr>
              <w:t>声环境</w:t>
            </w:r>
          </w:p>
        </w:tc>
        <w:tc>
          <w:tcPr>
            <w:tcW w:w="1530" w:type="dxa"/>
            <w:gridSpan w:val="2"/>
            <w:vAlign w:val="center"/>
          </w:tcPr>
          <w:p w14:paraId="760BDA3C">
            <w:pPr>
              <w:spacing w:line="240" w:lineRule="auto"/>
              <w:ind w:firstLine="0" w:firstLineChars="0"/>
              <w:jc w:val="center"/>
              <w:rPr>
                <w:color w:val="auto"/>
                <w:sz w:val="21"/>
                <w:szCs w:val="24"/>
              </w:rPr>
            </w:pPr>
            <w:r>
              <w:rPr>
                <w:color w:val="auto"/>
                <w:sz w:val="21"/>
                <w:szCs w:val="24"/>
              </w:rPr>
              <w:t>污水处理站水泵噪声和社会活动噪声</w:t>
            </w:r>
          </w:p>
        </w:tc>
        <w:tc>
          <w:tcPr>
            <w:tcW w:w="1729" w:type="dxa"/>
            <w:vAlign w:val="center"/>
          </w:tcPr>
          <w:p w14:paraId="14443ADB">
            <w:pPr>
              <w:widowControl/>
              <w:spacing w:line="240" w:lineRule="auto"/>
              <w:ind w:firstLine="0" w:firstLineChars="0"/>
              <w:jc w:val="center"/>
              <w:rPr>
                <w:color w:val="auto"/>
                <w:sz w:val="21"/>
                <w:szCs w:val="21"/>
              </w:rPr>
            </w:pPr>
            <w:r>
              <w:rPr>
                <w:color w:val="auto"/>
                <w:kern w:val="0"/>
                <w:sz w:val="21"/>
                <w:szCs w:val="21"/>
                <w:lang w:bidi="ar"/>
              </w:rPr>
              <w:t>等效</w:t>
            </w:r>
            <w:r>
              <w:rPr>
                <w:rFonts w:eastAsia="TimesNewRomanPSMT"/>
                <w:color w:val="auto"/>
                <w:kern w:val="0"/>
                <w:sz w:val="21"/>
                <w:szCs w:val="21"/>
                <w:lang w:bidi="ar"/>
              </w:rPr>
              <w:t>A</w:t>
            </w:r>
            <w:r>
              <w:rPr>
                <w:color w:val="auto"/>
                <w:kern w:val="0"/>
                <w:sz w:val="21"/>
                <w:szCs w:val="21"/>
                <w:lang w:bidi="ar"/>
              </w:rPr>
              <w:t>声级</w:t>
            </w:r>
          </w:p>
        </w:tc>
        <w:tc>
          <w:tcPr>
            <w:tcW w:w="2351" w:type="dxa"/>
            <w:vAlign w:val="center"/>
          </w:tcPr>
          <w:p w14:paraId="14484E67">
            <w:pPr>
              <w:spacing w:line="240" w:lineRule="auto"/>
              <w:ind w:firstLine="0" w:firstLineChars="0"/>
              <w:jc w:val="center"/>
              <w:rPr>
                <w:color w:val="auto"/>
                <w:sz w:val="21"/>
                <w:szCs w:val="21"/>
              </w:rPr>
            </w:pPr>
            <w:r>
              <w:rPr>
                <w:color w:val="auto"/>
                <w:sz w:val="21"/>
                <w:szCs w:val="21"/>
              </w:rPr>
              <w:t>设置基础减振、房间隔声</w:t>
            </w:r>
          </w:p>
        </w:tc>
        <w:tc>
          <w:tcPr>
            <w:tcW w:w="2280" w:type="dxa"/>
            <w:vAlign w:val="center"/>
          </w:tcPr>
          <w:p w14:paraId="73684C7F">
            <w:pPr>
              <w:spacing w:line="240" w:lineRule="auto"/>
              <w:ind w:firstLine="0" w:firstLineChars="0"/>
              <w:jc w:val="center"/>
              <w:rPr>
                <w:color w:val="auto"/>
                <w:sz w:val="21"/>
                <w:szCs w:val="21"/>
              </w:rPr>
            </w:pPr>
            <w:r>
              <w:rPr>
                <w:color w:val="auto"/>
                <w:sz w:val="21"/>
                <w:szCs w:val="21"/>
              </w:rPr>
              <w:t>《工业企业厂界环境噪声排放标准》（GB12348-2008）中的2类。</w:t>
            </w:r>
          </w:p>
        </w:tc>
      </w:tr>
      <w:tr w14:paraId="3EA7C4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6" w:hRule="atLeast"/>
        </w:trPr>
        <w:tc>
          <w:tcPr>
            <w:tcW w:w="1066" w:type="dxa"/>
            <w:vAlign w:val="center"/>
          </w:tcPr>
          <w:p w14:paraId="50CC6941">
            <w:pPr>
              <w:spacing w:line="240" w:lineRule="auto"/>
              <w:ind w:firstLine="0" w:firstLineChars="0"/>
              <w:jc w:val="center"/>
              <w:rPr>
                <w:color w:val="auto"/>
                <w:sz w:val="21"/>
                <w:szCs w:val="21"/>
              </w:rPr>
            </w:pPr>
            <w:r>
              <w:rPr>
                <w:color w:val="auto"/>
                <w:sz w:val="21"/>
                <w:szCs w:val="21"/>
              </w:rPr>
              <w:t>电磁辐射</w:t>
            </w:r>
          </w:p>
        </w:tc>
        <w:tc>
          <w:tcPr>
            <w:tcW w:w="1530" w:type="dxa"/>
            <w:gridSpan w:val="2"/>
            <w:vAlign w:val="center"/>
          </w:tcPr>
          <w:p w14:paraId="15AC30C7">
            <w:pPr>
              <w:spacing w:line="240" w:lineRule="auto"/>
              <w:ind w:firstLine="0" w:firstLineChars="0"/>
              <w:jc w:val="center"/>
              <w:rPr>
                <w:color w:val="auto"/>
                <w:sz w:val="21"/>
                <w:szCs w:val="21"/>
              </w:rPr>
            </w:pPr>
            <w:r>
              <w:rPr>
                <w:color w:val="auto"/>
                <w:sz w:val="21"/>
                <w:szCs w:val="21"/>
              </w:rPr>
              <w:t>/</w:t>
            </w:r>
          </w:p>
        </w:tc>
        <w:tc>
          <w:tcPr>
            <w:tcW w:w="1729" w:type="dxa"/>
            <w:vAlign w:val="center"/>
          </w:tcPr>
          <w:p w14:paraId="559CCEC9">
            <w:pPr>
              <w:spacing w:line="240" w:lineRule="auto"/>
              <w:ind w:firstLine="0" w:firstLineChars="0"/>
              <w:jc w:val="center"/>
              <w:rPr>
                <w:color w:val="auto"/>
                <w:sz w:val="21"/>
                <w:szCs w:val="21"/>
              </w:rPr>
            </w:pPr>
            <w:r>
              <w:rPr>
                <w:color w:val="auto"/>
                <w:sz w:val="21"/>
                <w:szCs w:val="21"/>
              </w:rPr>
              <w:t>/</w:t>
            </w:r>
          </w:p>
        </w:tc>
        <w:tc>
          <w:tcPr>
            <w:tcW w:w="2351" w:type="dxa"/>
            <w:vAlign w:val="center"/>
          </w:tcPr>
          <w:p w14:paraId="493E85DA">
            <w:pPr>
              <w:spacing w:line="240" w:lineRule="auto"/>
              <w:ind w:firstLine="0" w:firstLineChars="0"/>
              <w:jc w:val="center"/>
              <w:rPr>
                <w:color w:val="auto"/>
                <w:sz w:val="21"/>
                <w:szCs w:val="21"/>
              </w:rPr>
            </w:pPr>
            <w:r>
              <w:rPr>
                <w:color w:val="auto"/>
                <w:sz w:val="21"/>
                <w:szCs w:val="21"/>
              </w:rPr>
              <w:t>/</w:t>
            </w:r>
          </w:p>
        </w:tc>
        <w:tc>
          <w:tcPr>
            <w:tcW w:w="2280" w:type="dxa"/>
            <w:vAlign w:val="center"/>
          </w:tcPr>
          <w:p w14:paraId="313F08AE">
            <w:pPr>
              <w:spacing w:line="240" w:lineRule="auto"/>
              <w:ind w:firstLine="0" w:firstLineChars="0"/>
              <w:jc w:val="center"/>
              <w:rPr>
                <w:color w:val="auto"/>
                <w:sz w:val="21"/>
                <w:szCs w:val="21"/>
              </w:rPr>
            </w:pPr>
            <w:r>
              <w:rPr>
                <w:color w:val="auto"/>
                <w:sz w:val="21"/>
                <w:szCs w:val="21"/>
              </w:rPr>
              <w:t>/</w:t>
            </w:r>
          </w:p>
        </w:tc>
      </w:tr>
      <w:tr w14:paraId="556B6C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1066" w:type="dxa"/>
            <w:vMerge w:val="restart"/>
            <w:vAlign w:val="center"/>
          </w:tcPr>
          <w:p w14:paraId="7E47D8DE">
            <w:pPr>
              <w:spacing w:line="240" w:lineRule="auto"/>
              <w:ind w:firstLine="0" w:firstLineChars="0"/>
              <w:jc w:val="center"/>
              <w:rPr>
                <w:color w:val="auto"/>
                <w:sz w:val="21"/>
                <w:szCs w:val="21"/>
              </w:rPr>
            </w:pPr>
            <w:r>
              <w:rPr>
                <w:color w:val="auto"/>
                <w:sz w:val="21"/>
                <w:szCs w:val="21"/>
              </w:rPr>
              <w:t>固体废物</w:t>
            </w:r>
          </w:p>
        </w:tc>
        <w:tc>
          <w:tcPr>
            <w:tcW w:w="1530" w:type="dxa"/>
            <w:gridSpan w:val="2"/>
            <w:vAlign w:val="center"/>
          </w:tcPr>
          <w:p w14:paraId="576CA5B5">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生活垃圾</w:t>
            </w:r>
          </w:p>
        </w:tc>
        <w:tc>
          <w:tcPr>
            <w:tcW w:w="1729" w:type="dxa"/>
            <w:vAlign w:val="center"/>
          </w:tcPr>
          <w:p w14:paraId="2FE512DA">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生活垃圾</w:t>
            </w:r>
          </w:p>
        </w:tc>
        <w:tc>
          <w:tcPr>
            <w:tcW w:w="2351" w:type="dxa"/>
            <w:vAlign w:val="center"/>
          </w:tcPr>
          <w:p w14:paraId="3D554D3A">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经校内封闭式垃圾桶分类收集后，每天由环卫部门定期清运</w:t>
            </w:r>
          </w:p>
        </w:tc>
        <w:tc>
          <w:tcPr>
            <w:tcW w:w="2280" w:type="dxa"/>
            <w:vAlign w:val="center"/>
          </w:tcPr>
          <w:p w14:paraId="0E5E0DB5">
            <w:pPr>
              <w:spacing w:line="240" w:lineRule="auto"/>
              <w:ind w:firstLine="0" w:firstLineChars="0"/>
              <w:jc w:val="center"/>
              <w:rPr>
                <w:color w:val="auto"/>
                <w:sz w:val="21"/>
                <w:szCs w:val="21"/>
              </w:rPr>
            </w:pPr>
            <w:r>
              <w:rPr>
                <w:color w:val="auto"/>
                <w:sz w:val="21"/>
                <w:szCs w:val="21"/>
              </w:rPr>
              <w:t>/</w:t>
            </w:r>
          </w:p>
        </w:tc>
      </w:tr>
      <w:tr w14:paraId="43EF67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1066" w:type="dxa"/>
            <w:vMerge w:val="continue"/>
            <w:vAlign w:val="center"/>
          </w:tcPr>
          <w:p w14:paraId="5264E8CA">
            <w:pPr>
              <w:spacing w:line="240" w:lineRule="auto"/>
              <w:ind w:firstLine="0" w:firstLineChars="0"/>
              <w:jc w:val="center"/>
              <w:rPr>
                <w:color w:val="auto"/>
                <w:sz w:val="21"/>
                <w:szCs w:val="21"/>
              </w:rPr>
            </w:pPr>
          </w:p>
        </w:tc>
        <w:tc>
          <w:tcPr>
            <w:tcW w:w="1530" w:type="dxa"/>
            <w:gridSpan w:val="2"/>
            <w:vAlign w:val="center"/>
          </w:tcPr>
          <w:p w14:paraId="7F2D6560">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污水处理站</w:t>
            </w:r>
          </w:p>
        </w:tc>
        <w:tc>
          <w:tcPr>
            <w:tcW w:w="1729" w:type="dxa"/>
            <w:vAlign w:val="center"/>
          </w:tcPr>
          <w:p w14:paraId="634DBBCF">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污泥</w:t>
            </w:r>
          </w:p>
        </w:tc>
        <w:tc>
          <w:tcPr>
            <w:tcW w:w="2351" w:type="dxa"/>
            <w:vAlign w:val="center"/>
          </w:tcPr>
          <w:p w14:paraId="3D1282A1">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按《医疗机构水污染物排放标准》（GB18466－2005）中要求执行</w:t>
            </w:r>
          </w:p>
        </w:tc>
        <w:tc>
          <w:tcPr>
            <w:tcW w:w="2280" w:type="dxa"/>
            <w:vAlign w:val="center"/>
          </w:tcPr>
          <w:p w14:paraId="2F48E89D">
            <w:pPr>
              <w:spacing w:line="240" w:lineRule="auto"/>
              <w:ind w:firstLine="0" w:firstLineChars="0"/>
              <w:jc w:val="center"/>
              <w:rPr>
                <w:color w:val="auto"/>
                <w:sz w:val="21"/>
                <w:szCs w:val="21"/>
              </w:rPr>
            </w:pPr>
          </w:p>
        </w:tc>
      </w:tr>
      <w:tr w14:paraId="4742A1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072CA31C">
            <w:pPr>
              <w:spacing w:line="240" w:lineRule="auto"/>
              <w:ind w:firstLine="0" w:firstLineChars="0"/>
              <w:jc w:val="center"/>
              <w:rPr>
                <w:color w:val="auto"/>
                <w:sz w:val="21"/>
                <w:szCs w:val="21"/>
              </w:rPr>
            </w:pPr>
          </w:p>
        </w:tc>
        <w:tc>
          <w:tcPr>
            <w:tcW w:w="1530" w:type="dxa"/>
            <w:gridSpan w:val="2"/>
            <w:vAlign w:val="center"/>
          </w:tcPr>
          <w:p w14:paraId="1640E8C8">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医疗固废</w:t>
            </w:r>
          </w:p>
        </w:tc>
        <w:tc>
          <w:tcPr>
            <w:tcW w:w="1729" w:type="dxa"/>
            <w:vAlign w:val="center"/>
          </w:tcPr>
          <w:p w14:paraId="0C06023B">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医疗固废</w:t>
            </w:r>
          </w:p>
        </w:tc>
        <w:tc>
          <w:tcPr>
            <w:tcW w:w="2351" w:type="dxa"/>
            <w:vAlign w:val="center"/>
          </w:tcPr>
          <w:p w14:paraId="495D7C69">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暂存于院区内医疗废物暂存室内，定期交由有资质单位处置</w:t>
            </w:r>
          </w:p>
        </w:tc>
        <w:tc>
          <w:tcPr>
            <w:tcW w:w="2280" w:type="dxa"/>
            <w:vMerge w:val="restart"/>
            <w:vAlign w:val="center"/>
          </w:tcPr>
          <w:p w14:paraId="0AB5E8B5">
            <w:pPr>
              <w:spacing w:line="240" w:lineRule="auto"/>
              <w:ind w:firstLine="0" w:firstLineChars="0"/>
              <w:jc w:val="center"/>
              <w:rPr>
                <w:color w:val="auto"/>
                <w:sz w:val="21"/>
                <w:szCs w:val="21"/>
              </w:rPr>
            </w:pPr>
            <w:r>
              <w:rPr>
                <w:color w:val="auto"/>
                <w:sz w:val="21"/>
                <w:szCs w:val="21"/>
              </w:rPr>
              <w:t>危险废物执行《危险废物物贮存污染控制标准》（GB18579-2023）</w:t>
            </w:r>
          </w:p>
        </w:tc>
      </w:tr>
      <w:tr w14:paraId="7179DF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Merge w:val="continue"/>
            <w:vAlign w:val="center"/>
          </w:tcPr>
          <w:p w14:paraId="2DCA7CC3">
            <w:pPr>
              <w:spacing w:line="240" w:lineRule="auto"/>
              <w:ind w:firstLine="0" w:firstLineChars="0"/>
              <w:jc w:val="center"/>
              <w:rPr>
                <w:color w:val="auto"/>
                <w:sz w:val="21"/>
                <w:szCs w:val="21"/>
              </w:rPr>
            </w:pPr>
          </w:p>
        </w:tc>
        <w:tc>
          <w:tcPr>
            <w:tcW w:w="1530" w:type="dxa"/>
            <w:gridSpan w:val="2"/>
            <w:vAlign w:val="center"/>
          </w:tcPr>
          <w:p w14:paraId="2936E569">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紫外消毒</w:t>
            </w:r>
          </w:p>
        </w:tc>
        <w:tc>
          <w:tcPr>
            <w:tcW w:w="1729" w:type="dxa"/>
            <w:vAlign w:val="center"/>
          </w:tcPr>
          <w:p w14:paraId="1B559AC1">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废紫外灯管</w:t>
            </w:r>
          </w:p>
        </w:tc>
        <w:tc>
          <w:tcPr>
            <w:tcW w:w="2351" w:type="dxa"/>
            <w:vAlign w:val="center"/>
          </w:tcPr>
          <w:p w14:paraId="462296DF">
            <w:pPr>
              <w:pStyle w:val="16"/>
              <w:tabs>
                <w:tab w:val="left" w:pos="1110"/>
              </w:tabs>
              <w:adjustRightInd w:val="0"/>
              <w:snapToGrid w:val="0"/>
              <w:spacing w:line="240" w:lineRule="auto"/>
              <w:ind w:firstLine="0" w:firstLineChars="0"/>
              <w:jc w:val="center"/>
              <w:rPr>
                <w:rFonts w:eastAsia="宋体"/>
                <w:color w:val="auto"/>
                <w:sz w:val="21"/>
                <w:szCs w:val="21"/>
              </w:rPr>
            </w:pPr>
            <w:r>
              <w:rPr>
                <w:rFonts w:eastAsia="宋体"/>
                <w:color w:val="auto"/>
                <w:sz w:val="21"/>
                <w:szCs w:val="21"/>
              </w:rPr>
              <w:t>废紫外灯管属于含汞类废物，暂存于医疗废物暂存间内，委托有资质的单位处置</w:t>
            </w:r>
          </w:p>
        </w:tc>
        <w:tc>
          <w:tcPr>
            <w:tcW w:w="2280" w:type="dxa"/>
            <w:vMerge w:val="continue"/>
            <w:vAlign w:val="center"/>
          </w:tcPr>
          <w:p w14:paraId="5C8E9357">
            <w:pPr>
              <w:spacing w:line="240" w:lineRule="auto"/>
              <w:ind w:firstLine="0" w:firstLineChars="0"/>
              <w:jc w:val="center"/>
              <w:rPr>
                <w:color w:val="auto"/>
                <w:sz w:val="21"/>
                <w:szCs w:val="21"/>
              </w:rPr>
            </w:pPr>
          </w:p>
        </w:tc>
      </w:tr>
      <w:tr w14:paraId="66B63E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6818A78E">
            <w:pPr>
              <w:spacing w:line="240" w:lineRule="auto"/>
              <w:ind w:firstLine="0" w:firstLineChars="0"/>
              <w:jc w:val="center"/>
              <w:rPr>
                <w:color w:val="auto"/>
                <w:sz w:val="21"/>
                <w:szCs w:val="21"/>
              </w:rPr>
            </w:pPr>
            <w:r>
              <w:rPr>
                <w:color w:val="auto"/>
                <w:sz w:val="21"/>
                <w:szCs w:val="21"/>
              </w:rPr>
              <w:t>土壤及地下水污染防治措施</w:t>
            </w:r>
          </w:p>
        </w:tc>
        <w:tc>
          <w:tcPr>
            <w:tcW w:w="7890" w:type="dxa"/>
            <w:gridSpan w:val="5"/>
            <w:vAlign w:val="center"/>
          </w:tcPr>
          <w:p w14:paraId="7F980C7C">
            <w:pPr>
              <w:spacing w:line="240" w:lineRule="auto"/>
              <w:ind w:firstLine="0" w:firstLineChars="0"/>
              <w:jc w:val="center"/>
              <w:rPr>
                <w:color w:val="auto"/>
                <w:sz w:val="21"/>
                <w:szCs w:val="21"/>
              </w:rPr>
            </w:pPr>
            <w:r>
              <w:rPr>
                <w:color w:val="auto"/>
                <w:sz w:val="21"/>
                <w:szCs w:val="21"/>
              </w:rPr>
              <w:t>结合建设项目各区域等泄露可能造成地下水环境污染，提出分区防渗分为重点防渗区和一般防渗区。重点防渗区主要为医疗废物暂存间（由医疗废物暂存处、医疗废物登记处和医疗废物收集箱清洗间组成）已采取防渗措施；一般防渗区为化粪池，依托原有。</w:t>
            </w:r>
          </w:p>
        </w:tc>
      </w:tr>
      <w:tr w14:paraId="188075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0" w:hRule="atLeast"/>
        </w:trPr>
        <w:tc>
          <w:tcPr>
            <w:tcW w:w="1066" w:type="dxa"/>
            <w:vAlign w:val="center"/>
          </w:tcPr>
          <w:p w14:paraId="3F56AAA8">
            <w:pPr>
              <w:spacing w:line="240" w:lineRule="auto"/>
              <w:ind w:firstLine="0" w:firstLineChars="0"/>
              <w:jc w:val="center"/>
              <w:rPr>
                <w:color w:val="auto"/>
                <w:sz w:val="21"/>
                <w:szCs w:val="21"/>
              </w:rPr>
            </w:pPr>
            <w:r>
              <w:rPr>
                <w:color w:val="auto"/>
                <w:sz w:val="21"/>
                <w:szCs w:val="21"/>
              </w:rPr>
              <w:t>生态保护措施</w:t>
            </w:r>
          </w:p>
        </w:tc>
        <w:tc>
          <w:tcPr>
            <w:tcW w:w="1530" w:type="dxa"/>
            <w:gridSpan w:val="2"/>
            <w:vAlign w:val="center"/>
          </w:tcPr>
          <w:p w14:paraId="33807C63">
            <w:pPr>
              <w:spacing w:line="240" w:lineRule="auto"/>
              <w:ind w:firstLine="0" w:firstLineChars="0"/>
              <w:jc w:val="center"/>
              <w:rPr>
                <w:color w:val="auto"/>
                <w:sz w:val="21"/>
                <w:szCs w:val="21"/>
              </w:rPr>
            </w:pPr>
            <w:r>
              <w:rPr>
                <w:color w:val="auto"/>
                <w:sz w:val="21"/>
                <w:szCs w:val="21"/>
              </w:rPr>
              <w:t>/</w:t>
            </w:r>
          </w:p>
        </w:tc>
        <w:tc>
          <w:tcPr>
            <w:tcW w:w="1729" w:type="dxa"/>
            <w:vAlign w:val="center"/>
          </w:tcPr>
          <w:p w14:paraId="2D08A748">
            <w:pPr>
              <w:spacing w:line="240" w:lineRule="auto"/>
              <w:ind w:firstLine="0" w:firstLineChars="0"/>
              <w:jc w:val="center"/>
              <w:rPr>
                <w:color w:val="auto"/>
                <w:sz w:val="21"/>
                <w:szCs w:val="21"/>
              </w:rPr>
            </w:pPr>
            <w:r>
              <w:rPr>
                <w:color w:val="auto"/>
                <w:sz w:val="21"/>
                <w:szCs w:val="21"/>
              </w:rPr>
              <w:t>/</w:t>
            </w:r>
          </w:p>
        </w:tc>
        <w:tc>
          <w:tcPr>
            <w:tcW w:w="2351" w:type="dxa"/>
            <w:vAlign w:val="center"/>
          </w:tcPr>
          <w:p w14:paraId="724C7BA6">
            <w:pPr>
              <w:spacing w:line="240" w:lineRule="auto"/>
              <w:ind w:firstLine="0" w:firstLineChars="0"/>
              <w:jc w:val="center"/>
              <w:rPr>
                <w:color w:val="auto"/>
                <w:sz w:val="21"/>
                <w:szCs w:val="21"/>
              </w:rPr>
            </w:pPr>
            <w:r>
              <w:rPr>
                <w:color w:val="auto"/>
                <w:sz w:val="21"/>
                <w:szCs w:val="21"/>
              </w:rPr>
              <w:t>/</w:t>
            </w:r>
          </w:p>
        </w:tc>
        <w:tc>
          <w:tcPr>
            <w:tcW w:w="2280" w:type="dxa"/>
            <w:vAlign w:val="center"/>
          </w:tcPr>
          <w:p w14:paraId="636BE6AA">
            <w:pPr>
              <w:spacing w:line="240" w:lineRule="auto"/>
              <w:ind w:firstLine="0" w:firstLineChars="0"/>
              <w:jc w:val="center"/>
              <w:rPr>
                <w:color w:val="auto"/>
                <w:sz w:val="21"/>
                <w:szCs w:val="21"/>
              </w:rPr>
            </w:pPr>
            <w:r>
              <w:rPr>
                <w:color w:val="auto"/>
                <w:sz w:val="21"/>
                <w:szCs w:val="21"/>
              </w:rPr>
              <w:t>/</w:t>
            </w:r>
          </w:p>
        </w:tc>
      </w:tr>
      <w:tr w14:paraId="7EF941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6" w:type="dxa"/>
            <w:vAlign w:val="center"/>
          </w:tcPr>
          <w:p w14:paraId="2EEDEB40">
            <w:pPr>
              <w:spacing w:line="240" w:lineRule="auto"/>
              <w:ind w:firstLine="0" w:firstLineChars="0"/>
              <w:jc w:val="center"/>
              <w:rPr>
                <w:color w:val="auto"/>
                <w:sz w:val="21"/>
                <w:szCs w:val="21"/>
              </w:rPr>
            </w:pPr>
            <w:r>
              <w:rPr>
                <w:color w:val="auto"/>
                <w:sz w:val="21"/>
                <w:szCs w:val="21"/>
              </w:rPr>
              <w:t>环境风险</w:t>
            </w:r>
          </w:p>
          <w:p w14:paraId="56DECFF9">
            <w:pPr>
              <w:spacing w:line="240" w:lineRule="auto"/>
              <w:ind w:firstLine="0" w:firstLineChars="0"/>
              <w:jc w:val="center"/>
              <w:rPr>
                <w:color w:val="auto"/>
                <w:sz w:val="21"/>
                <w:szCs w:val="21"/>
              </w:rPr>
            </w:pPr>
            <w:r>
              <w:rPr>
                <w:color w:val="auto"/>
                <w:sz w:val="21"/>
                <w:szCs w:val="21"/>
              </w:rPr>
              <w:t>防治措施</w:t>
            </w:r>
          </w:p>
        </w:tc>
        <w:tc>
          <w:tcPr>
            <w:tcW w:w="7890" w:type="dxa"/>
            <w:gridSpan w:val="5"/>
            <w:vAlign w:val="center"/>
          </w:tcPr>
          <w:p w14:paraId="68353B6C">
            <w:pPr>
              <w:spacing w:line="240" w:lineRule="auto"/>
              <w:ind w:firstLine="420"/>
              <w:rPr>
                <w:color w:val="auto"/>
                <w:sz w:val="21"/>
                <w:szCs w:val="21"/>
                <w:highlight w:val="none"/>
              </w:rPr>
            </w:pPr>
            <w:r>
              <w:rPr>
                <w:color w:val="auto"/>
                <w:sz w:val="21"/>
                <w:szCs w:val="21"/>
              </w:rPr>
              <w:t>（1）</w:t>
            </w:r>
            <w:r>
              <w:rPr>
                <w:rFonts w:hint="eastAsia"/>
                <w:color w:val="auto"/>
                <w:sz w:val="21"/>
                <w:szCs w:val="21"/>
                <w:lang w:val="en-US" w:eastAsia="zh-CN"/>
              </w:rPr>
              <w:t>两边院区</w:t>
            </w:r>
            <w:r>
              <w:rPr>
                <w:color w:val="auto"/>
                <w:sz w:val="21"/>
                <w:szCs w:val="21"/>
              </w:rPr>
              <w:t>已设事故应急池</w:t>
            </w:r>
            <w:r>
              <w:rPr>
                <w:color w:val="auto"/>
                <w:sz w:val="21"/>
                <w:szCs w:val="21"/>
                <w:highlight w:val="none"/>
              </w:rPr>
              <w:t>。</w:t>
            </w:r>
          </w:p>
          <w:p w14:paraId="71046E12">
            <w:pPr>
              <w:spacing w:line="240" w:lineRule="auto"/>
              <w:ind w:firstLine="420"/>
              <w:rPr>
                <w:color w:val="auto"/>
                <w:sz w:val="21"/>
                <w:szCs w:val="21"/>
              </w:rPr>
            </w:pPr>
            <w:r>
              <w:rPr>
                <w:color w:val="auto"/>
                <w:sz w:val="21"/>
                <w:szCs w:val="21"/>
                <w:highlight w:val="none"/>
              </w:rPr>
              <w:t>（2）配置备用人工投加消毒剂设</w:t>
            </w:r>
            <w:r>
              <w:rPr>
                <w:color w:val="auto"/>
                <w:sz w:val="21"/>
                <w:szCs w:val="21"/>
              </w:rPr>
              <w:t>施，污水处理站故障情况手动投加消毒剂；</w:t>
            </w:r>
          </w:p>
          <w:p w14:paraId="02120B0A">
            <w:pPr>
              <w:spacing w:line="240" w:lineRule="auto"/>
              <w:ind w:firstLine="420"/>
              <w:rPr>
                <w:color w:val="auto"/>
                <w:sz w:val="21"/>
                <w:szCs w:val="21"/>
              </w:rPr>
            </w:pPr>
            <w:r>
              <w:rPr>
                <w:color w:val="auto"/>
                <w:sz w:val="21"/>
                <w:szCs w:val="21"/>
              </w:rPr>
              <w:t>（3）项目区内应按满足分区防渗：</w:t>
            </w:r>
          </w:p>
          <w:p w14:paraId="51BDB5F1">
            <w:pPr>
              <w:spacing w:line="240" w:lineRule="auto"/>
              <w:ind w:firstLine="420"/>
              <w:rPr>
                <w:color w:val="auto"/>
                <w:sz w:val="21"/>
                <w:szCs w:val="21"/>
              </w:rPr>
            </w:pPr>
            <w:r>
              <w:rPr>
                <w:rFonts w:hint="eastAsia" w:ascii="宋体" w:hAnsi="宋体" w:cs="宋体"/>
                <w:color w:val="auto"/>
                <w:sz w:val="21"/>
                <w:szCs w:val="21"/>
              </w:rPr>
              <w:t>①</w:t>
            </w:r>
            <w:r>
              <w:rPr>
                <w:color w:val="auto"/>
                <w:sz w:val="21"/>
                <w:szCs w:val="21"/>
              </w:rPr>
              <w:t>重点防渗区：</w:t>
            </w:r>
            <w:r>
              <w:rPr>
                <w:rFonts w:hint="eastAsia"/>
                <w:color w:val="auto"/>
                <w:sz w:val="21"/>
                <w:szCs w:val="21"/>
                <w:lang w:eastAsia="zh-CN"/>
              </w:rPr>
              <w:t>医疗</w:t>
            </w:r>
            <w:r>
              <w:rPr>
                <w:color w:val="auto"/>
                <w:sz w:val="21"/>
                <w:szCs w:val="21"/>
              </w:rPr>
              <w:t>废物暂存间已采取防渗；</w:t>
            </w:r>
            <w:r>
              <w:rPr>
                <w:rFonts w:hint="eastAsia" w:ascii="宋体" w:hAnsi="宋体" w:cs="宋体"/>
                <w:color w:val="auto"/>
                <w:sz w:val="21"/>
                <w:szCs w:val="21"/>
              </w:rPr>
              <w:t>②</w:t>
            </w:r>
            <w:r>
              <w:rPr>
                <w:color w:val="auto"/>
                <w:sz w:val="21"/>
                <w:szCs w:val="21"/>
              </w:rPr>
              <w:t>一般防渗区：化粪池、污水处理设施等依托原有；</w:t>
            </w:r>
            <w:r>
              <w:rPr>
                <w:rFonts w:hint="eastAsia" w:ascii="宋体" w:hAnsi="宋体" w:cs="宋体"/>
                <w:color w:val="auto"/>
                <w:sz w:val="21"/>
                <w:szCs w:val="21"/>
              </w:rPr>
              <w:t>③</w:t>
            </w:r>
            <w:r>
              <w:rPr>
                <w:color w:val="auto"/>
                <w:sz w:val="21"/>
                <w:szCs w:val="21"/>
              </w:rPr>
              <w:t>简单防渗区：其他区域进行水泥硬化。</w:t>
            </w:r>
          </w:p>
          <w:p w14:paraId="5CB4F3AE">
            <w:pPr>
              <w:spacing w:line="240" w:lineRule="auto"/>
              <w:ind w:firstLine="420"/>
              <w:rPr>
                <w:color w:val="auto"/>
                <w:sz w:val="21"/>
                <w:szCs w:val="21"/>
              </w:rPr>
            </w:pPr>
            <w:r>
              <w:rPr>
                <w:color w:val="auto"/>
                <w:sz w:val="21"/>
                <w:szCs w:val="21"/>
              </w:rPr>
              <w:t>（4）贮存室配备专业知识的技术人员管理。</w:t>
            </w:r>
          </w:p>
          <w:p w14:paraId="6ADFC307">
            <w:pPr>
              <w:spacing w:line="240" w:lineRule="auto"/>
              <w:ind w:firstLine="420"/>
              <w:rPr>
                <w:color w:val="auto"/>
                <w:sz w:val="21"/>
                <w:szCs w:val="21"/>
              </w:rPr>
            </w:pPr>
            <w:r>
              <w:rPr>
                <w:color w:val="auto"/>
                <w:sz w:val="21"/>
                <w:szCs w:val="21"/>
              </w:rPr>
              <w:t>（5）及时编制突发环境应急预案，并在生态环境部门备案，及时演练。</w:t>
            </w:r>
          </w:p>
        </w:tc>
      </w:tr>
      <w:tr w14:paraId="7F5001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47" w:hRule="atLeast"/>
        </w:trPr>
        <w:tc>
          <w:tcPr>
            <w:tcW w:w="1066" w:type="dxa"/>
            <w:vAlign w:val="center"/>
          </w:tcPr>
          <w:p w14:paraId="1300BBB3">
            <w:pPr>
              <w:spacing w:line="240" w:lineRule="auto"/>
              <w:ind w:firstLine="0" w:firstLineChars="0"/>
              <w:jc w:val="center"/>
              <w:rPr>
                <w:color w:val="auto"/>
                <w:sz w:val="21"/>
                <w:szCs w:val="21"/>
              </w:rPr>
            </w:pPr>
            <w:r>
              <w:rPr>
                <w:color w:val="auto"/>
                <w:sz w:val="21"/>
                <w:szCs w:val="21"/>
              </w:rPr>
              <w:t>其他环境</w:t>
            </w:r>
          </w:p>
          <w:p w14:paraId="5409F426">
            <w:pPr>
              <w:spacing w:line="240" w:lineRule="auto"/>
              <w:ind w:firstLine="0" w:firstLineChars="0"/>
              <w:jc w:val="center"/>
              <w:rPr>
                <w:color w:val="auto"/>
                <w:sz w:val="21"/>
                <w:szCs w:val="21"/>
              </w:rPr>
            </w:pPr>
            <w:r>
              <w:rPr>
                <w:color w:val="auto"/>
                <w:sz w:val="21"/>
                <w:szCs w:val="21"/>
              </w:rPr>
              <w:t>管理要求</w:t>
            </w:r>
          </w:p>
        </w:tc>
        <w:tc>
          <w:tcPr>
            <w:tcW w:w="7890" w:type="dxa"/>
            <w:gridSpan w:val="5"/>
            <w:vAlign w:val="center"/>
          </w:tcPr>
          <w:p w14:paraId="48C420BB">
            <w:pPr>
              <w:spacing w:line="240" w:lineRule="auto"/>
              <w:ind w:firstLine="420"/>
              <w:rPr>
                <w:color w:val="auto"/>
                <w:sz w:val="21"/>
                <w:szCs w:val="21"/>
              </w:rPr>
            </w:pPr>
            <w:r>
              <w:rPr>
                <w:color w:val="auto"/>
                <w:sz w:val="21"/>
                <w:szCs w:val="21"/>
              </w:rPr>
              <w:t>一、环境管理</w:t>
            </w:r>
          </w:p>
          <w:p w14:paraId="6D0424B8">
            <w:pPr>
              <w:spacing w:line="240" w:lineRule="auto"/>
              <w:ind w:firstLine="420"/>
              <w:rPr>
                <w:color w:val="auto"/>
                <w:sz w:val="21"/>
                <w:szCs w:val="21"/>
              </w:rPr>
            </w:pPr>
            <w:r>
              <w:rPr>
                <w:color w:val="auto"/>
                <w:sz w:val="21"/>
                <w:szCs w:val="21"/>
              </w:rPr>
              <w:t>项目运营期会对周边环境造成一定影响，因此项目运营必须做到严格、科学管理，并同时进行环境监测，以及时、准确、全面地了解项目环保措施的落实情况，掌握污染动态，发现潜在的不利影响，从而及时采取有效的环保措施以减轻和消除不利影响，使环保设施发挥最佳功效，把对环境的不利影响降低到最低限，使建设项目的社会效益和环境效益得到有机的统一。项目运行期的环境管理工作由建设单位安排专人负责，将环保工作纳入日常的管理工作中。对厂区的环境管理工作进行监督。</w:t>
            </w:r>
          </w:p>
          <w:p w14:paraId="1BFFF8A5">
            <w:pPr>
              <w:spacing w:line="240" w:lineRule="auto"/>
              <w:ind w:firstLine="420"/>
              <w:rPr>
                <w:color w:val="auto"/>
                <w:sz w:val="21"/>
                <w:szCs w:val="21"/>
              </w:rPr>
            </w:pPr>
            <w:r>
              <w:rPr>
                <w:color w:val="auto"/>
                <w:sz w:val="21"/>
                <w:szCs w:val="21"/>
              </w:rPr>
              <w:t>(1）加强污染治理设施的管理和维护，保证净化效果;</w:t>
            </w:r>
          </w:p>
          <w:p w14:paraId="66A639B9">
            <w:pPr>
              <w:spacing w:line="240" w:lineRule="auto"/>
              <w:ind w:firstLine="420"/>
              <w:rPr>
                <w:color w:val="auto"/>
                <w:sz w:val="21"/>
                <w:szCs w:val="21"/>
              </w:rPr>
            </w:pPr>
            <w:r>
              <w:rPr>
                <w:color w:val="auto"/>
                <w:sz w:val="21"/>
                <w:szCs w:val="21"/>
              </w:rPr>
              <w:t>(2）建立污染治理设施运行台账;</w:t>
            </w:r>
          </w:p>
          <w:p w14:paraId="353BC4D1">
            <w:pPr>
              <w:spacing w:line="240" w:lineRule="auto"/>
              <w:ind w:firstLine="420"/>
              <w:rPr>
                <w:color w:val="auto"/>
                <w:sz w:val="21"/>
                <w:szCs w:val="21"/>
              </w:rPr>
            </w:pPr>
            <w:r>
              <w:rPr>
                <w:color w:val="auto"/>
                <w:sz w:val="21"/>
                <w:szCs w:val="21"/>
              </w:rPr>
              <w:t>(3）按环保部门及行业主管部门要求，开展台帐记录，如实填报企业环境统计报表、污染源申报登记表。</w:t>
            </w:r>
          </w:p>
          <w:p w14:paraId="7584DB66">
            <w:pPr>
              <w:spacing w:line="240" w:lineRule="auto"/>
              <w:ind w:firstLine="420"/>
              <w:rPr>
                <w:color w:val="auto"/>
                <w:sz w:val="21"/>
                <w:szCs w:val="21"/>
              </w:rPr>
            </w:pPr>
            <w:r>
              <w:rPr>
                <w:color w:val="auto"/>
                <w:sz w:val="21"/>
                <w:szCs w:val="21"/>
              </w:rPr>
              <w:t>(4）每天定期或不定期用余氯比色计对消毒池出口进行总余氯监测，确保消毒池的消毒效率。</w:t>
            </w:r>
          </w:p>
          <w:p w14:paraId="4EA92DA1">
            <w:pPr>
              <w:spacing w:line="240" w:lineRule="auto"/>
              <w:ind w:firstLine="420"/>
              <w:rPr>
                <w:color w:val="auto"/>
                <w:sz w:val="21"/>
                <w:szCs w:val="21"/>
              </w:rPr>
            </w:pPr>
            <w:r>
              <w:rPr>
                <w:color w:val="auto"/>
                <w:sz w:val="21"/>
                <w:szCs w:val="21"/>
              </w:rPr>
              <w:t>二、排污许可</w:t>
            </w:r>
          </w:p>
          <w:p w14:paraId="2C6535BB">
            <w:pPr>
              <w:spacing w:line="240" w:lineRule="auto"/>
              <w:ind w:firstLine="420"/>
              <w:rPr>
                <w:color w:val="auto"/>
                <w:sz w:val="21"/>
                <w:szCs w:val="21"/>
              </w:rPr>
            </w:pPr>
            <w:r>
              <w:rPr>
                <w:color w:val="auto"/>
                <w:sz w:val="21"/>
                <w:szCs w:val="21"/>
              </w:rPr>
              <w:t>企业及时申请排污许可证变更。</w:t>
            </w:r>
          </w:p>
          <w:p w14:paraId="4EC06959">
            <w:pPr>
              <w:spacing w:line="240" w:lineRule="auto"/>
              <w:ind w:firstLine="420"/>
              <w:rPr>
                <w:color w:val="auto"/>
                <w:sz w:val="21"/>
                <w:szCs w:val="21"/>
              </w:rPr>
            </w:pPr>
            <w:r>
              <w:rPr>
                <w:color w:val="auto"/>
                <w:sz w:val="21"/>
                <w:szCs w:val="21"/>
              </w:rPr>
              <w:t>三、环保设施竣工验收</w:t>
            </w:r>
          </w:p>
          <w:p w14:paraId="00122DF5">
            <w:pPr>
              <w:spacing w:line="240" w:lineRule="auto"/>
              <w:ind w:firstLine="420"/>
              <w:rPr>
                <w:color w:val="auto"/>
                <w:sz w:val="21"/>
                <w:szCs w:val="21"/>
              </w:rPr>
            </w:pPr>
            <w:r>
              <w:rPr>
                <w:color w:val="auto"/>
                <w:sz w:val="21"/>
                <w:szCs w:val="21"/>
              </w:rPr>
              <w:t>根据《建设项目环境保护管理条例》(2017年7月16日修订)，建设项目设计和施工中应严格落实“三同时”制度，建设单位应按照国家及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6F13E67E">
            <w:pPr>
              <w:spacing w:line="240" w:lineRule="auto"/>
              <w:ind w:firstLine="420"/>
              <w:rPr>
                <w:color w:val="auto"/>
                <w:sz w:val="21"/>
                <w:szCs w:val="21"/>
              </w:rPr>
            </w:pPr>
            <w:r>
              <w:rPr>
                <w:color w:val="auto"/>
                <w:sz w:val="21"/>
                <w:szCs w:val="21"/>
              </w:rPr>
              <w:t>建设单位是建设项目值工环境保护验收的责任主体，应当按照《建设项目竣工环境保护验收暂行办法》（国环规环评（2017）4号)、《建设项目竣工环境保护验收技术指南污染影响类》(生态环境部办公厅2018年5月16日印发）、《建设项目竣工环境保护验收技术规范医疗机构》HJ794-2016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中弄虚作假。</w:t>
            </w:r>
          </w:p>
          <w:p w14:paraId="1E15DF62">
            <w:pPr>
              <w:spacing w:line="240" w:lineRule="auto"/>
              <w:ind w:firstLine="420"/>
              <w:rPr>
                <w:color w:val="auto"/>
                <w:sz w:val="21"/>
                <w:szCs w:val="21"/>
              </w:rPr>
            </w:pPr>
            <w:r>
              <w:rPr>
                <w:color w:val="auto"/>
                <w:sz w:val="21"/>
                <w:szCs w:val="21"/>
              </w:rPr>
              <w:t>建设项目竣工后，除需要取得排污许可证的水和大气污染防治设施外，其他环境保护设施的验收期限一般不超过3个月，需要对该类环境保护设施进行调试或者调整的，验收期限可以适当延期，但最长不超过12个月。企业应在项目建设完成后及时对环保设施讲行验收。</w:t>
            </w:r>
          </w:p>
        </w:tc>
      </w:tr>
    </w:tbl>
    <w:p w14:paraId="1096F814">
      <w:pPr>
        <w:pStyle w:val="3"/>
        <w:jc w:val="center"/>
        <w:rPr>
          <w:color w:val="auto"/>
        </w:rPr>
      </w:pPr>
      <w:bookmarkStart w:id="18" w:name="_Toc12811"/>
      <w:r>
        <w:rPr>
          <w:color w:val="auto"/>
        </w:rPr>
        <w:t>六、结论</w:t>
      </w:r>
      <w:bookmarkEnd w:id="18"/>
    </w:p>
    <w:tbl>
      <w:tblPr>
        <w:tblStyle w:val="1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8420"/>
      </w:tblGrid>
      <w:tr w14:paraId="07E81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12607" w:hRule="atLeast"/>
          <w:jc w:val="center"/>
        </w:trPr>
        <w:tc>
          <w:tcPr>
            <w:tcW w:w="8420" w:type="dxa"/>
          </w:tcPr>
          <w:p w14:paraId="4CEB6220">
            <w:pPr>
              <w:widowControl/>
              <w:jc w:val="both"/>
              <w:rPr>
                <w:rFonts w:hint="eastAsia"/>
                <w:color w:val="auto"/>
                <w:kern w:val="0"/>
                <w:szCs w:val="24"/>
                <w:lang w:eastAsia="zh-CN" w:bidi="ar"/>
              </w:rPr>
            </w:pPr>
            <w:r>
              <w:rPr>
                <w:color w:val="auto"/>
                <w:szCs w:val="24"/>
              </w:rPr>
              <w:t>玉溪市江川区星云街道湖滨路北段14号</w:t>
            </w:r>
            <w:r>
              <w:rPr>
                <w:color w:val="auto"/>
              </w:rPr>
              <w:t>，</w:t>
            </w:r>
            <w:r>
              <w:rPr>
                <w:rFonts w:hint="eastAsia"/>
                <w:color w:val="auto"/>
                <w:lang w:val="en-US" w:eastAsia="zh-CN"/>
              </w:rPr>
              <w:t>江川区医共体总医院现址内；玉溪市江川区江城镇振兴街53号，江城镇卫生院现址内</w:t>
            </w:r>
            <w:r>
              <w:rPr>
                <w:color w:val="auto"/>
                <w:kern w:val="0"/>
                <w:szCs w:val="24"/>
                <w:lang w:bidi="ar"/>
              </w:rPr>
              <w:t>，本项目总投资</w:t>
            </w:r>
            <w:r>
              <w:rPr>
                <w:rFonts w:hint="eastAsia"/>
                <w:color w:val="auto"/>
                <w:lang w:val="en-US" w:eastAsia="zh-CN"/>
              </w:rPr>
              <w:t>5750</w:t>
            </w:r>
            <w:r>
              <w:rPr>
                <w:color w:val="auto"/>
                <w:kern w:val="0"/>
                <w:szCs w:val="24"/>
                <w:lang w:bidi="ar"/>
              </w:rPr>
              <w:t>万元</w:t>
            </w:r>
            <w:r>
              <w:rPr>
                <w:rFonts w:hint="eastAsia"/>
                <w:color w:val="auto"/>
                <w:kern w:val="0"/>
                <w:szCs w:val="24"/>
                <w:lang w:eastAsia="zh-CN" w:bidi="ar"/>
              </w:rPr>
              <w:t>。</w:t>
            </w:r>
          </w:p>
          <w:p w14:paraId="697E587E">
            <w:pPr>
              <w:widowControl/>
              <w:ind w:firstLine="480"/>
              <w:jc w:val="left"/>
              <w:rPr>
                <w:rFonts w:hint="eastAsia"/>
                <w:color w:val="auto"/>
                <w:kern w:val="0"/>
                <w:szCs w:val="24"/>
                <w:lang w:val="en-US" w:eastAsia="zh-CN" w:bidi="ar"/>
              </w:rPr>
            </w:pPr>
            <w:r>
              <w:rPr>
                <w:rFonts w:hint="eastAsia"/>
                <w:color w:val="auto"/>
                <w:kern w:val="0"/>
                <w:szCs w:val="24"/>
                <w:lang w:val="en-US" w:eastAsia="zh-CN" w:bidi="ar"/>
              </w:rPr>
              <w:t>1、江川区县域医共体资源共享中心和中心药房建设工程。购置医疗设备50台套。建筑面积:2935.5㎡，其中:医学影像中心改造572.00㎡、心电诊断改造467.00㎡、医学检验改造1040.00㎡、中心药房改造280.5㎡，另新建消毒供应中心576.00㎡。</w:t>
            </w:r>
          </w:p>
          <w:p w14:paraId="2455EB28">
            <w:pPr>
              <w:widowControl/>
              <w:ind w:firstLine="480"/>
              <w:jc w:val="left"/>
              <w:rPr>
                <w:rFonts w:hint="eastAsia"/>
                <w:color w:val="auto"/>
                <w:kern w:val="0"/>
                <w:szCs w:val="24"/>
                <w:lang w:val="en-US" w:eastAsia="zh-CN" w:bidi="ar"/>
              </w:rPr>
            </w:pPr>
            <w:r>
              <w:rPr>
                <w:rFonts w:hint="eastAsia"/>
                <w:color w:val="auto"/>
                <w:kern w:val="0"/>
                <w:szCs w:val="24"/>
                <w:lang w:val="en-US" w:eastAsia="zh-CN" w:bidi="ar"/>
              </w:rPr>
              <w:t>2、江城镇医疗卫生次中心建设工程。购置医疗设备3套。总建筑面积:5304.5㎡，其中:地上新建建筑面积:4864.82㎡，地下新建建筑面积439.68㎡;改造建筑面积:1302.00㎡;卫生院原有建筑拆除4254.83㎡。新建普通病房、ICU病房、手术室、地下室及辅助业务用房，新增床位45床。对现有业务楼内部功能提升改造，现有建筑外立面提升改造，院区绿化提升改造，相关附属设施改造提升。</w:t>
            </w:r>
          </w:p>
          <w:p w14:paraId="7A808E6A">
            <w:pPr>
              <w:widowControl/>
              <w:ind w:firstLine="480"/>
              <w:jc w:val="left"/>
              <w:rPr>
                <w:color w:val="auto"/>
              </w:rPr>
            </w:pPr>
            <w:r>
              <w:rPr>
                <w:color w:val="auto"/>
                <w:kern w:val="0"/>
                <w:szCs w:val="24"/>
                <w:lang w:bidi="ar"/>
              </w:rPr>
              <w:t>项目的建设符合国家产业政策，符合规划要求，项目选址可行，在认真落实评价提出的污染物防治措施的情况下，各种污染物可以做到达标排放或合理处置，对周围环境影响较小，从环保角度分析，本项目建设可行。</w:t>
            </w:r>
          </w:p>
          <w:p w14:paraId="2C896D78">
            <w:pPr>
              <w:widowControl/>
              <w:ind w:firstLine="480"/>
              <w:jc w:val="left"/>
              <w:rPr>
                <w:color w:val="auto"/>
              </w:rPr>
            </w:pPr>
          </w:p>
          <w:p w14:paraId="0BC61901">
            <w:pPr>
              <w:spacing w:line="600" w:lineRule="exact"/>
              <w:ind w:firstLine="0" w:firstLineChars="0"/>
              <w:rPr>
                <w:color w:val="auto"/>
                <w:szCs w:val="20"/>
              </w:rPr>
            </w:pPr>
          </w:p>
        </w:tc>
      </w:tr>
    </w:tbl>
    <w:p w14:paraId="06AD98AC">
      <w:pPr>
        <w:ind w:firstLine="0" w:firstLineChars="0"/>
        <w:rPr>
          <w:color w:val="auto"/>
        </w:rPr>
      </w:pPr>
    </w:p>
    <w:sectPr>
      <w:pgSz w:w="11906" w:h="16838"/>
      <w:pgMar w:top="1440" w:right="1800" w:bottom="1440" w:left="1800" w:header="851" w:footer="992" w:gutter="0"/>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imesNewRomanPSMT">
    <w:altName w:val="Times New Roman"/>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CD8F2">
    <w:pPr>
      <w:pStyle w:val="11"/>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C293D">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6103F">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3F51E">
    <w:pPr>
      <w:pStyle w:val="11"/>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FB6FAA">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14:paraId="37FB6FAA">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D9482">
    <w:pPr>
      <w:pStyle w:val="12"/>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0FFCE">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ACF7A">
    <w:pPr>
      <w:pStyle w:val="1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5DBF37">
    <w:pPr>
      <w:pStyle w:val="12"/>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3A49DE"/>
    <w:multiLevelType w:val="singleLevel"/>
    <w:tmpl w:val="893A49DE"/>
    <w:lvl w:ilvl="0" w:tentative="0">
      <w:start w:val="1"/>
      <w:numFmt w:val="chineseCounting"/>
      <w:suff w:val="nothing"/>
      <w:lvlText w:val="%1、"/>
      <w:lvlJc w:val="left"/>
      <w:rPr>
        <w:rFonts w:hint="eastAsia"/>
      </w:rPr>
    </w:lvl>
  </w:abstractNum>
  <w:abstractNum w:abstractNumId="1">
    <w:nsid w:val="A7938B22"/>
    <w:multiLevelType w:val="singleLevel"/>
    <w:tmpl w:val="A7938B22"/>
    <w:lvl w:ilvl="0" w:tentative="0">
      <w:start w:val="2"/>
      <w:numFmt w:val="decimal"/>
      <w:suff w:val="nothing"/>
      <w:lvlText w:val="（%1）"/>
      <w:lvlJc w:val="left"/>
    </w:lvl>
  </w:abstractNum>
  <w:abstractNum w:abstractNumId="2">
    <w:nsid w:val="ACF180FD"/>
    <w:multiLevelType w:val="singleLevel"/>
    <w:tmpl w:val="ACF180FD"/>
    <w:lvl w:ilvl="0" w:tentative="0">
      <w:start w:val="3"/>
      <w:numFmt w:val="decimal"/>
      <w:suff w:val="nothing"/>
      <w:lvlText w:val="%1、"/>
      <w:lvlJc w:val="left"/>
    </w:lvl>
  </w:abstractNum>
  <w:abstractNum w:abstractNumId="3">
    <w:nsid w:val="C6CDBF17"/>
    <w:multiLevelType w:val="singleLevel"/>
    <w:tmpl w:val="C6CDBF17"/>
    <w:lvl w:ilvl="0" w:tentative="0">
      <w:start w:val="2"/>
      <w:numFmt w:val="decimal"/>
      <w:suff w:val="nothing"/>
      <w:lvlText w:val="（%1）"/>
      <w:lvlJc w:val="left"/>
    </w:lvl>
  </w:abstractNum>
  <w:abstractNum w:abstractNumId="4">
    <w:nsid w:val="C9808F21"/>
    <w:multiLevelType w:val="singleLevel"/>
    <w:tmpl w:val="C9808F21"/>
    <w:lvl w:ilvl="0" w:tentative="0">
      <w:start w:val="2"/>
      <w:numFmt w:val="decimal"/>
      <w:suff w:val="nothing"/>
      <w:lvlText w:val="%1、"/>
      <w:lvlJc w:val="left"/>
    </w:lvl>
  </w:abstractNum>
  <w:abstractNum w:abstractNumId="5">
    <w:nsid w:val="D63EAD0E"/>
    <w:multiLevelType w:val="singleLevel"/>
    <w:tmpl w:val="D63EAD0E"/>
    <w:lvl w:ilvl="0" w:tentative="0">
      <w:start w:val="1"/>
      <w:numFmt w:val="decimal"/>
      <w:lvlText w:val="%1."/>
      <w:lvlJc w:val="left"/>
      <w:pPr>
        <w:tabs>
          <w:tab w:val="left" w:pos="312"/>
        </w:tabs>
      </w:pPr>
    </w:lvl>
  </w:abstractNum>
  <w:abstractNum w:abstractNumId="6">
    <w:nsid w:val="03EA6218"/>
    <w:multiLevelType w:val="multilevel"/>
    <w:tmpl w:val="03EA6218"/>
    <w:lvl w:ilvl="0" w:tentative="0">
      <w:start w:val="1"/>
      <w:numFmt w:val="decimalEnclosedCircle"/>
      <w:lvlText w:val="%1"/>
      <w:lvlJc w:val="left"/>
      <w:pPr>
        <w:ind w:left="840" w:hanging="360"/>
      </w:pPr>
      <w:rPr>
        <w:rFonts w:hint="default" w:ascii="宋体" w:hAnsi="宋体" w:cs="宋体"/>
        <w:sz w:val="24"/>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7">
    <w:nsid w:val="0C520114"/>
    <w:multiLevelType w:val="singleLevel"/>
    <w:tmpl w:val="0C520114"/>
    <w:lvl w:ilvl="0" w:tentative="0">
      <w:start w:val="2"/>
      <w:numFmt w:val="decimal"/>
      <w:suff w:val="nothing"/>
      <w:lvlText w:val="（%1）"/>
      <w:lvlJc w:val="left"/>
    </w:lvl>
  </w:abstractNum>
  <w:abstractNum w:abstractNumId="8">
    <w:nsid w:val="1AE3D8B3"/>
    <w:multiLevelType w:val="singleLevel"/>
    <w:tmpl w:val="1AE3D8B3"/>
    <w:lvl w:ilvl="0" w:tentative="0">
      <w:start w:val="9"/>
      <w:numFmt w:val="decimal"/>
      <w:suff w:val="nothing"/>
      <w:lvlText w:val="（%1）"/>
      <w:lvlJc w:val="left"/>
    </w:lvl>
  </w:abstractNum>
  <w:abstractNum w:abstractNumId="9">
    <w:nsid w:val="22108D0D"/>
    <w:multiLevelType w:val="singleLevel"/>
    <w:tmpl w:val="22108D0D"/>
    <w:lvl w:ilvl="0" w:tentative="0">
      <w:start w:val="1"/>
      <w:numFmt w:val="decimal"/>
      <w:suff w:val="nothing"/>
      <w:lvlText w:val="%1、"/>
      <w:lvlJc w:val="left"/>
    </w:lvl>
  </w:abstractNum>
  <w:abstractNum w:abstractNumId="10">
    <w:nsid w:val="2C3B3AA1"/>
    <w:multiLevelType w:val="singleLevel"/>
    <w:tmpl w:val="2C3B3AA1"/>
    <w:lvl w:ilvl="0" w:tentative="0">
      <w:start w:val="7"/>
      <w:numFmt w:val="chineseCounting"/>
      <w:suff w:val="nothing"/>
      <w:lvlText w:val="%1、"/>
      <w:lvlJc w:val="left"/>
      <w:rPr>
        <w:rFonts w:hint="eastAsia"/>
      </w:rPr>
    </w:lvl>
  </w:abstractNum>
  <w:abstractNum w:abstractNumId="11">
    <w:nsid w:val="40E5FAFF"/>
    <w:multiLevelType w:val="singleLevel"/>
    <w:tmpl w:val="40E5FAFF"/>
    <w:lvl w:ilvl="0" w:tentative="0">
      <w:start w:val="1"/>
      <w:numFmt w:val="decimal"/>
      <w:pStyle w:val="54"/>
      <w:suff w:val="nothing"/>
      <w:lvlText w:val="（%1）"/>
      <w:lvlJc w:val="left"/>
    </w:lvl>
  </w:abstractNum>
  <w:abstractNum w:abstractNumId="12">
    <w:nsid w:val="70E263BF"/>
    <w:multiLevelType w:val="singleLevel"/>
    <w:tmpl w:val="70E263BF"/>
    <w:lvl w:ilvl="0" w:tentative="0">
      <w:start w:val="1"/>
      <w:numFmt w:val="chineseCounting"/>
      <w:suff w:val="nothing"/>
      <w:lvlText w:val="%1、"/>
      <w:lvlJc w:val="left"/>
      <w:rPr>
        <w:rFonts w:hint="eastAsia"/>
      </w:rPr>
    </w:lvl>
  </w:abstractNum>
  <w:abstractNum w:abstractNumId="13">
    <w:nsid w:val="710AA534"/>
    <w:multiLevelType w:val="singleLevel"/>
    <w:tmpl w:val="710AA534"/>
    <w:lvl w:ilvl="0" w:tentative="0">
      <w:start w:val="1"/>
      <w:numFmt w:val="decimal"/>
      <w:suff w:val="nothing"/>
      <w:lvlText w:val="（%1）"/>
      <w:lvlJc w:val="left"/>
    </w:lvl>
  </w:abstractNum>
  <w:abstractNum w:abstractNumId="14">
    <w:nsid w:val="79796CA0"/>
    <w:multiLevelType w:val="singleLevel"/>
    <w:tmpl w:val="79796CA0"/>
    <w:lvl w:ilvl="0" w:tentative="0">
      <w:start w:val="1"/>
      <w:numFmt w:val="decimal"/>
      <w:suff w:val="nothing"/>
      <w:lvlText w:val="%1、"/>
      <w:lvlJc w:val="left"/>
    </w:lvl>
  </w:abstractNum>
  <w:num w:numId="1">
    <w:abstractNumId w:val="11"/>
  </w:num>
  <w:num w:numId="2">
    <w:abstractNumId w:val="8"/>
  </w:num>
  <w:num w:numId="3">
    <w:abstractNumId w:val="2"/>
  </w:num>
  <w:num w:numId="4">
    <w:abstractNumId w:val="4"/>
  </w:num>
  <w:num w:numId="5">
    <w:abstractNumId w:val="3"/>
  </w:num>
  <w:num w:numId="6">
    <w:abstractNumId w:val="5"/>
  </w:num>
  <w:num w:numId="7">
    <w:abstractNumId w:val="12"/>
  </w:num>
  <w:num w:numId="8">
    <w:abstractNumId w:val="0"/>
  </w:num>
  <w:num w:numId="9">
    <w:abstractNumId w:val="14"/>
  </w:num>
  <w:num w:numId="10">
    <w:abstractNumId w:val="6"/>
  </w:num>
  <w:num w:numId="11">
    <w:abstractNumId w:val="1"/>
  </w:num>
  <w:num w:numId="12">
    <w:abstractNumId w:val="13"/>
  </w:num>
  <w:num w:numId="13">
    <w:abstractNumId w:val="9"/>
  </w:num>
  <w:num w:numId="14">
    <w:abstractNumId w:val="7"/>
  </w:num>
  <w:num w:numId="15">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王可以">
    <w15:presenceInfo w15:providerId="WPS Office" w15:userId="29624000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64068AD"/>
    <w:rsid w:val="000021EC"/>
    <w:rsid w:val="000048E2"/>
    <w:rsid w:val="000065FB"/>
    <w:rsid w:val="00006DD3"/>
    <w:rsid w:val="00010131"/>
    <w:rsid w:val="00013473"/>
    <w:rsid w:val="0001546B"/>
    <w:rsid w:val="00015D62"/>
    <w:rsid w:val="00017917"/>
    <w:rsid w:val="00020E5A"/>
    <w:rsid w:val="00031E42"/>
    <w:rsid w:val="000320D1"/>
    <w:rsid w:val="00033298"/>
    <w:rsid w:val="00033E70"/>
    <w:rsid w:val="000351A7"/>
    <w:rsid w:val="00036618"/>
    <w:rsid w:val="000421D5"/>
    <w:rsid w:val="00042ACD"/>
    <w:rsid w:val="00043AC2"/>
    <w:rsid w:val="000440BD"/>
    <w:rsid w:val="00045303"/>
    <w:rsid w:val="000475BF"/>
    <w:rsid w:val="00050423"/>
    <w:rsid w:val="00054BD9"/>
    <w:rsid w:val="00056944"/>
    <w:rsid w:val="00060C4A"/>
    <w:rsid w:val="0007011B"/>
    <w:rsid w:val="000716F2"/>
    <w:rsid w:val="00071877"/>
    <w:rsid w:val="00072AA9"/>
    <w:rsid w:val="00075061"/>
    <w:rsid w:val="000765DD"/>
    <w:rsid w:val="000775D6"/>
    <w:rsid w:val="0009152F"/>
    <w:rsid w:val="000A241C"/>
    <w:rsid w:val="000A27B9"/>
    <w:rsid w:val="000A32A5"/>
    <w:rsid w:val="000A59D3"/>
    <w:rsid w:val="000A6CBC"/>
    <w:rsid w:val="000B5911"/>
    <w:rsid w:val="000B6331"/>
    <w:rsid w:val="000C0666"/>
    <w:rsid w:val="000C14FF"/>
    <w:rsid w:val="000C16C2"/>
    <w:rsid w:val="000C69DC"/>
    <w:rsid w:val="000D1F75"/>
    <w:rsid w:val="000D29A7"/>
    <w:rsid w:val="000D3DD1"/>
    <w:rsid w:val="000D7B1C"/>
    <w:rsid w:val="000E2719"/>
    <w:rsid w:val="000E37C2"/>
    <w:rsid w:val="000E588C"/>
    <w:rsid w:val="000E6637"/>
    <w:rsid w:val="000E7007"/>
    <w:rsid w:val="000E766E"/>
    <w:rsid w:val="000E7E59"/>
    <w:rsid w:val="000F492E"/>
    <w:rsid w:val="000F708B"/>
    <w:rsid w:val="00104838"/>
    <w:rsid w:val="00104E45"/>
    <w:rsid w:val="00107C02"/>
    <w:rsid w:val="00112CB4"/>
    <w:rsid w:val="001137EF"/>
    <w:rsid w:val="001151D6"/>
    <w:rsid w:val="00115EF9"/>
    <w:rsid w:val="0011693D"/>
    <w:rsid w:val="00117DAC"/>
    <w:rsid w:val="00135583"/>
    <w:rsid w:val="00137BC5"/>
    <w:rsid w:val="001404A9"/>
    <w:rsid w:val="00142731"/>
    <w:rsid w:val="00144FD2"/>
    <w:rsid w:val="00151181"/>
    <w:rsid w:val="001543EE"/>
    <w:rsid w:val="00163032"/>
    <w:rsid w:val="0016307F"/>
    <w:rsid w:val="00164949"/>
    <w:rsid w:val="0016618E"/>
    <w:rsid w:val="00171CC2"/>
    <w:rsid w:val="00187023"/>
    <w:rsid w:val="00191AEF"/>
    <w:rsid w:val="00194E0A"/>
    <w:rsid w:val="0019745E"/>
    <w:rsid w:val="001A54D4"/>
    <w:rsid w:val="001A7100"/>
    <w:rsid w:val="001B4D5F"/>
    <w:rsid w:val="001B6778"/>
    <w:rsid w:val="001B6EFF"/>
    <w:rsid w:val="001C0780"/>
    <w:rsid w:val="001D1B61"/>
    <w:rsid w:val="001D76F2"/>
    <w:rsid w:val="001E1205"/>
    <w:rsid w:val="001E21C9"/>
    <w:rsid w:val="001E271F"/>
    <w:rsid w:val="001E72DE"/>
    <w:rsid w:val="001F49A4"/>
    <w:rsid w:val="001F5DDD"/>
    <w:rsid w:val="001F6960"/>
    <w:rsid w:val="00202503"/>
    <w:rsid w:val="00203655"/>
    <w:rsid w:val="0022430A"/>
    <w:rsid w:val="002265A1"/>
    <w:rsid w:val="00227DB1"/>
    <w:rsid w:val="0023065E"/>
    <w:rsid w:val="00246F46"/>
    <w:rsid w:val="00246F55"/>
    <w:rsid w:val="002503F5"/>
    <w:rsid w:val="002533D2"/>
    <w:rsid w:val="00254A75"/>
    <w:rsid w:val="00266E58"/>
    <w:rsid w:val="00277C14"/>
    <w:rsid w:val="00280679"/>
    <w:rsid w:val="00281ACF"/>
    <w:rsid w:val="002832E9"/>
    <w:rsid w:val="0028406B"/>
    <w:rsid w:val="0028467E"/>
    <w:rsid w:val="00284F7F"/>
    <w:rsid w:val="002874B3"/>
    <w:rsid w:val="00290A44"/>
    <w:rsid w:val="00290A64"/>
    <w:rsid w:val="00291662"/>
    <w:rsid w:val="00291A62"/>
    <w:rsid w:val="0029277E"/>
    <w:rsid w:val="00293F3D"/>
    <w:rsid w:val="0029422D"/>
    <w:rsid w:val="002954D3"/>
    <w:rsid w:val="00296F9A"/>
    <w:rsid w:val="00297819"/>
    <w:rsid w:val="002A402D"/>
    <w:rsid w:val="002A42DE"/>
    <w:rsid w:val="002A4B3E"/>
    <w:rsid w:val="002A6CF8"/>
    <w:rsid w:val="002B59CD"/>
    <w:rsid w:val="002C23AD"/>
    <w:rsid w:val="002D2334"/>
    <w:rsid w:val="002D3CA3"/>
    <w:rsid w:val="002D40C8"/>
    <w:rsid w:val="002D40F6"/>
    <w:rsid w:val="002D5C13"/>
    <w:rsid w:val="002D6CAE"/>
    <w:rsid w:val="002D7260"/>
    <w:rsid w:val="002E5239"/>
    <w:rsid w:val="002F21DD"/>
    <w:rsid w:val="002F3FAA"/>
    <w:rsid w:val="003022D6"/>
    <w:rsid w:val="00304A12"/>
    <w:rsid w:val="00304A30"/>
    <w:rsid w:val="00305BED"/>
    <w:rsid w:val="003202E9"/>
    <w:rsid w:val="00322F49"/>
    <w:rsid w:val="00324552"/>
    <w:rsid w:val="00324E35"/>
    <w:rsid w:val="00327E86"/>
    <w:rsid w:val="00330473"/>
    <w:rsid w:val="003311A2"/>
    <w:rsid w:val="00334537"/>
    <w:rsid w:val="003346A5"/>
    <w:rsid w:val="003351DF"/>
    <w:rsid w:val="00337A1C"/>
    <w:rsid w:val="00340A4D"/>
    <w:rsid w:val="00341770"/>
    <w:rsid w:val="00341CCE"/>
    <w:rsid w:val="00343F32"/>
    <w:rsid w:val="0035075D"/>
    <w:rsid w:val="003515EF"/>
    <w:rsid w:val="003527A7"/>
    <w:rsid w:val="003604C5"/>
    <w:rsid w:val="00361932"/>
    <w:rsid w:val="003671EB"/>
    <w:rsid w:val="00377593"/>
    <w:rsid w:val="00381484"/>
    <w:rsid w:val="00393585"/>
    <w:rsid w:val="00396446"/>
    <w:rsid w:val="00396707"/>
    <w:rsid w:val="003972E1"/>
    <w:rsid w:val="003A11DB"/>
    <w:rsid w:val="003A2FBA"/>
    <w:rsid w:val="003A6B38"/>
    <w:rsid w:val="003B1391"/>
    <w:rsid w:val="003B3D52"/>
    <w:rsid w:val="003B4E7A"/>
    <w:rsid w:val="003B78DB"/>
    <w:rsid w:val="003C0998"/>
    <w:rsid w:val="003C7255"/>
    <w:rsid w:val="003C7977"/>
    <w:rsid w:val="003D382F"/>
    <w:rsid w:val="003D5D71"/>
    <w:rsid w:val="003D7266"/>
    <w:rsid w:val="003E04A1"/>
    <w:rsid w:val="003E6499"/>
    <w:rsid w:val="003E694A"/>
    <w:rsid w:val="00401CB5"/>
    <w:rsid w:val="00403B4A"/>
    <w:rsid w:val="00404946"/>
    <w:rsid w:val="00404AEC"/>
    <w:rsid w:val="00410103"/>
    <w:rsid w:val="0041226B"/>
    <w:rsid w:val="00412B08"/>
    <w:rsid w:val="00414611"/>
    <w:rsid w:val="004200C5"/>
    <w:rsid w:val="00420681"/>
    <w:rsid w:val="00421D6D"/>
    <w:rsid w:val="004221A8"/>
    <w:rsid w:val="00424035"/>
    <w:rsid w:val="004251ED"/>
    <w:rsid w:val="00425430"/>
    <w:rsid w:val="004269B0"/>
    <w:rsid w:val="00427ABA"/>
    <w:rsid w:val="004361F5"/>
    <w:rsid w:val="00440594"/>
    <w:rsid w:val="00442666"/>
    <w:rsid w:val="00442A88"/>
    <w:rsid w:val="00442E99"/>
    <w:rsid w:val="004433D9"/>
    <w:rsid w:val="00452765"/>
    <w:rsid w:val="00455D7C"/>
    <w:rsid w:val="00456140"/>
    <w:rsid w:val="00462AAE"/>
    <w:rsid w:val="00463F04"/>
    <w:rsid w:val="00465509"/>
    <w:rsid w:val="0046627E"/>
    <w:rsid w:val="00467798"/>
    <w:rsid w:val="00472A56"/>
    <w:rsid w:val="00474433"/>
    <w:rsid w:val="00475EA8"/>
    <w:rsid w:val="004776B5"/>
    <w:rsid w:val="00486665"/>
    <w:rsid w:val="004875F5"/>
    <w:rsid w:val="00487EE2"/>
    <w:rsid w:val="004904F6"/>
    <w:rsid w:val="004921E4"/>
    <w:rsid w:val="0049537E"/>
    <w:rsid w:val="00497518"/>
    <w:rsid w:val="004A0AA8"/>
    <w:rsid w:val="004A0CE6"/>
    <w:rsid w:val="004A3B37"/>
    <w:rsid w:val="004B1D61"/>
    <w:rsid w:val="004B26B2"/>
    <w:rsid w:val="004B3372"/>
    <w:rsid w:val="004C059A"/>
    <w:rsid w:val="004C117A"/>
    <w:rsid w:val="004C393D"/>
    <w:rsid w:val="004C5FC1"/>
    <w:rsid w:val="004D434F"/>
    <w:rsid w:val="004E4092"/>
    <w:rsid w:val="004F0F8B"/>
    <w:rsid w:val="004F2771"/>
    <w:rsid w:val="004F3D97"/>
    <w:rsid w:val="00500098"/>
    <w:rsid w:val="00500BA8"/>
    <w:rsid w:val="00503B9A"/>
    <w:rsid w:val="0050482B"/>
    <w:rsid w:val="005067E0"/>
    <w:rsid w:val="0051157D"/>
    <w:rsid w:val="00511DF3"/>
    <w:rsid w:val="00513D19"/>
    <w:rsid w:val="0051484E"/>
    <w:rsid w:val="0051725F"/>
    <w:rsid w:val="005212E1"/>
    <w:rsid w:val="00525ADD"/>
    <w:rsid w:val="0053127D"/>
    <w:rsid w:val="00536E2C"/>
    <w:rsid w:val="0053751E"/>
    <w:rsid w:val="005445D6"/>
    <w:rsid w:val="00545924"/>
    <w:rsid w:val="00547B6F"/>
    <w:rsid w:val="00553904"/>
    <w:rsid w:val="00556FEE"/>
    <w:rsid w:val="00563395"/>
    <w:rsid w:val="0057026B"/>
    <w:rsid w:val="00572E1F"/>
    <w:rsid w:val="0057328A"/>
    <w:rsid w:val="005862AA"/>
    <w:rsid w:val="005934B5"/>
    <w:rsid w:val="00593F3F"/>
    <w:rsid w:val="00595987"/>
    <w:rsid w:val="005A6D48"/>
    <w:rsid w:val="005B12DE"/>
    <w:rsid w:val="005B245B"/>
    <w:rsid w:val="005B2D6D"/>
    <w:rsid w:val="005B7129"/>
    <w:rsid w:val="005C4F84"/>
    <w:rsid w:val="005D2D92"/>
    <w:rsid w:val="005E2C9E"/>
    <w:rsid w:val="005E3255"/>
    <w:rsid w:val="005E54A3"/>
    <w:rsid w:val="005E7BA5"/>
    <w:rsid w:val="005F5FAC"/>
    <w:rsid w:val="005F744C"/>
    <w:rsid w:val="00602364"/>
    <w:rsid w:val="0060404A"/>
    <w:rsid w:val="00610673"/>
    <w:rsid w:val="00610CB3"/>
    <w:rsid w:val="006111EB"/>
    <w:rsid w:val="00613021"/>
    <w:rsid w:val="00616350"/>
    <w:rsid w:val="006171E8"/>
    <w:rsid w:val="00627552"/>
    <w:rsid w:val="00635B74"/>
    <w:rsid w:val="00642245"/>
    <w:rsid w:val="00643FCB"/>
    <w:rsid w:val="00644486"/>
    <w:rsid w:val="00644882"/>
    <w:rsid w:val="006509A1"/>
    <w:rsid w:val="00652D0F"/>
    <w:rsid w:val="006532AE"/>
    <w:rsid w:val="00654A99"/>
    <w:rsid w:val="006555B4"/>
    <w:rsid w:val="00656F0A"/>
    <w:rsid w:val="00660190"/>
    <w:rsid w:val="00660412"/>
    <w:rsid w:val="00660E04"/>
    <w:rsid w:val="006629A1"/>
    <w:rsid w:val="006637D7"/>
    <w:rsid w:val="00663F7D"/>
    <w:rsid w:val="00665F5F"/>
    <w:rsid w:val="00670E3D"/>
    <w:rsid w:val="00671F7E"/>
    <w:rsid w:val="0067421E"/>
    <w:rsid w:val="00675AC2"/>
    <w:rsid w:val="006763A6"/>
    <w:rsid w:val="00677D28"/>
    <w:rsid w:val="00681AEE"/>
    <w:rsid w:val="006847B1"/>
    <w:rsid w:val="00686617"/>
    <w:rsid w:val="00686EB5"/>
    <w:rsid w:val="006904BC"/>
    <w:rsid w:val="00692695"/>
    <w:rsid w:val="00694DD4"/>
    <w:rsid w:val="00695ACC"/>
    <w:rsid w:val="00695C33"/>
    <w:rsid w:val="00697722"/>
    <w:rsid w:val="00697F73"/>
    <w:rsid w:val="006A362A"/>
    <w:rsid w:val="006A7D85"/>
    <w:rsid w:val="006B1DBF"/>
    <w:rsid w:val="006B36C3"/>
    <w:rsid w:val="006C0AF3"/>
    <w:rsid w:val="006D1554"/>
    <w:rsid w:val="006F12C8"/>
    <w:rsid w:val="006F4BB1"/>
    <w:rsid w:val="006F5526"/>
    <w:rsid w:val="006F593C"/>
    <w:rsid w:val="007053C7"/>
    <w:rsid w:val="0070744B"/>
    <w:rsid w:val="00715092"/>
    <w:rsid w:val="00715717"/>
    <w:rsid w:val="0072573D"/>
    <w:rsid w:val="00727A09"/>
    <w:rsid w:val="0073077A"/>
    <w:rsid w:val="00731B9A"/>
    <w:rsid w:val="00732B7E"/>
    <w:rsid w:val="0073374E"/>
    <w:rsid w:val="0074200E"/>
    <w:rsid w:val="007448B9"/>
    <w:rsid w:val="00747673"/>
    <w:rsid w:val="00752D9A"/>
    <w:rsid w:val="0075407C"/>
    <w:rsid w:val="00765E54"/>
    <w:rsid w:val="00782483"/>
    <w:rsid w:val="007A41EB"/>
    <w:rsid w:val="007A4723"/>
    <w:rsid w:val="007A77FD"/>
    <w:rsid w:val="007B0F8D"/>
    <w:rsid w:val="007B3CB8"/>
    <w:rsid w:val="007B775A"/>
    <w:rsid w:val="007C17EE"/>
    <w:rsid w:val="007C2A46"/>
    <w:rsid w:val="007C3C19"/>
    <w:rsid w:val="007C3DED"/>
    <w:rsid w:val="007C53C2"/>
    <w:rsid w:val="007D36DB"/>
    <w:rsid w:val="007D3F09"/>
    <w:rsid w:val="007E4F3B"/>
    <w:rsid w:val="007E7DE0"/>
    <w:rsid w:val="007F3998"/>
    <w:rsid w:val="007F69C1"/>
    <w:rsid w:val="007F7347"/>
    <w:rsid w:val="00802D9E"/>
    <w:rsid w:val="008054F4"/>
    <w:rsid w:val="008061F4"/>
    <w:rsid w:val="00806CDC"/>
    <w:rsid w:val="00806FFA"/>
    <w:rsid w:val="00807AE0"/>
    <w:rsid w:val="00826C2A"/>
    <w:rsid w:val="008316B4"/>
    <w:rsid w:val="00833E9F"/>
    <w:rsid w:val="00834328"/>
    <w:rsid w:val="00835E41"/>
    <w:rsid w:val="00835FB7"/>
    <w:rsid w:val="00836A64"/>
    <w:rsid w:val="00842DAF"/>
    <w:rsid w:val="00845D46"/>
    <w:rsid w:val="00846E33"/>
    <w:rsid w:val="008516F0"/>
    <w:rsid w:val="00857E9D"/>
    <w:rsid w:val="00860DC5"/>
    <w:rsid w:val="00861779"/>
    <w:rsid w:val="00862C8D"/>
    <w:rsid w:val="00864723"/>
    <w:rsid w:val="008727B0"/>
    <w:rsid w:val="00875517"/>
    <w:rsid w:val="008758F8"/>
    <w:rsid w:val="008808E4"/>
    <w:rsid w:val="00896221"/>
    <w:rsid w:val="008A0DC3"/>
    <w:rsid w:val="008A272C"/>
    <w:rsid w:val="008A6762"/>
    <w:rsid w:val="008B1B8A"/>
    <w:rsid w:val="008B2C23"/>
    <w:rsid w:val="008C3A36"/>
    <w:rsid w:val="008C462E"/>
    <w:rsid w:val="008D3132"/>
    <w:rsid w:val="008D3823"/>
    <w:rsid w:val="008D4FB1"/>
    <w:rsid w:val="008D7E9A"/>
    <w:rsid w:val="008E1CE4"/>
    <w:rsid w:val="008E1DF9"/>
    <w:rsid w:val="008E61B8"/>
    <w:rsid w:val="008E7F40"/>
    <w:rsid w:val="008F026E"/>
    <w:rsid w:val="008F239B"/>
    <w:rsid w:val="008F591A"/>
    <w:rsid w:val="00900E58"/>
    <w:rsid w:val="009025B2"/>
    <w:rsid w:val="00905BAF"/>
    <w:rsid w:val="00907508"/>
    <w:rsid w:val="0090798D"/>
    <w:rsid w:val="00907B5E"/>
    <w:rsid w:val="00911CDB"/>
    <w:rsid w:val="0091549F"/>
    <w:rsid w:val="00916E3E"/>
    <w:rsid w:val="00920585"/>
    <w:rsid w:val="00930235"/>
    <w:rsid w:val="00931B75"/>
    <w:rsid w:val="009325AB"/>
    <w:rsid w:val="0094011A"/>
    <w:rsid w:val="009411CF"/>
    <w:rsid w:val="00944B2B"/>
    <w:rsid w:val="00944D42"/>
    <w:rsid w:val="00945024"/>
    <w:rsid w:val="00945DAF"/>
    <w:rsid w:val="00945DEB"/>
    <w:rsid w:val="00947A64"/>
    <w:rsid w:val="009571E0"/>
    <w:rsid w:val="009574BD"/>
    <w:rsid w:val="0095781F"/>
    <w:rsid w:val="00963FF2"/>
    <w:rsid w:val="009729FD"/>
    <w:rsid w:val="00974D04"/>
    <w:rsid w:val="0097556A"/>
    <w:rsid w:val="00977E64"/>
    <w:rsid w:val="00981266"/>
    <w:rsid w:val="00981321"/>
    <w:rsid w:val="00981A1D"/>
    <w:rsid w:val="0098616F"/>
    <w:rsid w:val="0099171B"/>
    <w:rsid w:val="00991728"/>
    <w:rsid w:val="009A6A2E"/>
    <w:rsid w:val="009A704D"/>
    <w:rsid w:val="009A7312"/>
    <w:rsid w:val="009B0B50"/>
    <w:rsid w:val="009B789B"/>
    <w:rsid w:val="009C154D"/>
    <w:rsid w:val="009C233B"/>
    <w:rsid w:val="009D17C1"/>
    <w:rsid w:val="009D6BE9"/>
    <w:rsid w:val="009E2602"/>
    <w:rsid w:val="009E3685"/>
    <w:rsid w:val="009E63B1"/>
    <w:rsid w:val="009E70DB"/>
    <w:rsid w:val="009F05CB"/>
    <w:rsid w:val="009F0713"/>
    <w:rsid w:val="009F77D7"/>
    <w:rsid w:val="00A070CC"/>
    <w:rsid w:val="00A137D1"/>
    <w:rsid w:val="00A14B06"/>
    <w:rsid w:val="00A15E70"/>
    <w:rsid w:val="00A20258"/>
    <w:rsid w:val="00A22E03"/>
    <w:rsid w:val="00A268C9"/>
    <w:rsid w:val="00A3120E"/>
    <w:rsid w:val="00A33F68"/>
    <w:rsid w:val="00A34FE2"/>
    <w:rsid w:val="00A36918"/>
    <w:rsid w:val="00A37336"/>
    <w:rsid w:val="00A40E1A"/>
    <w:rsid w:val="00A4174E"/>
    <w:rsid w:val="00A5159A"/>
    <w:rsid w:val="00A57642"/>
    <w:rsid w:val="00A6361E"/>
    <w:rsid w:val="00A71499"/>
    <w:rsid w:val="00A734F4"/>
    <w:rsid w:val="00A76D4E"/>
    <w:rsid w:val="00A80260"/>
    <w:rsid w:val="00A822AA"/>
    <w:rsid w:val="00A84991"/>
    <w:rsid w:val="00A84CB2"/>
    <w:rsid w:val="00A875BA"/>
    <w:rsid w:val="00A87CD1"/>
    <w:rsid w:val="00A94FA4"/>
    <w:rsid w:val="00AA0702"/>
    <w:rsid w:val="00AA0F9D"/>
    <w:rsid w:val="00AA16F3"/>
    <w:rsid w:val="00AA2FBD"/>
    <w:rsid w:val="00AA4DD1"/>
    <w:rsid w:val="00AA4DD9"/>
    <w:rsid w:val="00AB04ED"/>
    <w:rsid w:val="00AB17B9"/>
    <w:rsid w:val="00AB320B"/>
    <w:rsid w:val="00AB5E04"/>
    <w:rsid w:val="00AB654A"/>
    <w:rsid w:val="00AC2C61"/>
    <w:rsid w:val="00AC5350"/>
    <w:rsid w:val="00AC65D4"/>
    <w:rsid w:val="00AD0671"/>
    <w:rsid w:val="00AD0E5F"/>
    <w:rsid w:val="00AD4675"/>
    <w:rsid w:val="00AD751A"/>
    <w:rsid w:val="00AE0956"/>
    <w:rsid w:val="00AE0FBB"/>
    <w:rsid w:val="00AE571F"/>
    <w:rsid w:val="00AE581F"/>
    <w:rsid w:val="00AF18D7"/>
    <w:rsid w:val="00AF376E"/>
    <w:rsid w:val="00AF40E7"/>
    <w:rsid w:val="00AF7389"/>
    <w:rsid w:val="00AF7509"/>
    <w:rsid w:val="00B079EE"/>
    <w:rsid w:val="00B07F29"/>
    <w:rsid w:val="00B104DA"/>
    <w:rsid w:val="00B123D1"/>
    <w:rsid w:val="00B136FA"/>
    <w:rsid w:val="00B14C33"/>
    <w:rsid w:val="00B1754F"/>
    <w:rsid w:val="00B2102A"/>
    <w:rsid w:val="00B21B9D"/>
    <w:rsid w:val="00B23A42"/>
    <w:rsid w:val="00B2547D"/>
    <w:rsid w:val="00B2788E"/>
    <w:rsid w:val="00B2796C"/>
    <w:rsid w:val="00B3271B"/>
    <w:rsid w:val="00B34E19"/>
    <w:rsid w:val="00B34EFE"/>
    <w:rsid w:val="00B36AEA"/>
    <w:rsid w:val="00B3769C"/>
    <w:rsid w:val="00B40224"/>
    <w:rsid w:val="00B4512E"/>
    <w:rsid w:val="00B46F6E"/>
    <w:rsid w:val="00B47476"/>
    <w:rsid w:val="00B47EFB"/>
    <w:rsid w:val="00B501DC"/>
    <w:rsid w:val="00B52E7F"/>
    <w:rsid w:val="00B57D4B"/>
    <w:rsid w:val="00B6012A"/>
    <w:rsid w:val="00B618FF"/>
    <w:rsid w:val="00B633E2"/>
    <w:rsid w:val="00B64E91"/>
    <w:rsid w:val="00B6583E"/>
    <w:rsid w:val="00B72436"/>
    <w:rsid w:val="00B73B6E"/>
    <w:rsid w:val="00B74FA8"/>
    <w:rsid w:val="00B76D66"/>
    <w:rsid w:val="00B901DE"/>
    <w:rsid w:val="00B90A77"/>
    <w:rsid w:val="00B9499A"/>
    <w:rsid w:val="00B97408"/>
    <w:rsid w:val="00BA0AB3"/>
    <w:rsid w:val="00BA0BE9"/>
    <w:rsid w:val="00BA18CB"/>
    <w:rsid w:val="00BA4856"/>
    <w:rsid w:val="00BB173B"/>
    <w:rsid w:val="00BB2074"/>
    <w:rsid w:val="00BB68C7"/>
    <w:rsid w:val="00BB7A53"/>
    <w:rsid w:val="00BC0CB3"/>
    <w:rsid w:val="00BC2D51"/>
    <w:rsid w:val="00BC518E"/>
    <w:rsid w:val="00BC5B5B"/>
    <w:rsid w:val="00BC713C"/>
    <w:rsid w:val="00BD3143"/>
    <w:rsid w:val="00BD324B"/>
    <w:rsid w:val="00BD3746"/>
    <w:rsid w:val="00BD6A65"/>
    <w:rsid w:val="00BE15BC"/>
    <w:rsid w:val="00BE6209"/>
    <w:rsid w:val="00BE6D46"/>
    <w:rsid w:val="00BF39C0"/>
    <w:rsid w:val="00BF691B"/>
    <w:rsid w:val="00BF69E8"/>
    <w:rsid w:val="00C03AE7"/>
    <w:rsid w:val="00C04CAE"/>
    <w:rsid w:val="00C06D52"/>
    <w:rsid w:val="00C11CC9"/>
    <w:rsid w:val="00C16E99"/>
    <w:rsid w:val="00C239AE"/>
    <w:rsid w:val="00C2463B"/>
    <w:rsid w:val="00C24E76"/>
    <w:rsid w:val="00C3565E"/>
    <w:rsid w:val="00C36CE2"/>
    <w:rsid w:val="00C43367"/>
    <w:rsid w:val="00C4445C"/>
    <w:rsid w:val="00C47AB2"/>
    <w:rsid w:val="00C47F48"/>
    <w:rsid w:val="00C63F59"/>
    <w:rsid w:val="00C71527"/>
    <w:rsid w:val="00C81697"/>
    <w:rsid w:val="00C81ECC"/>
    <w:rsid w:val="00C81FB5"/>
    <w:rsid w:val="00C85A55"/>
    <w:rsid w:val="00C96694"/>
    <w:rsid w:val="00CA0802"/>
    <w:rsid w:val="00CB19E1"/>
    <w:rsid w:val="00CB241E"/>
    <w:rsid w:val="00CB3503"/>
    <w:rsid w:val="00CB44EE"/>
    <w:rsid w:val="00CB5D8F"/>
    <w:rsid w:val="00CB6E93"/>
    <w:rsid w:val="00CC7A9E"/>
    <w:rsid w:val="00CD75CF"/>
    <w:rsid w:val="00CE1C4E"/>
    <w:rsid w:val="00CF171E"/>
    <w:rsid w:val="00CF5210"/>
    <w:rsid w:val="00CF638D"/>
    <w:rsid w:val="00D00339"/>
    <w:rsid w:val="00D017C7"/>
    <w:rsid w:val="00D03C76"/>
    <w:rsid w:val="00D078E2"/>
    <w:rsid w:val="00D11813"/>
    <w:rsid w:val="00D11B90"/>
    <w:rsid w:val="00D12908"/>
    <w:rsid w:val="00D21CDE"/>
    <w:rsid w:val="00D26707"/>
    <w:rsid w:val="00D360FB"/>
    <w:rsid w:val="00D37032"/>
    <w:rsid w:val="00D45156"/>
    <w:rsid w:val="00D51E79"/>
    <w:rsid w:val="00D531B4"/>
    <w:rsid w:val="00D54213"/>
    <w:rsid w:val="00D56155"/>
    <w:rsid w:val="00D57925"/>
    <w:rsid w:val="00D66113"/>
    <w:rsid w:val="00D705B8"/>
    <w:rsid w:val="00D73116"/>
    <w:rsid w:val="00D77ABC"/>
    <w:rsid w:val="00D80EBF"/>
    <w:rsid w:val="00D81561"/>
    <w:rsid w:val="00D856D5"/>
    <w:rsid w:val="00D85E09"/>
    <w:rsid w:val="00D8750E"/>
    <w:rsid w:val="00D877F8"/>
    <w:rsid w:val="00D908E8"/>
    <w:rsid w:val="00D91E15"/>
    <w:rsid w:val="00D92E9A"/>
    <w:rsid w:val="00D93D1E"/>
    <w:rsid w:val="00D9636E"/>
    <w:rsid w:val="00D9780C"/>
    <w:rsid w:val="00DA15A2"/>
    <w:rsid w:val="00DA2030"/>
    <w:rsid w:val="00DB091E"/>
    <w:rsid w:val="00DB0F8F"/>
    <w:rsid w:val="00DB16AA"/>
    <w:rsid w:val="00DC1268"/>
    <w:rsid w:val="00DC4291"/>
    <w:rsid w:val="00DE3807"/>
    <w:rsid w:val="00DE425A"/>
    <w:rsid w:val="00DE7AB2"/>
    <w:rsid w:val="00DF398C"/>
    <w:rsid w:val="00DF52D4"/>
    <w:rsid w:val="00E00AAB"/>
    <w:rsid w:val="00E12865"/>
    <w:rsid w:val="00E145FF"/>
    <w:rsid w:val="00E14DF9"/>
    <w:rsid w:val="00E15051"/>
    <w:rsid w:val="00E162F7"/>
    <w:rsid w:val="00E16AE8"/>
    <w:rsid w:val="00E21C4A"/>
    <w:rsid w:val="00E24370"/>
    <w:rsid w:val="00E3298B"/>
    <w:rsid w:val="00E344FB"/>
    <w:rsid w:val="00E41CA6"/>
    <w:rsid w:val="00E41FDE"/>
    <w:rsid w:val="00E43D21"/>
    <w:rsid w:val="00E47F72"/>
    <w:rsid w:val="00E50364"/>
    <w:rsid w:val="00E601F5"/>
    <w:rsid w:val="00E6582E"/>
    <w:rsid w:val="00E7172E"/>
    <w:rsid w:val="00E72251"/>
    <w:rsid w:val="00E73762"/>
    <w:rsid w:val="00E7478E"/>
    <w:rsid w:val="00E75144"/>
    <w:rsid w:val="00E75D97"/>
    <w:rsid w:val="00E77CD3"/>
    <w:rsid w:val="00E8062D"/>
    <w:rsid w:val="00E84F9A"/>
    <w:rsid w:val="00E85760"/>
    <w:rsid w:val="00E878DD"/>
    <w:rsid w:val="00EA04F8"/>
    <w:rsid w:val="00EA088B"/>
    <w:rsid w:val="00EA31BF"/>
    <w:rsid w:val="00EA431F"/>
    <w:rsid w:val="00EA675A"/>
    <w:rsid w:val="00EA7E90"/>
    <w:rsid w:val="00EB235C"/>
    <w:rsid w:val="00EC0684"/>
    <w:rsid w:val="00EC1B62"/>
    <w:rsid w:val="00EC4628"/>
    <w:rsid w:val="00ED45EE"/>
    <w:rsid w:val="00ED6728"/>
    <w:rsid w:val="00EE1BC2"/>
    <w:rsid w:val="00EE5999"/>
    <w:rsid w:val="00EE60ED"/>
    <w:rsid w:val="00F06187"/>
    <w:rsid w:val="00F112E3"/>
    <w:rsid w:val="00F115DA"/>
    <w:rsid w:val="00F13B9E"/>
    <w:rsid w:val="00F14F16"/>
    <w:rsid w:val="00F15624"/>
    <w:rsid w:val="00F15D85"/>
    <w:rsid w:val="00F17CB1"/>
    <w:rsid w:val="00F209A8"/>
    <w:rsid w:val="00F2395E"/>
    <w:rsid w:val="00F301F3"/>
    <w:rsid w:val="00F3121D"/>
    <w:rsid w:val="00F34134"/>
    <w:rsid w:val="00F354EF"/>
    <w:rsid w:val="00F36D3F"/>
    <w:rsid w:val="00F422F6"/>
    <w:rsid w:val="00F43E49"/>
    <w:rsid w:val="00F455F3"/>
    <w:rsid w:val="00F457C8"/>
    <w:rsid w:val="00F46790"/>
    <w:rsid w:val="00F516EF"/>
    <w:rsid w:val="00F5223F"/>
    <w:rsid w:val="00F540A4"/>
    <w:rsid w:val="00F54C28"/>
    <w:rsid w:val="00F67FD2"/>
    <w:rsid w:val="00F736D1"/>
    <w:rsid w:val="00F762C0"/>
    <w:rsid w:val="00F81F9F"/>
    <w:rsid w:val="00F91490"/>
    <w:rsid w:val="00F91C99"/>
    <w:rsid w:val="00F922D3"/>
    <w:rsid w:val="00F92CED"/>
    <w:rsid w:val="00F938A8"/>
    <w:rsid w:val="00FA0EA1"/>
    <w:rsid w:val="00FA0EB6"/>
    <w:rsid w:val="00FA1953"/>
    <w:rsid w:val="00FA4051"/>
    <w:rsid w:val="00FA7FA1"/>
    <w:rsid w:val="00FB05BE"/>
    <w:rsid w:val="00FB2669"/>
    <w:rsid w:val="00FB3FAF"/>
    <w:rsid w:val="00FB654B"/>
    <w:rsid w:val="00FB694E"/>
    <w:rsid w:val="00FB6F9B"/>
    <w:rsid w:val="00FB737E"/>
    <w:rsid w:val="00FC0808"/>
    <w:rsid w:val="00FC14A8"/>
    <w:rsid w:val="00FC5E34"/>
    <w:rsid w:val="00FD07E3"/>
    <w:rsid w:val="00FD1940"/>
    <w:rsid w:val="00FD1DD7"/>
    <w:rsid w:val="00FD3EBF"/>
    <w:rsid w:val="00FD526B"/>
    <w:rsid w:val="00FE2F60"/>
    <w:rsid w:val="00FE3281"/>
    <w:rsid w:val="00FF53F9"/>
    <w:rsid w:val="00FF5BF2"/>
    <w:rsid w:val="01D9482D"/>
    <w:rsid w:val="02811CDC"/>
    <w:rsid w:val="02F41A70"/>
    <w:rsid w:val="02F97337"/>
    <w:rsid w:val="03DD7C15"/>
    <w:rsid w:val="04B9380B"/>
    <w:rsid w:val="04DD57E4"/>
    <w:rsid w:val="05081129"/>
    <w:rsid w:val="05124A95"/>
    <w:rsid w:val="05214A5A"/>
    <w:rsid w:val="052569FD"/>
    <w:rsid w:val="053B6538"/>
    <w:rsid w:val="05F146D3"/>
    <w:rsid w:val="06905542"/>
    <w:rsid w:val="075A3528"/>
    <w:rsid w:val="07D727EF"/>
    <w:rsid w:val="08BD02E7"/>
    <w:rsid w:val="093D0D10"/>
    <w:rsid w:val="0963028D"/>
    <w:rsid w:val="09EF2CC0"/>
    <w:rsid w:val="0A827A31"/>
    <w:rsid w:val="0AF72679"/>
    <w:rsid w:val="0BA42009"/>
    <w:rsid w:val="0C770DCC"/>
    <w:rsid w:val="0CCF4ADA"/>
    <w:rsid w:val="0DB92314"/>
    <w:rsid w:val="0EC153FD"/>
    <w:rsid w:val="0EDE57D4"/>
    <w:rsid w:val="0F3752C0"/>
    <w:rsid w:val="0FDE5334"/>
    <w:rsid w:val="10635F75"/>
    <w:rsid w:val="106C6A1F"/>
    <w:rsid w:val="12EA04FD"/>
    <w:rsid w:val="12FB3FE0"/>
    <w:rsid w:val="130F571A"/>
    <w:rsid w:val="1324792E"/>
    <w:rsid w:val="13403978"/>
    <w:rsid w:val="134A6C8F"/>
    <w:rsid w:val="137C1421"/>
    <w:rsid w:val="140B537C"/>
    <w:rsid w:val="145923F1"/>
    <w:rsid w:val="14DA6043"/>
    <w:rsid w:val="150072BD"/>
    <w:rsid w:val="154A545C"/>
    <w:rsid w:val="154C592E"/>
    <w:rsid w:val="164068AD"/>
    <w:rsid w:val="170C137B"/>
    <w:rsid w:val="17A02A59"/>
    <w:rsid w:val="18C17AA9"/>
    <w:rsid w:val="18D72D4C"/>
    <w:rsid w:val="18EF47D3"/>
    <w:rsid w:val="1B040147"/>
    <w:rsid w:val="1B0559AE"/>
    <w:rsid w:val="1B5C2CB9"/>
    <w:rsid w:val="1C1C3F95"/>
    <w:rsid w:val="1CCE0F59"/>
    <w:rsid w:val="1D857225"/>
    <w:rsid w:val="1E4914E1"/>
    <w:rsid w:val="1F6A3A30"/>
    <w:rsid w:val="1FAE3EBB"/>
    <w:rsid w:val="20F213EB"/>
    <w:rsid w:val="21160797"/>
    <w:rsid w:val="21237107"/>
    <w:rsid w:val="22512B2B"/>
    <w:rsid w:val="229C0B63"/>
    <w:rsid w:val="23B7699D"/>
    <w:rsid w:val="23EA343E"/>
    <w:rsid w:val="255B68C3"/>
    <w:rsid w:val="25952D41"/>
    <w:rsid w:val="25A44792"/>
    <w:rsid w:val="26476C27"/>
    <w:rsid w:val="268A2B0B"/>
    <w:rsid w:val="26AC218A"/>
    <w:rsid w:val="28910B1B"/>
    <w:rsid w:val="28EA2078"/>
    <w:rsid w:val="29510DDF"/>
    <w:rsid w:val="2A095E2E"/>
    <w:rsid w:val="2AC525D0"/>
    <w:rsid w:val="2AE44780"/>
    <w:rsid w:val="2AF03C85"/>
    <w:rsid w:val="2B8313B8"/>
    <w:rsid w:val="2BAD5E9F"/>
    <w:rsid w:val="2CF41AF0"/>
    <w:rsid w:val="2D836DE0"/>
    <w:rsid w:val="2DEC3DE2"/>
    <w:rsid w:val="2ECA5B53"/>
    <w:rsid w:val="30426576"/>
    <w:rsid w:val="30B00B8C"/>
    <w:rsid w:val="31280834"/>
    <w:rsid w:val="32722AEF"/>
    <w:rsid w:val="33C70DA5"/>
    <w:rsid w:val="353677A5"/>
    <w:rsid w:val="35A14AA9"/>
    <w:rsid w:val="36B14F13"/>
    <w:rsid w:val="376F2649"/>
    <w:rsid w:val="37EC7FFF"/>
    <w:rsid w:val="381B2A98"/>
    <w:rsid w:val="39733AB3"/>
    <w:rsid w:val="3A2B5ADB"/>
    <w:rsid w:val="3AD84942"/>
    <w:rsid w:val="3B624008"/>
    <w:rsid w:val="3BF44938"/>
    <w:rsid w:val="3C2D4E46"/>
    <w:rsid w:val="3C767023"/>
    <w:rsid w:val="3DA35B36"/>
    <w:rsid w:val="3E517709"/>
    <w:rsid w:val="3F2B4079"/>
    <w:rsid w:val="3F4F6C71"/>
    <w:rsid w:val="3F712C72"/>
    <w:rsid w:val="3F943584"/>
    <w:rsid w:val="40944050"/>
    <w:rsid w:val="40EA3CDE"/>
    <w:rsid w:val="41866E12"/>
    <w:rsid w:val="428C206C"/>
    <w:rsid w:val="430D5439"/>
    <w:rsid w:val="434F133E"/>
    <w:rsid w:val="446D5917"/>
    <w:rsid w:val="448734FB"/>
    <w:rsid w:val="453E20A0"/>
    <w:rsid w:val="4608375F"/>
    <w:rsid w:val="461146CF"/>
    <w:rsid w:val="46226CDB"/>
    <w:rsid w:val="46C96D48"/>
    <w:rsid w:val="47272400"/>
    <w:rsid w:val="47D877E1"/>
    <w:rsid w:val="488C439E"/>
    <w:rsid w:val="488C5500"/>
    <w:rsid w:val="489565B3"/>
    <w:rsid w:val="491927A8"/>
    <w:rsid w:val="4938594E"/>
    <w:rsid w:val="49617C6E"/>
    <w:rsid w:val="49CF1A6D"/>
    <w:rsid w:val="4A53390F"/>
    <w:rsid w:val="4AB708A7"/>
    <w:rsid w:val="4B5856BF"/>
    <w:rsid w:val="4C4C6DEA"/>
    <w:rsid w:val="4C5E0AB3"/>
    <w:rsid w:val="4C641250"/>
    <w:rsid w:val="4CDE39A2"/>
    <w:rsid w:val="4D70147E"/>
    <w:rsid w:val="4D730862"/>
    <w:rsid w:val="4DE36B9C"/>
    <w:rsid w:val="4E4D5283"/>
    <w:rsid w:val="4E6A7A3E"/>
    <w:rsid w:val="4F5659E0"/>
    <w:rsid w:val="4F5C7EDB"/>
    <w:rsid w:val="4FA76AEF"/>
    <w:rsid w:val="500052D5"/>
    <w:rsid w:val="506A2566"/>
    <w:rsid w:val="509210C2"/>
    <w:rsid w:val="51802194"/>
    <w:rsid w:val="51CF085F"/>
    <w:rsid w:val="5247278A"/>
    <w:rsid w:val="53047DFA"/>
    <w:rsid w:val="549B111C"/>
    <w:rsid w:val="552D0A2A"/>
    <w:rsid w:val="55A72223"/>
    <w:rsid w:val="55FE1A31"/>
    <w:rsid w:val="561A422B"/>
    <w:rsid w:val="56E67B48"/>
    <w:rsid w:val="57266671"/>
    <w:rsid w:val="5A736072"/>
    <w:rsid w:val="5B514723"/>
    <w:rsid w:val="5C760E9E"/>
    <w:rsid w:val="5CA1106D"/>
    <w:rsid w:val="5CA9612B"/>
    <w:rsid w:val="5CF82091"/>
    <w:rsid w:val="5CFB5EAA"/>
    <w:rsid w:val="5E5106E2"/>
    <w:rsid w:val="5ED54C05"/>
    <w:rsid w:val="5EF1337D"/>
    <w:rsid w:val="5F4B3235"/>
    <w:rsid w:val="611B22FC"/>
    <w:rsid w:val="612B7F86"/>
    <w:rsid w:val="61346E8D"/>
    <w:rsid w:val="62500A2A"/>
    <w:rsid w:val="62BE6E8D"/>
    <w:rsid w:val="63012D84"/>
    <w:rsid w:val="638D4ABA"/>
    <w:rsid w:val="659A12AB"/>
    <w:rsid w:val="6630061A"/>
    <w:rsid w:val="66621E56"/>
    <w:rsid w:val="66E2261E"/>
    <w:rsid w:val="67AD755D"/>
    <w:rsid w:val="67B71510"/>
    <w:rsid w:val="680447AD"/>
    <w:rsid w:val="6814614D"/>
    <w:rsid w:val="68CE3585"/>
    <w:rsid w:val="698A69C1"/>
    <w:rsid w:val="69C26D7F"/>
    <w:rsid w:val="69F107A5"/>
    <w:rsid w:val="6C855E8A"/>
    <w:rsid w:val="6CC72AD0"/>
    <w:rsid w:val="6D3B397B"/>
    <w:rsid w:val="6D3E6047"/>
    <w:rsid w:val="6DB12D40"/>
    <w:rsid w:val="6E2F19B1"/>
    <w:rsid w:val="6F4854BF"/>
    <w:rsid w:val="6F6B5F0B"/>
    <w:rsid w:val="70904E30"/>
    <w:rsid w:val="70A46E9D"/>
    <w:rsid w:val="71DA1E56"/>
    <w:rsid w:val="71EB4838"/>
    <w:rsid w:val="71FD563F"/>
    <w:rsid w:val="72116729"/>
    <w:rsid w:val="74190B91"/>
    <w:rsid w:val="74CA088D"/>
    <w:rsid w:val="753A0A0F"/>
    <w:rsid w:val="75621239"/>
    <w:rsid w:val="76197E50"/>
    <w:rsid w:val="762E7616"/>
    <w:rsid w:val="76466986"/>
    <w:rsid w:val="76D101FA"/>
    <w:rsid w:val="77CD054D"/>
    <w:rsid w:val="7A4A4998"/>
    <w:rsid w:val="7B2A77B9"/>
    <w:rsid w:val="7B4A7231"/>
    <w:rsid w:val="7BB20BC5"/>
    <w:rsid w:val="7C70346F"/>
    <w:rsid w:val="7CB63CA3"/>
    <w:rsid w:val="7CF43520"/>
    <w:rsid w:val="7D4676A7"/>
    <w:rsid w:val="7D672BFD"/>
    <w:rsid w:val="7E0D2C71"/>
    <w:rsid w:val="7EC345BF"/>
    <w:rsid w:val="7FDD79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0" w:semiHidden="0" w:name="annotation text"/>
    <w:lsdException w:qFormat="1" w:uiPriority="0" w:semiHidden="0" w:name="header"/>
    <w:lsdException w:qFormat="1" w:uiPriority="0"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iPriority="99"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qFormat/>
    <w:uiPriority w:val="0"/>
    <w:pPr>
      <w:keepNext/>
      <w:keepLines/>
      <w:ind w:firstLine="0" w:firstLineChars="0"/>
      <w:outlineLvl w:val="0"/>
    </w:pPr>
    <w:rPr>
      <w:b/>
      <w:bCs/>
      <w:kern w:val="44"/>
      <w:sz w:val="30"/>
      <w:szCs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6">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45"/>
    <w:unhideWhenUsed/>
    <w:qFormat/>
    <w:uiPriority w:val="0"/>
    <w:pPr>
      <w:spacing w:after="120" w:line="240" w:lineRule="auto"/>
      <w:ind w:firstLine="0" w:firstLineChars="0"/>
    </w:pPr>
    <w:rPr>
      <w:kern w:val="0"/>
      <w:sz w:val="20"/>
      <w:szCs w:val="24"/>
    </w:rPr>
  </w:style>
  <w:style w:type="paragraph" w:styleId="7">
    <w:name w:val="table of authorities"/>
    <w:basedOn w:val="1"/>
    <w:next w:val="1"/>
    <w:unhideWhenUsed/>
    <w:qFormat/>
    <w:uiPriority w:val="99"/>
    <w:pPr>
      <w:spacing w:line="240" w:lineRule="auto"/>
      <w:ind w:left="420" w:leftChars="200" w:firstLine="0" w:firstLineChars="0"/>
    </w:pPr>
    <w:rPr>
      <w:sz w:val="21"/>
      <w:szCs w:val="24"/>
    </w:rPr>
  </w:style>
  <w:style w:type="paragraph" w:styleId="8">
    <w:name w:val="annotation text"/>
    <w:basedOn w:val="1"/>
    <w:link w:val="43"/>
    <w:unhideWhenUsed/>
    <w:qFormat/>
    <w:uiPriority w:val="0"/>
    <w:pPr>
      <w:jc w:val="left"/>
    </w:pPr>
  </w:style>
  <w:style w:type="paragraph" w:styleId="9">
    <w:name w:val="Plain Text"/>
    <w:basedOn w:val="1"/>
    <w:next w:val="1"/>
    <w:qFormat/>
    <w:uiPriority w:val="99"/>
    <w:rPr>
      <w:rFonts w:ascii="宋体" w:hAnsi="Courier New"/>
      <w:lang w:val="zh-CN"/>
    </w:rPr>
  </w:style>
  <w:style w:type="paragraph" w:styleId="10">
    <w:name w:val="Body Text Indent 2"/>
    <w:basedOn w:val="1"/>
    <w:qFormat/>
    <w:uiPriority w:val="0"/>
    <w:pPr>
      <w:ind w:left="0" w:firstLine="240" w:firstLineChars="100"/>
      <w:jc w:val="both"/>
    </w:pPr>
    <w:rPr>
      <w:color w:val="0000FF"/>
      <w:sz w:val="24"/>
    </w:rPr>
  </w:style>
  <w:style w:type="paragraph" w:styleId="11">
    <w:name w:val="footer"/>
    <w:basedOn w:val="1"/>
    <w:unhideWhenUsed/>
    <w:qFormat/>
    <w:uiPriority w:val="0"/>
    <w:pPr>
      <w:tabs>
        <w:tab w:val="center" w:pos="4153"/>
        <w:tab w:val="right" w:pos="8306"/>
      </w:tabs>
      <w:snapToGrid w:val="0"/>
      <w:spacing w:line="240" w:lineRule="auto"/>
      <w:jc w:val="left"/>
    </w:pPr>
    <w:rPr>
      <w:sz w:val="18"/>
      <w:szCs w:val="18"/>
    </w:rPr>
  </w:style>
  <w:style w:type="paragraph" w:styleId="12">
    <w:name w:val="header"/>
    <w:basedOn w:val="1"/>
    <w:next w:val="13"/>
    <w:unhideWhenUsed/>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13">
    <w:name w:val="index heading"/>
    <w:basedOn w:val="1"/>
    <w:next w:val="14"/>
    <w:qFormat/>
    <w:uiPriority w:val="0"/>
    <w:pPr>
      <w:snapToGrid w:val="0"/>
    </w:pPr>
  </w:style>
  <w:style w:type="paragraph" w:styleId="14">
    <w:name w:val="index 1"/>
    <w:basedOn w:val="1"/>
    <w:next w:val="1"/>
    <w:qFormat/>
    <w:uiPriority w:val="0"/>
    <w:pPr>
      <w:spacing w:line="240" w:lineRule="auto"/>
      <w:ind w:firstLine="0" w:firstLineChars="0"/>
    </w:pPr>
    <w:rPr>
      <w:rFonts w:ascii="宋体" w:hAnsi="宋体"/>
      <w:spacing w:val="10"/>
      <w:sz w:val="21"/>
      <w:szCs w:val="24"/>
    </w:rPr>
  </w:style>
  <w:style w:type="paragraph" w:styleId="15">
    <w:name w:val="toc 1"/>
    <w:basedOn w:val="1"/>
    <w:next w:val="1"/>
    <w:unhideWhenUsed/>
    <w:qFormat/>
    <w:uiPriority w:val="39"/>
  </w:style>
  <w:style w:type="paragraph" w:styleId="16">
    <w:name w:val="Body Text 2"/>
    <w:basedOn w:val="1"/>
    <w:qFormat/>
    <w:uiPriority w:val="0"/>
    <w:pPr>
      <w:spacing w:line="500" w:lineRule="exact"/>
    </w:pPr>
    <w:rPr>
      <w:rFonts w:eastAsia="黑体"/>
      <w:sz w:val="28"/>
      <w:szCs w:val="24"/>
    </w:rPr>
  </w:style>
  <w:style w:type="paragraph" w:styleId="17">
    <w:name w:val="Normal (Web)"/>
    <w:basedOn w:val="1"/>
    <w:link w:val="48"/>
    <w:qFormat/>
    <w:uiPriority w:val="0"/>
    <w:pPr>
      <w:widowControl/>
      <w:spacing w:before="100" w:beforeAutospacing="1" w:after="100" w:afterAutospacing="1" w:line="240" w:lineRule="auto"/>
      <w:ind w:firstLine="0" w:firstLineChars="0"/>
      <w:jc w:val="left"/>
    </w:pPr>
    <w:rPr>
      <w:rFonts w:ascii="宋体" w:hAnsi="宋体"/>
      <w:kern w:val="0"/>
      <w:szCs w:val="20"/>
    </w:rPr>
  </w:style>
  <w:style w:type="paragraph" w:styleId="18">
    <w:name w:val="annotation subject"/>
    <w:basedOn w:val="8"/>
    <w:next w:val="8"/>
    <w:link w:val="44"/>
    <w:qFormat/>
    <w:uiPriority w:val="0"/>
    <w:rPr>
      <w:b/>
      <w:bCs/>
    </w:rPr>
  </w:style>
  <w:style w:type="table" w:styleId="20">
    <w:name w:val="Table Grid"/>
    <w:basedOn w:val="19"/>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styleId="23">
    <w:name w:val="Emphasis"/>
    <w:basedOn w:val="21"/>
    <w:qFormat/>
    <w:uiPriority w:val="20"/>
    <w:rPr>
      <w:i/>
      <w:iCs/>
    </w:rPr>
  </w:style>
  <w:style w:type="character" w:styleId="24">
    <w:name w:val="Hyperlink"/>
    <w:basedOn w:val="21"/>
    <w:qFormat/>
    <w:uiPriority w:val="0"/>
    <w:rPr>
      <w:color w:val="0000FF"/>
      <w:u w:val="single"/>
    </w:rPr>
  </w:style>
  <w:style w:type="character" w:styleId="25">
    <w:name w:val="annotation reference"/>
    <w:basedOn w:val="21"/>
    <w:qFormat/>
    <w:uiPriority w:val="0"/>
    <w:rPr>
      <w:sz w:val="21"/>
      <w:szCs w:val="21"/>
    </w:rPr>
  </w:style>
  <w:style w:type="paragraph" w:customStyle="1" w:styleId="26">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paragraph" w:customStyle="1" w:styleId="27">
    <w:name w:val="样式5"/>
    <w:basedOn w:val="28"/>
    <w:qFormat/>
    <w:uiPriority w:val="0"/>
    <w:pPr>
      <w:tabs>
        <w:tab w:val="left" w:pos="420"/>
        <w:tab w:val="left" w:pos="1589"/>
      </w:tabs>
      <w:adjustRightInd w:val="0"/>
      <w:spacing w:line="480" w:lineRule="exact"/>
      <w:ind w:firstLine="480"/>
      <w:jc w:val="left"/>
    </w:pPr>
    <w:rPr>
      <w:rFonts w:ascii="宋体" w:hAnsi="宋体"/>
      <w:b/>
      <w:snapToGrid w:val="0"/>
      <w:szCs w:val="24"/>
    </w:rPr>
  </w:style>
  <w:style w:type="paragraph" w:customStyle="1" w:styleId="28">
    <w:name w:val="正文1"/>
    <w:basedOn w:val="1"/>
    <w:next w:val="1"/>
    <w:qFormat/>
    <w:uiPriority w:val="0"/>
    <w:pPr>
      <w:snapToGrid w:val="0"/>
      <w:spacing w:line="270" w:lineRule="exact"/>
      <w:jc w:val="center"/>
    </w:pPr>
    <w:rPr>
      <w:spacing w:val="8"/>
      <w:kern w:val="21"/>
      <w:szCs w:val="20"/>
    </w:rPr>
  </w:style>
  <w:style w:type="paragraph" w:customStyle="1" w:styleId="29">
    <w:name w:val="_Style 4"/>
    <w:basedOn w:val="3"/>
    <w:next w:val="1"/>
    <w:qFormat/>
    <w:uiPriority w:val="39"/>
    <w:pPr>
      <w:widowControl/>
      <w:spacing w:before="480" w:line="276" w:lineRule="auto"/>
      <w:jc w:val="left"/>
      <w:outlineLvl w:val="9"/>
    </w:pPr>
    <w:rPr>
      <w:rFonts w:ascii="Cambria" w:hAnsi="Cambria"/>
      <w:color w:val="365F91"/>
      <w:kern w:val="0"/>
      <w:sz w:val="28"/>
      <w:szCs w:val="28"/>
    </w:rPr>
  </w:style>
  <w:style w:type="paragraph" w:customStyle="1" w:styleId="30">
    <w:name w:val="表头图尾"/>
    <w:basedOn w:val="1"/>
    <w:qFormat/>
    <w:uiPriority w:val="0"/>
    <w:pPr>
      <w:spacing w:beforeLines="50" w:afterLines="30" w:line="240" w:lineRule="auto"/>
      <w:ind w:firstLine="0" w:firstLineChars="0"/>
      <w:jc w:val="center"/>
    </w:pPr>
    <w:rPr>
      <w:b/>
    </w:rPr>
  </w:style>
  <w:style w:type="paragraph" w:customStyle="1" w:styleId="31">
    <w:name w:val="表格001"/>
    <w:basedOn w:val="1"/>
    <w:qFormat/>
    <w:uiPriority w:val="0"/>
    <w:pPr>
      <w:spacing w:line="240" w:lineRule="auto"/>
      <w:ind w:firstLine="0" w:firstLineChars="0"/>
      <w:jc w:val="center"/>
    </w:pPr>
    <w:rPr>
      <w:sz w:val="21"/>
      <w:szCs w:val="20"/>
    </w:rPr>
  </w:style>
  <w:style w:type="paragraph" w:customStyle="1" w:styleId="32">
    <w:name w:val="表格1"/>
    <w:basedOn w:val="1"/>
    <w:qFormat/>
    <w:uiPriority w:val="0"/>
    <w:pPr>
      <w:adjustRightInd w:val="0"/>
      <w:spacing w:line="240" w:lineRule="auto"/>
      <w:ind w:firstLine="0" w:firstLineChars="0"/>
      <w:jc w:val="center"/>
      <w:textAlignment w:val="center"/>
    </w:pPr>
    <w:rPr>
      <w:kern w:val="0"/>
      <w:sz w:val="21"/>
      <w:szCs w:val="20"/>
    </w:rPr>
  </w:style>
  <w:style w:type="paragraph" w:customStyle="1" w:styleId="33">
    <w:name w:val="小标题"/>
    <w:basedOn w:val="1"/>
    <w:qFormat/>
    <w:uiPriority w:val="0"/>
    <w:rPr>
      <w:b/>
    </w:rPr>
  </w:style>
  <w:style w:type="paragraph" w:customStyle="1" w:styleId="34">
    <w:name w:val="宗兴正文"/>
    <w:basedOn w:val="1"/>
    <w:qFormat/>
    <w:uiPriority w:val="0"/>
    <w:pPr>
      <w:jc w:val="left"/>
    </w:pPr>
  </w:style>
  <w:style w:type="paragraph" w:customStyle="1" w:styleId="35">
    <w:name w:val="真宗兴正文"/>
    <w:basedOn w:val="1"/>
    <w:qFormat/>
    <w:uiPriority w:val="0"/>
    <w:pPr>
      <w:overflowPunct w:val="0"/>
      <w:autoSpaceDE w:val="0"/>
      <w:autoSpaceDN w:val="0"/>
      <w:adjustRightInd w:val="0"/>
      <w:snapToGrid w:val="0"/>
      <w:spacing w:beforeLines="30" w:afterLines="30"/>
      <w:textAlignment w:val="baseline"/>
    </w:pPr>
    <w:rPr>
      <w:szCs w:val="20"/>
    </w:rPr>
  </w:style>
  <w:style w:type="paragraph" w:customStyle="1" w:styleId="36">
    <w:name w:val="表格文字"/>
    <w:basedOn w:val="37"/>
    <w:next w:val="1"/>
    <w:qFormat/>
    <w:uiPriority w:val="0"/>
    <w:pPr>
      <w:spacing w:before="36" w:line="240" w:lineRule="auto"/>
      <w:ind w:firstLine="0" w:firstLineChars="0"/>
      <w:jc w:val="center"/>
    </w:pPr>
    <w:rPr>
      <w:bCs/>
      <w:color w:val="000000"/>
      <w:sz w:val="21"/>
      <w:szCs w:val="21"/>
    </w:rPr>
  </w:style>
  <w:style w:type="paragraph" w:customStyle="1" w:styleId="37">
    <w:name w:val="样式1"/>
    <w:basedOn w:val="1"/>
    <w:qFormat/>
    <w:uiPriority w:val="0"/>
    <w:pPr>
      <w:spacing w:before="156" w:beforeLines="50" w:after="156" w:afterLines="50"/>
      <w:outlineLvl w:val="1"/>
    </w:pPr>
    <w:rPr>
      <w:rFonts w:ascii="宋体" w:hAnsi="宋体"/>
      <w:b/>
      <w:sz w:val="30"/>
      <w:szCs w:val="30"/>
    </w:rPr>
  </w:style>
  <w:style w:type="paragraph" w:customStyle="1" w:styleId="38">
    <w:name w:val="wlh表头及图尾深圳环评（新）"/>
    <w:qFormat/>
    <w:uiPriority w:val="0"/>
    <w:pPr>
      <w:tabs>
        <w:tab w:val="center" w:pos="4200"/>
        <w:tab w:val="right" w:pos="8400"/>
      </w:tabs>
      <w:adjustRightInd w:val="0"/>
      <w:snapToGrid w:val="0"/>
      <w:spacing w:line="360" w:lineRule="auto"/>
      <w:jc w:val="center"/>
    </w:pPr>
    <w:rPr>
      <w:rFonts w:ascii="Verdana" w:hAnsi="Verdana" w:eastAsia="黑体" w:cs="Times New Roman"/>
      <w:snapToGrid w:val="0"/>
      <w:sz w:val="21"/>
      <w:szCs w:val="21"/>
      <w:lang w:val="en-US" w:eastAsia="zh-CN" w:bidi="ar-SA"/>
    </w:rPr>
  </w:style>
  <w:style w:type="paragraph" w:customStyle="1" w:styleId="39">
    <w:name w:val="表格题名"/>
    <w:basedOn w:val="1"/>
    <w:semiHidden/>
    <w:qFormat/>
    <w:uiPriority w:val="0"/>
    <w:pPr>
      <w:adjustRightInd w:val="0"/>
      <w:spacing w:line="240" w:lineRule="auto"/>
      <w:ind w:firstLine="0" w:firstLineChars="0"/>
      <w:jc w:val="center"/>
      <w:textAlignment w:val="baseline"/>
    </w:pPr>
    <w:rPr>
      <w:rFonts w:eastAsia="黑体"/>
      <w:b/>
      <w:kern w:val="0"/>
      <w:sz w:val="21"/>
      <w:szCs w:val="20"/>
    </w:rPr>
  </w:style>
  <w:style w:type="paragraph" w:customStyle="1" w:styleId="40">
    <w:name w:val="段落A"/>
    <w:basedOn w:val="1"/>
    <w:qFormat/>
    <w:uiPriority w:val="0"/>
    <w:pPr>
      <w:spacing w:line="400" w:lineRule="exact"/>
    </w:pPr>
  </w:style>
  <w:style w:type="paragraph" w:customStyle="1" w:styleId="41">
    <w:name w:val="wlh表标题深圳环评"/>
    <w:basedOn w:val="1"/>
    <w:qFormat/>
    <w:uiPriority w:val="0"/>
    <w:pPr>
      <w:widowControl/>
      <w:tabs>
        <w:tab w:val="left" w:pos="900"/>
        <w:tab w:val="left" w:pos="1080"/>
      </w:tabs>
      <w:autoSpaceDE w:val="0"/>
      <w:autoSpaceDN w:val="0"/>
      <w:adjustRightInd w:val="0"/>
      <w:snapToGrid w:val="0"/>
      <w:spacing w:line="240" w:lineRule="auto"/>
      <w:ind w:firstLine="0" w:firstLineChars="0"/>
      <w:jc w:val="center"/>
      <w:textAlignment w:val="center"/>
    </w:pPr>
    <w:rPr>
      <w:rFonts w:cs="黑体"/>
      <w:b/>
      <w:bCs/>
      <w:kern w:val="0"/>
      <w:sz w:val="21"/>
      <w:szCs w:val="21"/>
      <w:lang w:val="zh-CN" w:eastAsia="en-US" w:bidi="en-US"/>
    </w:rPr>
  </w:style>
  <w:style w:type="paragraph" w:customStyle="1" w:styleId="42">
    <w:name w:val="中文报告书样式"/>
    <w:basedOn w:val="1"/>
    <w:qFormat/>
    <w:uiPriority w:val="0"/>
    <w:pPr>
      <w:adjustRightInd w:val="0"/>
      <w:snapToGrid w:val="0"/>
      <w:ind w:firstLine="480"/>
      <w:textAlignment w:val="baseline"/>
    </w:pPr>
    <w:rPr>
      <w:kern w:val="24"/>
      <w:szCs w:val="20"/>
    </w:rPr>
  </w:style>
  <w:style w:type="character" w:customStyle="1" w:styleId="43">
    <w:name w:val="批注文字 字符"/>
    <w:basedOn w:val="21"/>
    <w:link w:val="8"/>
    <w:qFormat/>
    <w:uiPriority w:val="0"/>
    <w:rPr>
      <w:kern w:val="2"/>
      <w:sz w:val="24"/>
      <w:szCs w:val="22"/>
    </w:rPr>
  </w:style>
  <w:style w:type="character" w:customStyle="1" w:styleId="44">
    <w:name w:val="批注主题 字符"/>
    <w:basedOn w:val="43"/>
    <w:link w:val="18"/>
    <w:qFormat/>
    <w:uiPriority w:val="0"/>
    <w:rPr>
      <w:b/>
      <w:bCs/>
      <w:kern w:val="2"/>
      <w:sz w:val="24"/>
      <w:szCs w:val="22"/>
    </w:rPr>
  </w:style>
  <w:style w:type="character" w:customStyle="1" w:styleId="45">
    <w:name w:val="正文文本 字符"/>
    <w:basedOn w:val="21"/>
    <w:link w:val="2"/>
    <w:qFormat/>
    <w:uiPriority w:val="0"/>
    <w:rPr>
      <w:szCs w:val="24"/>
    </w:rPr>
  </w:style>
  <w:style w:type="character" w:customStyle="1" w:styleId="46">
    <w:name w:val="赵 Char"/>
    <w:link w:val="47"/>
    <w:qFormat/>
    <w:uiPriority w:val="0"/>
    <w:rPr>
      <w:color w:val="000000"/>
      <w:kern w:val="32"/>
      <w:sz w:val="24"/>
      <w:szCs w:val="28"/>
    </w:rPr>
  </w:style>
  <w:style w:type="paragraph" w:customStyle="1" w:styleId="47">
    <w:name w:val="赵"/>
    <w:basedOn w:val="1"/>
    <w:next w:val="1"/>
    <w:link w:val="46"/>
    <w:qFormat/>
    <w:uiPriority w:val="0"/>
    <w:pPr>
      <w:widowControl/>
      <w:tabs>
        <w:tab w:val="left" w:pos="540"/>
        <w:tab w:val="left" w:pos="851"/>
        <w:tab w:val="left" w:pos="994"/>
        <w:tab w:val="left" w:pos="1260"/>
        <w:tab w:val="left" w:pos="3108"/>
        <w:tab w:val="left" w:pos="3150"/>
      </w:tabs>
      <w:adjustRightInd w:val="0"/>
    </w:pPr>
    <w:rPr>
      <w:color w:val="000000"/>
      <w:kern w:val="32"/>
      <w:szCs w:val="28"/>
    </w:rPr>
  </w:style>
  <w:style w:type="character" w:customStyle="1" w:styleId="48">
    <w:name w:val="普通(网站) 字符"/>
    <w:link w:val="17"/>
    <w:qFormat/>
    <w:locked/>
    <w:uiPriority w:val="0"/>
    <w:rPr>
      <w:rFonts w:ascii="宋体" w:hAnsi="宋体"/>
      <w:sz w:val="24"/>
    </w:rPr>
  </w:style>
  <w:style w:type="paragraph" w:customStyle="1" w:styleId="49">
    <w:name w:val="表格"/>
    <w:basedOn w:val="1"/>
    <w:link w:val="50"/>
    <w:qFormat/>
    <w:uiPriority w:val="0"/>
    <w:pPr>
      <w:spacing w:before="100" w:beforeAutospacing="1" w:after="100" w:afterAutospacing="1" w:line="240" w:lineRule="auto"/>
      <w:ind w:firstLine="0" w:firstLineChars="0"/>
      <w:jc w:val="center"/>
    </w:pPr>
    <w:rPr>
      <w:kern w:val="0"/>
      <w:sz w:val="20"/>
      <w:szCs w:val="21"/>
      <w:lang w:val="zh-CN" w:eastAsia="zh-CN"/>
    </w:rPr>
  </w:style>
  <w:style w:type="character" w:customStyle="1" w:styleId="50">
    <w:name w:val="表格 Char1"/>
    <w:link w:val="49"/>
    <w:qFormat/>
    <w:uiPriority w:val="0"/>
    <w:rPr>
      <w:szCs w:val="21"/>
      <w:lang w:val="zh-CN" w:eastAsia="zh-CN"/>
    </w:rPr>
  </w:style>
  <w:style w:type="paragraph" w:customStyle="1" w:styleId="51">
    <w:name w:val="Table Paragraph"/>
    <w:basedOn w:val="1"/>
    <w:qFormat/>
    <w:uiPriority w:val="99"/>
    <w:pPr>
      <w:autoSpaceDE w:val="0"/>
      <w:autoSpaceDN w:val="0"/>
      <w:adjustRightInd w:val="0"/>
      <w:spacing w:line="240" w:lineRule="auto"/>
      <w:ind w:firstLine="0" w:firstLineChars="0"/>
      <w:jc w:val="left"/>
    </w:pPr>
    <w:rPr>
      <w:rFonts w:eastAsia="等线"/>
      <w:kern w:val="0"/>
      <w:szCs w:val="24"/>
    </w:rPr>
  </w:style>
  <w:style w:type="character" w:customStyle="1" w:styleId="52">
    <w:name w:val="表格内容（标） Char"/>
    <w:link w:val="53"/>
    <w:qFormat/>
    <w:uiPriority w:val="0"/>
    <w:rPr>
      <w:rFonts w:cs="宋体"/>
      <w:kern w:val="2"/>
      <w:sz w:val="21"/>
    </w:rPr>
  </w:style>
  <w:style w:type="paragraph" w:customStyle="1" w:styleId="53">
    <w:name w:val="表格内容（标）"/>
    <w:next w:val="1"/>
    <w:link w:val="52"/>
    <w:qFormat/>
    <w:uiPriority w:val="0"/>
    <w:pPr>
      <w:widowControl w:val="0"/>
      <w:spacing w:line="360" w:lineRule="exact"/>
      <w:jc w:val="center"/>
    </w:pPr>
    <w:rPr>
      <w:rFonts w:ascii="Times New Roman" w:hAnsi="Times New Roman" w:eastAsia="宋体" w:cs="宋体"/>
      <w:kern w:val="2"/>
      <w:sz w:val="21"/>
      <w:lang w:val="en-US" w:eastAsia="zh-CN" w:bidi="ar-SA"/>
    </w:rPr>
  </w:style>
  <w:style w:type="paragraph" w:customStyle="1" w:styleId="54">
    <w:name w:val="表1"/>
    <w:next w:val="1"/>
    <w:qFormat/>
    <w:uiPriority w:val="0"/>
    <w:pPr>
      <w:numPr>
        <w:ilvl w:val="0"/>
        <w:numId w:val="1"/>
      </w:numPr>
      <w:tabs>
        <w:tab w:val="left" w:pos="420"/>
      </w:tabs>
      <w:spacing w:line="360" w:lineRule="auto"/>
      <w:jc w:val="center"/>
    </w:pPr>
    <w:rPr>
      <w:rFonts w:ascii="Times New Roman" w:hAnsi="Times New Roman" w:eastAsia="宋体" w:cs="Times New Roman"/>
      <w:b/>
      <w:kern w:val="2"/>
      <w:sz w:val="24"/>
      <w:szCs w:val="24"/>
      <w:lang w:val="en-US" w:eastAsia="zh-CN" w:bidi="ar-SA"/>
    </w:rPr>
  </w:style>
  <w:style w:type="paragraph" w:styleId="55">
    <w:name w:val="List Paragraph"/>
    <w:basedOn w:val="1"/>
    <w:qFormat/>
    <w:uiPriority w:val="99"/>
    <w:pPr>
      <w:ind w:firstLine="420"/>
    </w:pPr>
  </w:style>
  <w:style w:type="table" w:customStyle="1" w:styleId="56">
    <w:name w:val="Table Normal"/>
    <w:semiHidden/>
    <w:unhideWhenUsed/>
    <w:qFormat/>
    <w:uiPriority w:val="0"/>
    <w:tblPr>
      <w:tblCellMar>
        <w:top w:w="0" w:type="dxa"/>
        <w:left w:w="0" w:type="dxa"/>
        <w:bottom w:w="0" w:type="dxa"/>
        <w:right w:w="0" w:type="dxa"/>
      </w:tblCellMar>
    </w:tblPr>
  </w:style>
  <w:style w:type="paragraph" w:customStyle="1" w:styleId="57">
    <w:name w:val="Table Text"/>
    <w:basedOn w:val="1"/>
    <w:semiHidden/>
    <w:qFormat/>
    <w:uiPriority w:val="0"/>
    <w:rPr>
      <w:rFonts w:ascii="宋体" w:hAnsi="宋体" w:eastAsia="宋体" w:cs="宋体"/>
      <w:sz w:val="24"/>
      <w:szCs w:val="24"/>
      <w:lang w:val="en-US" w:eastAsia="en-US" w:bidi="ar-SA"/>
    </w:rPr>
  </w:style>
  <w:style w:type="character" w:customStyle="1" w:styleId="58">
    <w:name w:val="font41"/>
    <w:basedOn w:val="21"/>
    <w:qFormat/>
    <w:uiPriority w:val="0"/>
    <w:rPr>
      <w:rFonts w:hint="default" w:ascii="Times New Roman" w:hAnsi="Times New Roman" w:cs="Times New Roman"/>
      <w:b/>
      <w:bCs/>
      <w:color w:val="000000"/>
      <w:sz w:val="18"/>
      <w:szCs w:val="18"/>
      <w:u w:val="none"/>
    </w:rPr>
  </w:style>
  <w:style w:type="character" w:customStyle="1" w:styleId="59">
    <w:name w:val="font11"/>
    <w:basedOn w:val="21"/>
    <w:qFormat/>
    <w:uiPriority w:val="0"/>
    <w:rPr>
      <w:rFonts w:hint="eastAsia" w:ascii="宋体" w:hAnsi="宋体" w:eastAsia="宋体" w:cs="宋体"/>
      <w:b/>
      <w:bCs/>
      <w:color w:val="000000"/>
      <w:sz w:val="18"/>
      <w:szCs w:val="18"/>
      <w:u w:val="none"/>
    </w:rPr>
  </w:style>
  <w:style w:type="character" w:customStyle="1" w:styleId="60">
    <w:name w:val="font71"/>
    <w:basedOn w:val="21"/>
    <w:qFormat/>
    <w:uiPriority w:val="0"/>
    <w:rPr>
      <w:rFonts w:hint="default" w:ascii="Times New Roman" w:hAnsi="Times New Roman" w:cs="Times New Roman"/>
      <w:b/>
      <w:bCs/>
      <w:color w:val="000000"/>
      <w:sz w:val="11"/>
      <w:szCs w:val="11"/>
      <w:u w:val="none"/>
    </w:rPr>
  </w:style>
  <w:style w:type="character" w:customStyle="1" w:styleId="61">
    <w:name w:val="font51"/>
    <w:basedOn w:val="21"/>
    <w:qFormat/>
    <w:uiPriority w:val="0"/>
    <w:rPr>
      <w:rFonts w:hint="eastAsia" w:ascii="宋体" w:hAnsi="宋体" w:eastAsia="宋体" w:cs="宋体"/>
      <w:color w:val="000000"/>
      <w:sz w:val="18"/>
      <w:szCs w:val="18"/>
      <w:u w:val="none"/>
    </w:rPr>
  </w:style>
  <w:style w:type="character" w:customStyle="1" w:styleId="62">
    <w:name w:val="font31"/>
    <w:basedOn w:val="21"/>
    <w:qFormat/>
    <w:uiPriority w:val="0"/>
    <w:rPr>
      <w:rFonts w:hint="default" w:ascii="Times New Roman" w:hAnsi="Times New Roman" w:cs="Times New Roman"/>
      <w:color w:val="000000"/>
      <w:sz w:val="18"/>
      <w:szCs w:val="18"/>
      <w:u w:val="none"/>
    </w:rPr>
  </w:style>
  <w:style w:type="character" w:customStyle="1" w:styleId="63">
    <w:name w:val="font81"/>
    <w:basedOn w:val="21"/>
    <w:qFormat/>
    <w:uiPriority w:val="0"/>
    <w:rPr>
      <w:rFonts w:hint="default" w:ascii="Times New Roman" w:hAnsi="Times New Roman" w:cs="Times New Roman"/>
      <w:color w:val="000000"/>
      <w:sz w:val="11"/>
      <w:szCs w:val="11"/>
      <w:u w:val="none"/>
    </w:rPr>
  </w:style>
  <w:style w:type="paragraph" w:customStyle="1" w:styleId="64">
    <w:name w:val="初稿正文"/>
    <w:basedOn w:val="1"/>
    <w:qFormat/>
    <w:uiPriority w:val="0"/>
    <w:pPr>
      <w:spacing w:line="360" w:lineRule="auto"/>
      <w:ind w:firstLine="720" w:firstLineChars="200"/>
    </w:pPr>
    <w:rPr>
      <w:color w:val="FF0000"/>
      <w:szCs w:val="21"/>
    </w:rPr>
  </w:style>
  <w:style w:type="paragraph" w:customStyle="1" w:styleId="65">
    <w:name w:val="表格标题"/>
    <w:basedOn w:val="64"/>
    <w:next w:val="1"/>
    <w:qFormat/>
    <w:uiPriority w:val="0"/>
    <w:pPr>
      <w:jc w:val="center"/>
    </w:pPr>
    <w:rPr>
      <w:b/>
      <w:bCs/>
    </w:rPr>
  </w:style>
  <w:style w:type="paragraph" w:customStyle="1" w:styleId="66">
    <w:name w:val="样式 标题 1 + 四号 段前: 0 磅 段后: 0 磅 行距: 1.5 倍行距"/>
    <w:basedOn w:val="67"/>
    <w:next w:val="68"/>
    <w:qFormat/>
    <w:uiPriority w:val="0"/>
    <w:pPr>
      <w:spacing w:line="360" w:lineRule="auto"/>
      <w:jc w:val="center"/>
    </w:pPr>
    <w:rPr>
      <w:sz w:val="28"/>
    </w:rPr>
  </w:style>
  <w:style w:type="paragraph" w:customStyle="1" w:styleId="67">
    <w:name w:val="报告表正文"/>
    <w:basedOn w:val="1"/>
    <w:qFormat/>
    <w:uiPriority w:val="0"/>
    <w:pPr>
      <w:spacing w:line="360" w:lineRule="auto"/>
      <w:jc w:val="both"/>
    </w:pPr>
    <w:rPr>
      <w:rFonts w:ascii="Times New Roman" w:hAnsi="Times New Roman"/>
      <w:sz w:val="24"/>
      <w:szCs w:val="24"/>
    </w:rPr>
  </w:style>
  <w:style w:type="paragraph" w:customStyle="1" w:styleId="68">
    <w:name w:val="文本正文"/>
    <w:basedOn w:val="1"/>
    <w:qFormat/>
    <w:uiPriority w:val="0"/>
    <w:pPr>
      <w:snapToGrid w:val="0"/>
      <w:spacing w:line="360" w:lineRule="auto"/>
      <w:ind w:firstLine="510"/>
      <w:jc w:val="left"/>
    </w:pPr>
    <w:rPr>
      <w:spacing w:val="4"/>
      <w:kern w:val="24"/>
      <w:lang w:val="zh-CN"/>
    </w:rPr>
  </w:style>
  <w:style w:type="paragraph" w:customStyle="1" w:styleId="69">
    <w:name w:val="Normal Indent1"/>
    <w:basedOn w:val="1"/>
    <w:qFormat/>
    <w:uiPriority w:val="0"/>
    <w:pPr>
      <w:ind w:firstLine="420" w:firstLineChars="200"/>
    </w:pPr>
  </w:style>
  <w:style w:type="character" w:customStyle="1" w:styleId="70">
    <w:name w:val="font21"/>
    <w:basedOn w:val="21"/>
    <w:qFormat/>
    <w:uiPriority w:val="0"/>
    <w:rPr>
      <w:rFonts w:hint="eastAsia" w:ascii="宋体" w:hAnsi="宋体" w:eastAsia="宋体" w:cs="宋体"/>
      <w:color w:val="000000"/>
      <w:sz w:val="21"/>
      <w:szCs w:val="21"/>
      <w:u w:val="none"/>
    </w:rPr>
  </w:style>
  <w:style w:type="character" w:customStyle="1" w:styleId="71">
    <w:name w:val="font61"/>
    <w:basedOn w:val="21"/>
    <w:qFormat/>
    <w:uiPriority w:val="0"/>
    <w:rPr>
      <w:rFonts w:hint="default" w:ascii="Times New Roman" w:hAnsi="Times New Roman" w:cs="Times New Roman"/>
      <w:color w:val="000000"/>
      <w:sz w:val="21"/>
      <w:szCs w:val="21"/>
      <w:u w:val="none"/>
      <w:vertAlign w:val="subscript"/>
    </w:rPr>
  </w:style>
  <w:style w:type="paragraph" w:customStyle="1" w:styleId="72">
    <w:name w:val="表标题"/>
    <w:basedOn w:val="1"/>
    <w:next w:val="1"/>
    <w:qFormat/>
    <w:uiPriority w:val="0"/>
    <w:pPr>
      <w:adjustRightInd w:val="0"/>
      <w:snapToGrid w:val="0"/>
      <w:spacing w:before="240" w:beforeLines="100" w:after="48" w:afterLines="20"/>
      <w:jc w:val="center"/>
    </w:pPr>
    <w:rPr>
      <w:rFonts w:eastAsia="黑体"/>
      <w:snapToGrid w:val="0"/>
      <w:kern w:val="0"/>
      <w:sz w:val="28"/>
    </w:rPr>
  </w:style>
  <w:style w:type="paragraph" w:customStyle="1" w:styleId="73">
    <w:name w:val="表头"/>
    <w:basedOn w:val="36"/>
    <w:next w:val="1"/>
    <w:qFormat/>
    <w:uiPriority w:val="0"/>
    <w:pPr>
      <w:tabs>
        <w:tab w:val="left" w:pos="3780"/>
      </w:tabs>
      <w:spacing w:before="120"/>
      <w:jc w:val="center"/>
    </w:pPr>
    <w:rPr>
      <w:rFonts w:eastAsia="黑体"/>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6" Type="http://schemas.microsoft.com/office/2011/relationships/people" Target="people.xml"/><Relationship Id="rId35" Type="http://schemas.openxmlformats.org/officeDocument/2006/relationships/fontTable" Target="fontTable.xml"/><Relationship Id="rId34" Type="http://schemas.openxmlformats.org/officeDocument/2006/relationships/customXml" Target="../customXml/item3.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NULL"/><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5088e5bc-8443-4b51-85e2-a70283495aa5</errorID>
      <errorWord>(</errorWord>
      <group>L1_Format</group>
      <groupName>格式问题</groupName>
      <ability>L2_HalfPunc</ability>
      <abilityName>全半角检查</abilityName>
      <candidateList>
        <item>（</item>
      </candidateList>
      <explain>文本全半角错误。</explain>
      <paraID>62310A47</paraID>
      <start>0</start>
      <end>1</end>
      <status>unmodified</status>
      <modifiedWord/>
      <trackRevisions>false</trackRevisions>
    </reviewItem>
    <reviewItem>
      <errorID>1b36ab8c-47d7-41a7-b18e-d658517cdaef</errorID>
      <errorWord>)</errorWord>
      <group>L1_Format</group>
      <groupName>格式问题</groupName>
      <ability>L2_HalfPunc</ability>
      <abilityName>全半角检查</abilityName>
      <candidateList>
        <item>）</item>
      </candidateList>
      <explain>文本全半角错误。</explain>
      <paraID>62310A47</paraID>
      <start>6</start>
      <end>7</end>
      <status>unmodified</status>
      <modifiedWord/>
      <trackRevisions>false</trackRevisions>
    </reviewItem>
    <reviewItem>
      <errorID>2f5dcc0c-a605-473f-b853-74a5550e9106</errorID>
      <errorWord>(</errorWord>
      <group>L1_Format</group>
      <groupName>格式问题</groupName>
      <ability>L2_HalfPunc</ability>
      <abilityName>全半角检查</abilityName>
      <candidateList>
        <item>（</item>
      </candidateList>
      <explain>文本全半角错误。</explain>
      <paraID>3C8B35C0</paraID>
      <start>17</start>
      <end>18</end>
      <status>unmodified</status>
      <modifiedWord/>
      <trackRevisions>false</trackRevisions>
    </reviewItem>
    <reviewItem>
      <errorID>3e4f817a-2d2c-4db4-bf9e-bc1fefcc6378</errorID>
      <errorWord>)</errorWord>
      <group>L1_Format</group>
      <groupName>格式问题</groupName>
      <ability>L2_HalfPunc</ability>
      <abilityName>全半角检查</abilityName>
      <candidateList>
        <item>）</item>
      </candidateList>
      <explain>文本全半角错误。</explain>
      <paraID>3C8B35C0</paraID>
      <start>20</start>
      <end>21</end>
      <status>unmodified</status>
      <modifiedWord/>
      <trackRevisions>false</trackRevisions>
    </reviewItem>
    <reviewItem>
      <errorID>3cf47ae3-4446-4760-b8e9-84eff35b08dc</errorID>
      <errorWord>-</errorWord>
      <group>L1_Format</group>
      <groupName>格式问题</groupName>
      <ability>L2_HalfPunc</ability>
      <abilityName>全半角检查</abilityName>
      <candidateList>
        <item>－</item>
      </candidateList>
      <explain>文本全半角错误。</explain>
      <paraID>6D83F4ED</paraID>
      <start>10</start>
      <end>11</end>
      <status>unmodified</status>
      <modifiedWord/>
      <trackRevisions>false</trackRevisions>
    </reviewItem>
    <reviewItem>
      <errorID>3da4e877-96e8-4c06-a7da-0fb277637105</errorID>
      <errorWord>【2025】29号</errorWord>
      <group>L1_Knowledge</group>
      <groupName>知识性问题</groupName>
      <ability>L2_Knowledge</ability>
      <abilityName>其他知识</abilityName>
      <candidateList>
        <item>〔2025〕29号</item>
      </candidateList>
      <explain>发文字号格式错误。</explain>
      <paraID> 6005ABE</paraID>
      <start>5</start>
      <end>14</end>
      <status>unmodified</status>
      <modifiedWord/>
      <trackRevisions>false</trackRevisions>
    </reviewItem>
    <reviewItem>
      <errorID>4107570c-a5c1-452c-aa5b-8c3c40e9a205</errorID>
      <errorWord>要</errorWord>
      <group>L1_Word</group>
      <groupName>字词问题</groupName>
      <ability>L2_Typo</ability>
      <abilityName>字词错误</abilityName>
      <candidateList>
        <item>要有</item>
      </candidateList>
      <explain/>
      <paraID>504C170D</paraID>
      <start>8</start>
      <end>9</end>
      <status>unmodified</status>
      <modifiedWord/>
      <trackRevisions>false</trackRevisions>
    </reviewItem>
    <reviewItem>
      <errorID>f191895f-2cb8-4096-aeec-4c2dfbe9c09a</errorID>
      <errorWord>为</errorWord>
      <group>L1_AI</group>
      <groupName>深度校对</groupName>
      <ability>L2_AI_Word</ability>
      <abilityName>字词纠错</abilityName>
      <candidateList>
        <item>未</item>
      </candidateList>
      <explain>〈副〉❶没（跟“已”相对）：尚～成年｜健康仍～恢复。❷不：～便｜～敢苟同｜～可厚非。</explain>
      <paraID>504C170D</paraID>
      <start>22</start>
      <end>23</end>
      <status>modified</status>
      <modifiedWord>未</modifiedWord>
      <trackRevisions>false</trackRevisions>
    </reviewItem>
    <reviewItem>
      <errorID>fb6dc2d8-ffa5-40ff-999d-e17b2126c794</errorID>
      <errorWord>产业政策符合性分析</errorWord>
      <group>L1_AI</group>
      <groupName>深度校对</groupName>
      <ability>L2_AI_Title</ability>
      <abilityName>标题检查</abilityName>
      <candidateList/>
      <explain>相邻标题序号不连续。一级标题“一、建设项目基本情况”下，前文使用“（一）”“（二）”作为二级标题序号，此处突然使用“（1）”，序号不连续；后续“（2）‘三线一单’符合性分析”同样存在该问题</explain>
      <paraID>280375E7</paraID>
      <start>0</start>
      <end>9</end>
      <status>ignored</status>
      <modifiedWord/>
      <trackRevisions>false</trackRevisions>
    </reviewItem>
    <reviewItem>
      <errorID>a30e11e2-92c3-434b-8734-4fb4e1bf556a</errorID>
      <errorWord>中共中央国务院</errorWord>
      <group>L1_Political</group>
      <groupName>政治性问题</groupName>
      <ability>L2_Keyword</ability>
      <abilityName>固定表述</abilityName>
      <candidateList>
        <item>中共中央、国务院</item>
      </candidateList>
      <explain>注意检查当前固定表述标点是否使用规范。</explain>
      <paraID>1735E8BF</paraID>
      <start>6</start>
      <end>13</end>
      <status>unmodified</status>
      <modifiedWord/>
      <trackRevisions>false</trackRevisions>
    </reviewItem>
    <reviewItem>
      <errorID>1aef4229-2d36-434c-b6c9-71a47c3dbc1a</errorID>
      <errorWord>A、项目与“玉溪市三线一单”的对照如下：</errorWord>
      <group>L1_AI</group>
      <groupName>深度校对</groupName>
      <ability>L2_AI_Title</ability>
      <abilityName>标题检查</abilityName>
      <candidateList/>
      <explain>相同层级标题序号格式前后文不一致。二级标题“（2）‘三线一单’符合性分析”下，前文使用数字序号，此处使用字母序号，同层级标题序号格式前后文不一致；后续“B、项目与玉溪市生态环境管控总体要求对照如下：”同样存在该问题</explain>
      <paraID>6F356C29</paraID>
      <start>0</start>
      <end>20</end>
      <status>unmodified</status>
      <modifiedWord/>
      <trackRevisions>false</trackRevisions>
    </reviewItem>
    <reviewItem>
      <errorID>a1febee0-6f22-4361-b030-f0bb31ca7461</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6F835A0D</paraID>
      <start>14</start>
      <end>18</end>
      <status>unmodified</status>
      <modifiedWord/>
      <trackRevisions>false</trackRevisions>
    </reviewItem>
    <reviewItem>
      <errorID>458fba27-4c33-4edd-b9b7-e8579169f378</errorID>
      <errorWord>饮 用水</errorWord>
      <group>L1_AI</group>
      <groupName>深度校对</groupName>
      <ability>L2_AI_Grammar</ability>
      <abilityName>语法纠错</abilityName>
      <candidateList>
        <item>饮用水</item>
      </candidateList>
      <explain>〈名〉喝的和做饭用的水。</explain>
      <paraID>4BE75FBF</paraID>
      <start>90</start>
      <end>94</end>
      <status>unmodified</status>
      <modifiedWord/>
      <trackRevisions>false</trackRevisions>
    </reviewItem>
    <reviewItem>
      <errorID>f50054e8-1626-4ede-bbb1-9d7b1b348f2f</errorID>
      <errorWord>湿 地</errorWord>
      <group>L1_AI</group>
      <groupName>深度校对</groupName>
      <ability>L2_AI_Grammar</ability>
      <abilityName>语法纠错</abilityName>
      <candidateList>
        <item>湿地</item>
      </candidateList>
      <explain/>
      <paraID>4BE75FBF</paraID>
      <start>102</start>
      <end>105</end>
      <status>unmodified</status>
      <modifiedWord/>
      <trackRevisions>false</trackRevisions>
    </reviewItem>
    <reviewItem>
      <errorID>f6a7c988-b25b-42e8-9bcb-dc5c665be867</errorID>
      <errorWord> 天林</errorWord>
      <group>L1_AI</group>
      <groupName>深度校对</groupName>
      <ability>L2_AI_Word</ability>
      <abilityName>字词纠错</abilityName>
      <candidateList>
        <item>天然林</item>
      </candidateList>
      <explain/>
      <paraID>4BE75FBF</paraID>
      <start>117</start>
      <end>120</end>
      <status>modified</status>
      <modifiedWord>天然林</modifiedWord>
      <trackRevisions>false</trackRevisions>
    </reviewItem>
    <reviewItem>
      <errorID>d7ebe6f4-319c-4b74-b378-3e60ce657492</errorID>
      <errorWord>生 态</errorWord>
      <group>L1_AI</group>
      <groupName>深度校对</groupName>
      <ability>L2_AI_Grammar</ability>
      <abilityName>语法纠错</abilityName>
      <candidateList>
        <item>生态</item>
      </candidateList>
      <explain/>
      <paraID>4BE75FBF</paraID>
      <start>140</start>
      <end>143</end>
      <status>unmodified</status>
      <modifiedWord/>
      <trackRevisions>false</trackRevisions>
    </reviewItem>
    <reviewItem>
      <errorID>11ccc4b0-c0e4-439a-95e7-2260a8c94559</errorID>
      <errorWord>城 市</errorWord>
      <group>L1_AI</group>
      <groupName>深度校对</groupName>
      <ability>L2_AI_Grammar</ability>
      <abilityName>语法纠错</abilityName>
      <candidateList>
        <item>城市</item>
      </candidateList>
      <explain/>
      <paraID>7B7AB573</paraID>
      <start>26</start>
      <end>29</end>
      <status>unmodified</status>
      <modifiedWord/>
      <trackRevisions>false</trackRevisions>
    </reviewItem>
    <reviewItem>
      <errorID>b67f1744-523e-4556-94d5-d10ed700c85d</errorID>
      <errorWord>天</errorWord>
      <group>L1_AI</group>
      <groupName>深度校对</groupName>
      <ability>L2_AI_Grammar</ability>
      <abilityName>语法纠错</abilityName>
      <candidateList>
        <item>天数</item>
      </candidateList>
      <explain/>
      <paraID>7B7AB573</paraID>
      <start>35</start>
      <end>36</end>
      <status>unmodified</status>
      <modifiedWord/>
      <trackRevisions>false</trackRevisions>
    </reviewItem>
    <reviewItem>
      <errorID>948a7c35-3384-4598-a709-a734b54191a4</errorID>
      <errorWord>保 持稳定</errorWord>
      <group>L1_AI</group>
      <groupName>深度校对</groupName>
      <ability>L2_AI_Grammar</ability>
      <abilityName>语法纠错</abilityName>
      <candidateList>
        <item>保持稳定</item>
      </candidateList>
      <explain/>
      <paraID>7B7AB573</paraID>
      <start>38</start>
      <end>43</end>
      <status>unmodified</status>
      <modifiedWord/>
      <trackRevisions>false</trackRevisions>
    </reviewItem>
    <reviewItem>
      <errorID>0f42b18d-e79c-457e-9725-992b72eab6f9</errorID>
      <errorWord> </errorWord>
      <group>L1_AI</group>
      <groupName>深度校对</groupName>
      <ability>L2_AI_Punc</ability>
      <abilityName>标点纠错</abilityName>
      <candidateList>
        <item/>
      </candidateList>
      <explain>此处空格冗余，建议删除。</explain>
      <paraID>7B7AB573</paraID>
      <start>51</start>
      <end>52</end>
      <status>unmodified</status>
      <modifiedWord/>
      <trackRevisions>false</trackRevisions>
    </reviewItem>
    <reviewItem>
      <errorID>d04599e3-8ec9-4098-a0ee-02401ea89de2</errorID>
      <errorWord>化碳</errorWord>
      <group>L1_AI</group>
      <groupName>深度校对</groupName>
      <ability>L2_AI_Grammar</ability>
      <abilityName>语法纠错</abilityName>
      <candidateList>
        <item>二氧化碳</item>
      </candidateList>
      <explain/>
      <paraID>7B7AB573</paraID>
      <start>79</start>
      <end>81</end>
      <status>unmodified</status>
      <modifiedWord/>
      <trackRevisions>false</trackRevisions>
    </reviewItem>
    <reviewItem>
      <errorID>32be60bf-344d-41d7-b767-008a7543d3ae</errorID>
      <errorWord>指 标</errorWord>
      <group>L1_AI</group>
      <groupName>深度校对</groupName>
      <ability>L2_AI_Grammar</ability>
      <abilityName>语法纠错</abilityName>
      <candidateList>
        <item>指标</item>
      </candidateList>
      <explain/>
      <paraID>7B7AB573</paraID>
      <start>89</start>
      <end>92</end>
      <status>unmodified</status>
      <modifiedWord/>
      <trackRevisions>false</trackRevisions>
    </reviewItem>
    <reviewItem>
      <errorID>9faf0292-45c2-4f62-afc2-041423d43421</errorID>
      <errorWord>环 境</errorWord>
      <group>L1_AI</group>
      <groupName>深度校对</groupName>
      <ability>L2_AI_Grammar</ability>
      <abilityName>语法纠错</abilityName>
      <candidateList>
        <item>环境</item>
      </candidateList>
      <explain>〈名〉❶周围的地方：～优美｜～卫生。❷周围的情况和条件：客观～｜工作～。</explain>
      <paraID>7B7AB573</paraID>
      <start>105</start>
      <end>108</end>
      <status>unmodified</status>
      <modifiedWord/>
      <trackRevisions>false</trackRevisions>
    </reviewItem>
    <reviewItem>
      <errorID>af3b59dd-7ffb-442f-abed-28e95021a34d</errorID>
      <errorWord> </errorWord>
      <group>L1_AI</group>
      <groupName>深度校对</groupName>
      <ability>L2_AI_Punc</ability>
      <abilityName>标点纠错</abilityName>
      <candidateList>
        <item/>
      </candidateList>
      <explain>此处空格冗余，建议删除。</explain>
      <paraID>7B7AB573</paraID>
      <start>131</start>
      <end>132</end>
      <status>unmodified</status>
      <modifiedWord/>
      <trackRevisions>false</trackRevisions>
    </reviewItem>
    <reviewItem>
      <errorID>13090a6f-5755-42ef-b620-a364fba77b69</errorID>
      <errorWord>二氧化</errorWord>
      <group>L1_AI</group>
      <groupName>深度校对</groupName>
      <ability>L2_AI_Grammar</ability>
      <abilityName>语法纠错</abilityName>
      <candidateList>
        <item>二氧化碳</item>
      </candidateList>
      <explain/>
      <paraID>7B7AB573</paraID>
      <start>137</start>
      <end>140</end>
      <status>unmodified</status>
      <modifiedWord/>
      <trackRevisions>false</trackRevisions>
    </reviewItem>
    <reviewItem>
      <errorID>6835c9a0-7c45-4b2a-90ce-e4c8be212c6f</errorID>
      <errorWord> </errorWord>
      <group>L1_AI</group>
      <groupName>深度校对</groupName>
      <ability>L2_AI_Punc</ability>
      <abilityName>标点纠错</abilityName>
      <candidateList>
        <item/>
      </candidateList>
      <explain>此处空格冗余，建议删除。</explain>
      <paraID>7B7AB573</paraID>
      <start>143</start>
      <end>144</end>
      <status>unmodified</status>
      <modifiedWord/>
      <trackRevisions>false</trackRevisions>
    </reviewItem>
    <reviewItem>
      <errorID>f9bdf3ae-9d29-4ca8-8e66-cdf99de207d5</errorID>
      <errorWord>减</errorWord>
      <group>L1_Word</group>
      <groupName>字词问题</groupName>
      <ability>L2_Typo</ability>
      <abilityName>字词错误</abilityName>
      <candidateList>
        <item>减少</item>
      </candidateList>
      <explain>〈动〉减去一部分：～人员｜～麻烦｜工作中的缺点～了。</explain>
      <paraID>7B7AB573</paraID>
      <start>146</start>
      <end>147</end>
      <status>unmodified</status>
      <modifiedWord/>
      <trackRevisions>false</trackRevisions>
    </reviewItem>
    <reviewItem>
      <errorID>600264ee-68d1-48a5-9ca1-a00d8fdfaa2d</errorID>
      <errorWord> </errorWord>
      <group>L1_AI</group>
      <groupName>深度校对</groupName>
      <ability>L2_AI_Punc</ability>
      <abilityName>标点纠错</abilityName>
      <candidateList>
        <item/>
      </candidateList>
      <explain>此处空格冗余，建议删除。</explain>
      <paraID>2C0583CB</paraID>
      <start>15</start>
      <end>15</end>
      <status>modified</status>
      <modifiedWord/>
      <trackRevisions>false</trackRevisions>
    </reviewItem>
    <reviewItem>
      <errorID>b8c5352c-8c52-40ee-ad3c-269fc4d068ed</errorID>
      <errorWord>险</errorWord>
      <group>L1_Word</group>
      <groupName>字词问题</groupName>
      <ability>L2_Typo</ability>
      <abilityName>字词错误</abilityName>
      <candidateList>
        <item>险防</item>
      </candidateList>
      <explain/>
      <paraID>2C0583CB</paraID>
      <start>16</start>
      <end>18</end>
      <status>modified</status>
      <modifiedWord>险防</modifiedWord>
      <trackRevisions>false</trackRevisions>
    </reviewItem>
    <reviewItem>
      <errorID>0c636e25-986e-4448-81b8-48d7ef7e2985</errorID>
      <errorWord>范</errorWord>
      <group>L1_AI</group>
      <groupName>深度校对</groupName>
      <ability>L2_AI_Grammar</ability>
      <abilityName>语法纠错</abilityName>
      <candidateList>
        <item>防范</item>
      </candidateList>
      <explain/>
      <paraID>2C0583CB</paraID>
      <start>18</start>
      <end>19</end>
      <status>unmodified</status>
      <modifiedWord/>
      <trackRevisions>false</trackRevisions>
    </reviewItem>
    <reviewItem>
      <errorID>60a95649-6463-4fe8-b449-7bf6046169e1</errorID>
      <errorWord>完</errorWord>
      <group>L1_AI</group>
      <groupName>深度校对</groupName>
      <ability>L2_AI_Grammar</ability>
      <abilityName>语法纠错</abilityName>
      <candidateList>
        <item>完善</item>
      </candidateList>
      <explain>❶〈形〉完备美好：设备～。❷〈动〉使完善：～管理制度。</explain>
      <paraID>2C0583CB</paraID>
      <start>24</start>
      <end>26</end>
      <status>modified</status>
      <modifiedWord>完善</modifiedWord>
      <trackRevisions>false</trackRevisions>
    </reviewItem>
    <reviewItem>
      <errorID>8dc04ddb-03a8-4a4d-9362-a5a84c36f90c</errorID>
      <errorWord>污 染</errorWord>
      <group>L1_AI</group>
      <groupName>深度校对</groupName>
      <ability>L2_AI_Grammar</ability>
      <abilityName>语法纠错</abilityName>
      <candidateList>
        <item>污染</item>
      </candidateList>
      <explain/>
      <paraID>2C0583CB</paraID>
      <start>28</start>
      <end>30</end>
      <status>modified</status>
      <modifiedWord>污染</modifiedWord>
      <trackRevisions>false</trackRevisions>
    </reviewItem>
    <reviewItem>
      <errorID>d073acbc-1d87-4a76-9e2c-8280385069ca</errorID>
      <errorWord> </errorWord>
      <group>L1_AI</group>
      <groupName>深度校对</groupName>
      <ability>L2_AI_Punc</ability>
      <abilityName>标点纠错</abilityName>
      <candidateList>
        <item/>
      </candidateList>
      <explain>此处空格冗余，建议删除。</explain>
      <paraID>2C0583CB</paraID>
      <start>40</start>
      <end>40</end>
      <status>modified</status>
      <modifiedWord/>
      <trackRevisions>false</trackRevisions>
    </reviewItem>
    <reviewItem>
      <errorID>606518e1-caba-4973-bb68-c8cbac4d129f</errorID>
      <errorWord>利率</errorWord>
      <group>L1_AI</group>
      <groupName>深度校对</groupName>
      <ability>L2_AI_Grammar</ability>
      <abilityName>语法纠错</abilityName>
      <candidateList>
        <item>利用率</item>
      </candidateList>
      <explain/>
      <paraID>2C0583CB</paraID>
      <start>44</start>
      <end>47</end>
      <status>modified</status>
      <modifiedWord>利用率</modifiedWord>
      <trackRevisions>false</trackRevisions>
    </reviewItem>
    <reviewItem>
      <errorID>863293b1-88a2-4f6f-aacf-f7315b19f06c</errorID>
      <errorWord> </errorWord>
      <group>L1_AI</group>
      <groupName>深度校对</groupName>
      <ability>L2_AI_Punc</ability>
      <abilityName>标点纠错</abilityName>
      <candidateList>
        <item/>
      </candidateList>
      <explain>此处空格冗余，建议删除。</explain>
      <paraID>2C0583CB</paraID>
      <start>52</start>
      <end>52</end>
      <status>modified</status>
      <modifiedWord/>
      <trackRevisions>false</trackRevisions>
    </reviewItem>
    <reviewItem>
      <errorID>e2e3d418-d471-4f5c-aa9d-701d1edde8fd</errorID>
      <errorWord> </errorWord>
      <group>L1_AI</group>
      <groupName>深度校对</groupName>
      <ability>L2_AI_Punc</ability>
      <abilityName>标点纠错</abilityName>
      <candidateList>
        <item/>
      </candidateList>
      <explain>此处空格冗余，建议删除。</explain>
      <paraID>2C0583CB</paraID>
      <start>67</start>
      <end>68</end>
      <status>unmodified</status>
      <modifiedWord/>
      <trackRevisions>false</trackRevisions>
    </reviewItem>
    <reviewItem>
      <errorID>e17dbb59-7f94-40ba-a02d-fcba9e546fd9</errorID>
      <errorWord> </errorWord>
      <group>L1_AI</group>
      <groupName>深度校对</groupName>
      <ability>L2_AI_Punc</ability>
      <abilityName>标点纠错</abilityName>
      <candidateList>
        <item/>
      </candidateList>
      <explain>此处空格冗余，建议删除。</explain>
      <paraID>2C0583CB</paraID>
      <start>79</start>
      <end>80</end>
      <status>unmodified</status>
      <modifiedWord/>
      <trackRevisions>false</trackRevisions>
    </reviewItem>
    <reviewItem>
      <errorID>46cff935-6a46-4aa4-ae84-d1600f993822</errorID>
      <errorWord>用地</errorWord>
      <group>L1_AI</group>
      <groupName>深度校对</groupName>
      <ability>L2_AI_Grammar</ability>
      <abilityName>语法纠错</abilityName>
      <candidateList>
        <item>农用地</item>
      </candidateList>
      <explain/>
      <paraID>2C0583CB</paraID>
      <start>82</start>
      <end>84</end>
      <status>unmodified</status>
      <modifiedWord/>
      <trackRevisions>false</trackRevisions>
    </reviewItem>
    <reviewItem>
      <errorID>2fec0f08-d9c6-4416-ad47-6f6c9d02ed88</errorID>
      <errorWord>土壤环 境</errorWord>
      <group>L1_AI</group>
      <groupName>深度校对</groupName>
      <ability>L2_AI_Grammar</ability>
      <abilityName>语法纠错</abilityName>
      <candidateList>
        <item>土壤环境</item>
      </candidateList>
      <explain/>
      <paraID>2C0583CB</paraID>
      <start>89</start>
      <end>94</end>
      <status>unmodified</status>
      <modifiedWord/>
      <trackRevisions>false</trackRevisions>
    </reviewItem>
    <reviewItem>
      <errorID>3cab5ac8-2fca-4dc6-8707-62d61b296b2d</errorID>
      <errorWord>污 染</errorWord>
      <group>L1_AI</group>
      <groupName>深度校对</groupName>
      <ability>L2_AI_Grammar</ability>
      <abilityName>语法纠错</abilityName>
      <candidateList>
        <item>污染</item>
      </candidateList>
      <explain/>
      <paraID>2C0583CB</paraID>
      <start>104</start>
      <end>107</end>
      <status>unmodified</status>
      <modifiedWord/>
      <trackRevisions>false</trackRevisions>
    </reviewItem>
    <reviewItem>
      <errorID>a019b45b-6eb1-4c1d-8534-522e4c3e7457</errorID>
      <errorWord>利率</errorWord>
      <group>L1_AI</group>
      <groupName>深度校对</groupName>
      <ability>L2_AI_Grammar</ability>
      <abilityName>语法纠错</abilityName>
      <candidateList>
        <item>利用率</item>
      </candidateList>
      <explain/>
      <paraID>2C0583CB</paraID>
      <start>111</start>
      <end>113</end>
      <status>unmodified</status>
      <modifiedWord/>
      <trackRevisions>false</trackRevisions>
    </reviewItem>
    <reviewItem>
      <errorID>dada7656-7ede-4917-ac4d-05406c733c0c</errorID>
      <errorWord>地 块</errorWord>
      <group>L1_AI</group>
      <groupName>深度校对</groupName>
      <ability>L2_AI_Grammar</ability>
      <abilityName>语法纠错</abilityName>
      <candidateList>
        <item>地块</item>
      </candidateList>
      <explain/>
      <paraID>2C0583CB</paraID>
      <start>116</start>
      <end>119</end>
      <status>unmodified</status>
      <modifiedWord/>
      <trackRevisions>false</trackRevisions>
    </reviewItem>
    <reviewItem>
      <errorID>393813a2-206d-4791-adb6-038040020288</errorID>
      <errorWord> 土壤境</errorWord>
      <group>L1_AI</group>
      <groupName>深度校对</groupName>
      <ability>L2_AI_Word</ability>
      <abilityName>字词纠错</abilityName>
      <candidateList>
        <item>土壤环境</item>
      </candidateList>
      <explain/>
      <paraID>2C0583CB</paraID>
      <start>130</start>
      <end>134</end>
      <status>unmodified</status>
      <modifiedWord/>
      <trackRevisions>false</trackRevisions>
    </reviewItem>
    <reviewItem>
      <errorID>35d1f38a-b662-4282-9649-114fe76b9fe1</errorID>
      <errorWord>利 用</errorWord>
      <group>L1_AI</group>
      <groupName>深度校对</groupName>
      <ability>L2_AI_Grammar</ability>
      <abilityName>语法纠错</abilityName>
      <candidateList>
        <item>利用</item>
      </candidateList>
      <explain/>
      <paraID>5D469ACA</paraID>
      <start>10</start>
      <end>13</end>
      <status>unmodified</status>
      <modifiedWord/>
      <trackRevisions>false</trackRevisions>
    </reviewItem>
    <reviewItem>
      <errorID>0f94316d-d5c7-4231-8f43-a71d83f252e9</errorID>
      <errorWord>利用 效率</errorWord>
      <group>L1_AI</group>
      <groupName>深度校对</groupName>
      <ability>L2_AI_Grammar</ability>
      <abilityName>语法纠错</abilityName>
      <candidateList>
        <item>利用效率</item>
      </candidateList>
      <explain/>
      <paraID>5D469ACA</paraID>
      <start>22</start>
      <end>27</end>
      <status>unmodified</status>
      <modifiedWord/>
      <trackRevisions>false</trackRevisions>
    </reviewItem>
    <reviewItem>
      <errorID>54dba0c8-5e6b-4305-a933-eeb5b4d031a6</errorID>
      <errorWord>土地</errorWord>
      <group>L1_AI</group>
      <groupName>深度校对</groupName>
      <ability>L2_AI_Punc</ability>
      <abilityName>标点纠错</abilityName>
      <candidateList>
        <item>、土地</item>
      </candidateList>
      <explain/>
      <paraID>5D469ACA</paraID>
      <start>31</start>
      <end>33</end>
      <status>unmodified</status>
      <modifiedWord/>
      <trackRevisions>false</trackRevisions>
    </reviewItem>
    <reviewItem>
      <errorID>b39f799a-1c26-4313-ad68-62a73d66ac42</errorID>
      <errorWord>能 源消耗</errorWord>
      <group>L1_AI</group>
      <groupName>深度校对</groupName>
      <ability>L2_AI_Grammar</ability>
      <abilityName>语法纠错</abilityName>
      <candidateList>
        <item>能源消耗</item>
      </candidateList>
      <explain/>
      <paraID>5D469ACA</paraID>
      <start>36</start>
      <end>41</end>
      <status>unmodified</status>
      <modifiedWord/>
      <trackRevisions>false</trackRevisions>
    </reviewItem>
    <reviewItem>
      <errorID>f4dbe792-431e-46fa-bf8f-0a7a32f3ecfb</errorID>
      <errorWord>下 达</errorWord>
      <group>L1_AI</group>
      <groupName>深度校对</groupName>
      <ability>L2_AI_Grammar</ability>
      <abilityName>语法纠错</abilityName>
      <candidateList>
        <item>下达</item>
      </candidateList>
      <explain/>
      <paraID>5D469ACA</paraID>
      <start>48</start>
      <end>51</end>
      <status>unmodified</status>
      <modifiedWord/>
      <trackRevisions>false</trackRevisions>
    </reviewItem>
    <reviewItem>
      <errorID>8b66a26f-ed9c-4857-9e78-ca8f6215f535</errorID>
      <errorWord>上线</errorWord>
      <group>L1_Word</group>
      <groupName>字词问题</groupName>
      <ability>L2_Typo</ability>
      <abilityName>字词错误</abilityName>
      <candidateList>
        <item>上限</item>
      </candidateList>
      <explain/>
      <paraID>78AD32A3</paraID>
      <start>26</start>
      <end>28</end>
      <status>unmodified</status>
      <modifiedWord/>
      <trackRevisions>false</trackRevisions>
    </reviewItem>
    <reviewItem>
      <errorID>502c23f0-92e9-4428-b9a8-5b56950770d9</errorID>
      <errorWord>上线</errorWord>
      <group>L1_Word</group>
      <groupName>字词问题</groupName>
      <ability>L2_Typo</ability>
      <abilityName>字词错误</abilityName>
      <candidateList>
        <item>上限</item>
      </candidateList>
      <explain/>
      <paraID>78AD32A3</paraID>
      <start>51</start>
      <end>53</end>
      <status>unmodified</status>
      <modifiedWord/>
      <trackRevisions>false</trackRevisions>
    </reviewItem>
    <reviewItem>
      <errorID>9fe4d918-a0aa-4620-b688-848f7793082d</errorID>
      <errorWord>上线</errorWord>
      <group>L1_Word</group>
      <groupName>字词问题</groupName>
      <ability>L2_Typo</ability>
      <abilityName>字词错误</abilityName>
      <candidateList>
        <item>上限</item>
      </candidateList>
      <explain/>
      <paraID>78AD32A3</paraID>
      <start>92</start>
      <end>94</end>
      <status>unmodified</status>
      <modifiedWord/>
      <trackRevisions>false</trackRevisions>
    </reviewItem>
    <reviewItem>
      <errorID>00a11d41-22d7-4533-a9c7-4ceb671ac6dd</errorID>
      <errorWord>、</errorWord>
      <group>L1_Punc</group>
      <groupName>标点问题</groupName>
      <ability>L2_Punc</ability>
      <abilityName>标点符号检查</abilityName>
      <candidateList>
        <item>.</item>
      </candidateList>
      <explain/>
      <paraID>38E3C2DD</paraID>
      <start>1</start>
      <end>2</end>
      <status>unmodified</status>
      <modifiedWord/>
      <trackRevisions>false</trackRevisions>
    </reviewItem>
    <reviewItem>
      <errorID>c78ac58e-67fb-4dbc-acf0-0710e57e057e</errorID>
      <errorWord>，</errorWord>
      <group>L1_AI</group>
      <groupName>深度校对</groupName>
      <ability>L2_AI_Grammar</ability>
      <abilityName>语法纠错</abilityName>
      <candidateList>
        <item>力度，</item>
      </candidateList>
      <explain/>
      <paraID>162238E4</paraID>
      <start>21</start>
      <end>22</end>
      <status>unmodified</status>
      <modifiedWord/>
      <trackRevisions>false</trackRevisions>
    </reviewItem>
    <reviewItem>
      <errorID>c189a8d0-e201-43fc-bd88-bf9142a6d593</errorID>
      <errorWord>重点</errorWord>
      <group>L1_AI</group>
      <groupName>深度校对</groupName>
      <ability>L2_AI_Grammar</ability>
      <abilityName>语法纠错</abilityName>
      <candidateList>
        <item>在重点</item>
      </candidateList>
      <explain/>
      <paraID>162238E4</paraID>
      <start>22</start>
      <end>24</end>
      <status>unmodified</status>
      <modifiedWord/>
      <trackRevisions>false</trackRevisions>
    </reviewItem>
    <reviewItem>
      <errorID>a83b28cb-ec45-48c7-ae66-f237e7bae3a1</errorID>
      <errorWord>地区</errorWord>
      <group>L1_AI</group>
      <groupName>深度校对</groupName>
      <ability>L2_AI_Punc</ability>
      <abilityName>标点纠错</abilityName>
      <candidateList>
        <item>地区。</item>
      </candidateList>
      <explain/>
      <paraID>39ED322F</paraID>
      <start>15</start>
      <end>17</end>
      <status>unmodified</status>
      <modifiedWord/>
      <trackRevisions>false</trackRevisions>
    </reviewItem>
    <reviewItem>
      <errorID>70b3d833-4183-45ab-9d35-a11067eee06f</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52C98D08</paraID>
      <start>64</start>
      <end>70</end>
      <status>unmodified</status>
      <modifiedWord/>
      <trackRevisions>false</trackRevisions>
    </reviewItem>
    <reviewItem>
      <errorID>8ec1c207-62f2-40e1-8d46-2a84b5dd703d</errorID>
      <errorWord>逃逸</errorWord>
      <group>L1_Word</group>
      <groupName>字词问题</groupName>
      <ability>L2_Typo</ability>
      <abilityName>字词错误</abilityName>
      <candidateList>
        <item>挥发</item>
      </candidateList>
      <explain/>
      <paraID> C54AE61</paraID>
      <start>149</start>
      <end>151</end>
      <status>unmodified</status>
      <modifiedWord/>
      <trackRevisions>false</trackRevisions>
    </reviewItem>
    <reviewItem>
      <errorID>ada8e11f-7ca3-4107-ad0b-2e4ecd34719a</errorID>
      <errorWord>、</errorWord>
      <group>L1_Punc</group>
      <groupName>标点问题</groupName>
      <ability>L2_Punc</ability>
      <abilityName>标点符号检查</abilityName>
      <candidateList>
        <item>.</item>
      </candidateList>
      <explain/>
      <paraID>6812F12A</paraID>
      <start>1</start>
      <end>2</end>
      <status>unmodified</status>
      <modifiedWord/>
      <trackRevisions>false</trackRevisions>
    </reviewItem>
    <reviewItem>
      <errorID>64b1b97f-2a9e-478e-b32b-bb0561973bf3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1390A2F6</paraID>
      <start>17</start>
      <end>20</end>
      <status>unmodified</status>
      <modifiedWord/>
      <trackRevisions>false</trackRevisions>
    </reviewItem>
    <reviewItem>
      <errorID>f04726e1-e727-4070-bfda-96293c3594f8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1390A2F6</paraID>
      <start>43</start>
      <end>46</end>
      <status>unmodified</status>
      <modifiedWord/>
      <trackRevisions>false</trackRevisions>
    </reviewItem>
    <reviewItem>
      <errorID>2fc698ed-98fe-4937-bd38-45681f271108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1390A2F6</paraID>
      <start>55</start>
      <end>58</end>
      <status>unmodified</status>
      <modifiedWord/>
      <trackRevisions>false</trackRevisions>
    </reviewItem>
    <reviewItem>
      <errorID>9468de8d-11cc-428d-a33c-a8a0872dcdf0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1390A2F6</paraID>
      <start>103</start>
      <end>106</end>
      <status>unmodified</status>
      <modifiedWord/>
      <trackRevisions>false</trackRevisions>
    </reviewItem>
    <reviewItem>
      <errorID>afd96032-2c52-4c85-9708-3e472436a126</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1390A2F6</paraID>
      <start>130</start>
      <end>135</end>
      <status>unmodified</status>
      <modifiedWord/>
      <trackRevisions>false</trackRevisions>
    </reviewItem>
    <reviewItem>
      <errorID>154cc71e-a2c3-455a-8f10-4abcf4056de2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1B0B86D0</paraID>
      <start>16</start>
      <end>19</end>
      <status>unmodified</status>
      <modifiedWord/>
      <trackRevisions>false</trackRevisions>
    </reviewItem>
    <reviewItem>
      <errorID>c35881bf-dba8-4059-b5c4-2be64ce9170f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1B0B86D0</paraID>
      <start>35</start>
      <end>38</end>
      <status>unmodified</status>
      <modifiedWord/>
      <trackRevisions>false</trackRevisions>
    </reviewItem>
    <reviewItem>
      <errorID>367e7f6a-bf74-4669-a464-0f55bf23fafd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1B0B86D0</paraID>
      <start>47</start>
      <end>50</end>
      <status>unmodified</status>
      <modifiedWord/>
      <trackRevisions>false</trackRevisions>
    </reviewItem>
    <reviewItem>
      <errorID>bf54de27-5b04-43bc-8944-b63c21439295</errorID>
      <errorWord>、</errorWord>
      <group>L1_Punc</group>
      <groupName>标点问题</groupName>
      <ability>L2_Punc</ability>
      <abilityName>标点符号检查</abilityName>
      <candidateList>
        <item>.</item>
      </candidateList>
      <explain/>
      <paraID>6454DC88</paraID>
      <start>1</start>
      <end>2</end>
      <status>unmodified</status>
      <modifiedWord/>
      <trackRevisions>false</trackRevisions>
    </reviewItem>
    <reviewItem>
      <errorID>ac5ea099-45fd-49b0-9307-b840804a50f9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436D0DA4</paraID>
      <start>8</start>
      <end>11</end>
      <status>unmodified</status>
      <modifiedWord/>
      <trackRevisions>false</trackRevisions>
    </reviewItem>
    <reviewItem>
      <errorID>191b67cb-ae7e-45cf-b78b-3285ad8d6604</errorID>
      <errorWord>要求后</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1BB84592</paraID>
      <start>63</start>
      <end>66</end>
      <status>unmodified</status>
      <modifiedWord/>
      <trackRevisions>false</trackRevisions>
    </reviewItem>
    <reviewItem>
      <errorID>ca8a46d0-7151-4244-9671-8cb1d02d0f07</errorID>
      <errorWord>云南省星云湖管理条例</errorWord>
      <group>L1_Knowledge</group>
      <groupName>知识性问题</groupName>
      <ability>L2_Knowledge</ability>
      <abilityName>其他知识</abilityName>
      <candidateList>
        <item>云南省星云湖保护条例</item>
      </candidateList>
      <explain>当前法律法规未收录或尚未生效，注意核查是否正确。</explain>
      <paraID>66103F0A</paraID>
      <start>4</start>
      <end>14</end>
      <status>unmodified</status>
      <modifiedWord/>
      <trackRevisions>false</trackRevisions>
    </reviewItem>
    <reviewItem>
      <errorID>35bb3008-d822-42cd-86f0-4e2b8cfdc4b5</errorID>
      <errorWord>云南省星云湖管理条例</errorWord>
      <group>L1_Knowledge</group>
      <groupName>知识性问题</groupName>
      <ability>L2_Knowledge</ability>
      <abilityName>其他知识</abilityName>
      <candidateList>
        <item>云南省星云湖保护条例</item>
      </candidateList>
      <explain>当前法律法规未收录或尚未生效，注意核查是否正确。</explain>
      <paraID>56D7A516</paraID>
      <start>3</start>
      <end>13</end>
      <status>unmodified</status>
      <modifiedWord/>
      <trackRevisions>false</trackRevisions>
    </reviewItem>
    <reviewItem>
      <errorID>82c00d2d-c1e6-4454-bc4d-232602eafe1a</errorID>
      <errorWord>云南省星云湖管理条例</errorWord>
      <group>L1_Knowledge</group>
      <groupName>知识性问题</groupName>
      <ability>L2_Knowledge</ability>
      <abilityName>其他知识</abilityName>
      <candidateList>
        <item>云南省星云湖保护条例</item>
      </candidateList>
      <explain>当前法律法规未收录或尚未生效，注意核查是否正确。</explain>
      <paraID>53E363F9</paraID>
      <start>3</start>
      <end>13</end>
      <status>unmodified</status>
      <modifiedWord/>
      <trackRevisions>false</trackRevisions>
    </reviewItem>
    <reviewItem>
      <errorID>b276438d-e294-40e6-a74e-c341e9d96921</errorID>
      <errorWord>生活废水</errorWord>
      <group>L1_Knowledge</group>
      <groupName>知识性问题</groupName>
      <ability>L2_Term</ability>
      <abilityName>专业术语</abilityName>
      <candidateList>
        <item>生活污水</item>
      </candidateList>
      <explain/>
      <paraID>48100C21</paraID>
      <start>44</start>
      <end>48</end>
      <status>unmodified</status>
      <modifiedWord/>
      <trackRevisions>false</trackRevisions>
    </reviewItem>
    <reviewItem>
      <errorID>1005ace8-55f8-450a-adc2-14704590b69f</errorID>
      <errorWord>期</errorWord>
      <group>L1_Word</group>
      <groupName>字词问题</groupName>
      <ability>L2_Typo</ability>
      <abilityName>字词错误</abilityName>
      <candidateList>
        <item>期间</item>
      </candidateList>
      <explain>〈名〉某个时期里面：农忙～｜春节～｜抗战～。</explain>
      <paraID>48100C21</paraID>
      <start>89</start>
      <end>90</end>
      <status>unmodified</status>
      <modifiedWord/>
      <trackRevisions>false</trackRevisions>
    </reviewItem>
    <reviewItem>
      <errorID>3a5e0624-c201-447b-aaf0-e83446f56c92</errorID>
      <errorWord>云南省星云湖管理条例</errorWord>
      <group>L1_Knowledge</group>
      <groupName>知识性问题</groupName>
      <ability>L2_Knowledge</ability>
      <abilityName>其他知识</abilityName>
      <candidateList>
        <item>云南省星云湖保护条例</item>
      </candidateList>
      <explain>当前法律法规未收录或尚未生效，注意核查是否正确。</explain>
      <paraID>48100C21</paraID>
      <start>115</start>
      <end>125</end>
      <status>unmodified</status>
      <modifiedWord/>
      <trackRevisions>false</trackRevisions>
    </reviewItem>
    <reviewItem>
      <errorID>5cc2edda-6a81-46a8-b9f8-2e3b14d1bdae</errorID>
      <errorWord>云南省星云湖管理条例</errorWord>
      <group>L1_Knowledge</group>
      <groupName>知识性问题</groupName>
      <ability>L2_Knowledge</ability>
      <abilityName>其他知识</abilityName>
      <candidateList>
        <item>云南省星云湖保护条例</item>
      </candidateList>
      <explain>当前法律法规未收录或尚未生效，注意核查是否正确。</explain>
      <paraID>37562B83</paraID>
      <start>55</start>
      <end>65</end>
      <status>unmodified</status>
      <modifiedWord/>
      <trackRevisions>false</trackRevisions>
    </reviewItem>
    <reviewItem>
      <errorID>489359ed-6b28-4f7c-b0b3-b1143d2ef0d5</errorID>
      <errorWord>千线</errorWord>
      <group>L1_Word</group>
      <groupName>字词问题</groupName>
      <ability>L2_Typo</ability>
      <abilityName>字词错误</abilityName>
      <candidateList>
        <item>干线</item>
      </candidateList>
      <explain>存在字形相近字词的误用。</explain>
      <paraID>41E7F5FA</paraID>
      <start>44</start>
      <end>46</end>
      <status>unmodified</status>
      <modifiedWord/>
      <trackRevisions>false</trackRevisions>
    </reviewItem>
    <reviewItem>
      <errorID>72c427fc-fbe1-46e5-b5b9-176c9c74f305</errorID>
      <errorWord>生态环境 保护</errorWord>
      <group>L1_Political</group>
      <groupName>政治性问题</groupName>
      <ability>L2_Keyword</ability>
      <abilityName>固定表述</abilityName>
      <candidateList>
        <item>生态环境保护</item>
      </candidateList>
      <explain>词汇“生态环境保护”在特定场景下为固定表述形式，请确认此处的“生态环境 保护”是否存在不当。</explain>
      <paraID>7713F91D</paraID>
      <start>97</start>
      <end>104</end>
      <status>unmodified</status>
      <modifiedWord/>
      <trackRevisions>false</trackRevisions>
    </reviewItem>
    <reviewItem>
      <errorID>6b735320-b865-482b-bcfe-5edcd7ef6a79</errorID>
      <errorWord>&lt;</errorWord>
      <group>L1_Format</group>
      <groupName>格式问题</groupName>
      <ability>L2_HalfPunc</ability>
      <abilityName>全半角检查</abilityName>
      <candidateList>
        <item>〈</item>
      </candidateList>
      <explain>文本全半角错误。</explain>
      <paraID>5B6F5274</paraID>
      <start>32</start>
      <end>33</end>
      <status>unmodified</status>
      <modifiedWord/>
      <trackRevisions>false</trackRevisions>
    </reviewItem>
    <reviewItem>
      <errorID>89e2d2f4-2dbb-4b04-99a5-0309288b8fcb</errorID>
      <errorWord>&gt;的通知》</errorWord>
      <group>L1_Punc</group>
      <groupName>标点问题</groupName>
      <ability>L2_Punc</ability>
      <abilityName>标点符号检查</abilityName>
      <candidateList>
        <item>〉的通知》</item>
      </candidateList>
      <explain/>
      <paraID>5B6F5274</paraID>
      <start>63</start>
      <end>68</end>
      <status>unmodified</status>
      <modifiedWord/>
      <trackRevisions>false</trackRevisions>
    </reviewItem>
    <reviewItem>
      <errorID>dc3e53f7-f4ec-47ad-bf8b-c5d0821d3831</errorID>
      <errorWord>(</errorWord>
      <group>L1_Format</group>
      <groupName>格式问题</groupName>
      <ability>L2_HalfPunc</ability>
      <abilityName>全半角检查</abilityName>
      <candidateList>
        <item>（</item>
      </candidateList>
      <explain>文本全半角错误。</explain>
      <paraID>754089DE</paraID>
      <start>48</start>
      <end>49</end>
      <status>unmodified</status>
      <modifiedWord/>
      <trackRevisions>false</trackRevisions>
    </reviewItem>
    <reviewItem>
      <errorID>6a567577-1a45-4d33-9b54-c49e178ab90f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754089DE</paraID>
      <start>58</start>
      <end>59</end>
      <status>unmodified</status>
      <modifiedWord/>
      <trackRevisions>false</trackRevisions>
    </reviewItem>
    <reviewItem>
      <errorID>18d2908a-bd31-4613-a563-7a554af1bb87</errorID>
      <errorWord>)</errorWord>
      <group>L1_Format</group>
      <groupName>格式问题</groupName>
      <ability>L2_HalfPunc</ability>
      <abilityName>全半角检查</abilityName>
      <candidateList>
        <item>）</item>
      </candidateList>
      <explain>文本全半角错误。</explain>
      <paraID>754089DE</paraID>
      <start>65</start>
      <end>66</end>
      <status>unmodified</status>
      <modifiedWord/>
      <trackRevisions>false</trackRevisions>
    </reviewItem>
    <reviewItem>
      <errorID>bf48ff8d-c1b0-4ffc-96d8-bb9fff3712fc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754089DE</paraID>
      <start>66</start>
      <end>69</end>
      <status>unmodified</status>
      <modifiedWord/>
      <trackRevisions>false</trackRevisions>
    </reviewItem>
    <reviewItem>
      <errorID>b82ebb10-306c-48df-b437-660797656aa8</errorID>
      <errorWord>(</errorWord>
      <group>L1_Format</group>
      <groupName>格式问题</groupName>
      <ability>L2_HalfPunc</ability>
      <abilityName>全半角检查</abilityName>
      <candidateList>
        <item>（</item>
      </candidateList>
      <explain>文本全半角错误。</explain>
      <paraID>754089DE</paraID>
      <start>76</start>
      <end>77</end>
      <status>unmodified</status>
      <modifiedWord/>
      <trackRevisions>false</trackRevisions>
    </reviewItem>
    <reviewItem>
      <errorID>5fdc370f-95f9-4753-a384-f455bf512740</errorID>
      <errorWord>)</errorWord>
      <group>L1_Format</group>
      <groupName>格式问题</groupName>
      <ability>L2_HalfPunc</ability>
      <abilityName>全半角检查</abilityName>
      <candidateList>
        <item>）</item>
      </candidateList>
      <explain>文本全半角错误。</explain>
      <paraID>754089DE</paraID>
      <start>89</start>
      <end>90</end>
      <status>unmodified</status>
      <modifiedWord/>
      <trackRevisions>false</trackRevisions>
    </reviewItem>
    <reviewItem>
      <errorID>0f4ce5db-f11c-4bf0-88b1-b1044b11653d</errorID>
      <errorWord>(</errorWord>
      <group>L1_Format</group>
      <groupName>格式问题</groupName>
      <ability>L2_HalfPunc</ability>
      <abilityName>全半角检查</abilityName>
      <candidateList>
        <item>（</item>
      </candidateList>
      <explain>文本全半角错误。</explain>
      <paraID>754089DE</paraID>
      <start>93</start>
      <end>94</end>
      <status>unmodified</status>
      <modifiedWord/>
      <trackRevisions>false</trackRevisions>
    </reviewItem>
    <reviewItem>
      <errorID>c3b02d0c-0678-4aa0-8d3d-2de64feb5ea0</errorID>
      <errorWord>)</errorWord>
      <group>L1_Format</group>
      <groupName>格式问题</groupName>
      <ability>L2_HalfPunc</ability>
      <abilityName>全半角检查</abilityName>
      <candidateList>
        <item>）</item>
      </candidateList>
      <explain>文本全半角错误。</explain>
      <paraID>754089DE</paraID>
      <start>95</start>
      <end>96</end>
      <status>unmodified</status>
      <modifiedWord/>
      <trackRevisions>false</trackRevisions>
    </reviewItem>
    <reviewItem>
      <errorID>984f83e6-8578-41e7-95a7-0e4dbc043b09</errorID>
      <errorWord>胜</errorWord>
      <group>L1_Word</group>
      <groupName>字词问题</groupName>
      <ability>L2_Typo</ability>
      <abilityName>字词错误</abilityName>
      <candidateList>
        <item>胜区</item>
      </candidateList>
      <explain/>
      <paraID>25572BEB</paraID>
      <start>29</start>
      <end>30</end>
      <status>unmodified</status>
      <modifiedWord/>
      <trackRevisions>false</trackRevisions>
    </reviewItem>
    <reviewItem>
      <errorID>f4228354-cec4-4a4e-8d3b-7e6905f264d3</errorID>
      <errorWord>胜</errorWord>
      <group>L1_Word</group>
      <groupName>字词问题</groupName>
      <ability>L2_Typo</ability>
      <abilityName>字词错误</abilityName>
      <candidateList>
        <item>胜区</item>
      </candidateList>
      <explain/>
      <paraID>25572BEB</paraID>
      <start>157</start>
      <end>158</end>
      <status>unmodified</status>
      <modifiedWord/>
      <trackRevisions>false</trackRevisions>
    </reviewItem>
    <reviewItem>
      <errorID>146ccab6-4a31-4365-9e7f-0fef496b3112</errorID>
      <errorWord>事事</errorWord>
      <group>L1_Word</group>
      <groupName>字词问题</groupName>
      <ability>L2_Typo</ability>
      <abilityName>字词错误</abilityName>
      <candidateList>
        <item>事</item>
      </candidateList>
      <explain/>
      <paraID>7AC8F2E6</paraID>
      <start>75</start>
      <end>76</end>
      <status>modified</status>
      <modifiedWord>事</modifiedWord>
      <trackRevisions>false</trackRevisions>
    </reviewItem>
    <reviewItem>
      <errorID>cd92f5bc-c446-482c-99b6-fb0707929a4d</errorID>
      <errorWord>明合禁止</errorWord>
      <group>L1_Word</group>
      <groupName>字词问题</groupName>
      <ability>L2_Typo</ability>
      <abilityName>字词错误</abilityName>
      <candidateList>
        <item>明令禁止</item>
      </candidateList>
      <explain>存在字形相近字词的误用。</explain>
      <paraID>3AABA920</paraID>
      <start>16</start>
      <end>20</end>
      <status>modified</status>
      <modifiedWord>明令禁止</modifiedWord>
      <trackRevisions>false</trackRevisions>
    </reviewItem>
    <reviewItem>
      <errorID>ebbf0d3a-112d-47c8-b92c-aaa869d1aca0</errorID>
      <errorWord>上线</errorWord>
      <group>L1_Word</group>
      <groupName>字词问题</groupName>
      <ability>L2_Typo</ability>
      <abilityName>字词错误</abilityName>
      <candidateList>
        <item>上限</item>
      </candidateList>
      <explain/>
      <paraID>2FFBC983</paraID>
      <start>137</start>
      <end>139</end>
      <status>unmodified</status>
      <modifiedWord/>
      <trackRevisions>false</trackRevisions>
    </reviewItem>
    <reviewItem>
      <errorID>c2ed68a9-30c8-44de-923e-e93b356f80b0</errorID>
      <errorWord>设</errorWord>
      <group>L1_Word</group>
      <groupName>字词问题</groupName>
      <ability>L2_Typo</ability>
      <abilityName>字词错误</abilityName>
      <candidateList>
        <item>设扎</item>
      </candidateList>
      <explain/>
      <paraID>2FFBC983</paraID>
      <start>191</start>
      <end>192</end>
      <status>unmodified</status>
      <modifiedWord/>
      <trackRevisions>false</trackRevisions>
    </reviewItem>
    <reviewItem>
      <errorID>ba7fa074-a9be-4b73-a8e4-a6c20b78bee8</errorID>
      <errorWord>升</errorWord>
      <group>L1_Word</group>
      <groupName>字词问题</groupName>
      <ability>L2_Typo</ability>
      <abilityName>字词错误</abilityName>
      <candidateList>
        <item>升了</item>
      </candidateList>
      <explain/>
      <paraID>2FFBC983</paraID>
      <start>194</start>
      <end>195</end>
      <status>unmodified</status>
      <modifiedWord/>
      <trackRevisions>false</trackRevisions>
    </reviewItem>
    <reviewItem>
      <errorID>8ea2c399-68a4-401e-bd50-724de4d9ddff</errorID>
      <errorWord>决</errorWord>
      <group>L1_Word</group>
      <groupName>字词问题</groupName>
      <ability>L2_Typo</ability>
      <abilityName>字词错误</abilityName>
      <candidateList>
        <item>决了</item>
      </candidateList>
      <explain/>
      <paraID>2FFBC983</paraID>
      <start>276</start>
      <end>277</end>
      <status>unmodified</status>
      <modifiedWord/>
      <trackRevisions>false</trackRevisions>
    </reviewItem>
    <reviewItem>
      <errorID>43fb5fe2-acb0-48f9-a02a-5d7f02ab9870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518180F9</paraID>
      <start>0</start>
      <end>2</end>
      <status>unmodified</status>
      <modifiedWord/>
      <trackRevisions>false</trackRevisions>
    </reviewItem>
    <reviewItem>
      <errorID>c9c7c6dd-c01c-483c-8736-3228614f37c7</errorID>
      <errorWord>亟需通过</errorWord>
      <group>L1_Word</group>
      <groupName>字词问题</groupName>
      <ability>L2_Typo</ability>
      <abilityName>字词错误</abilityName>
      <candidateList>
        <item>亟须通过</item>
      </candidateList>
      <explain/>
      <paraID>64D8EEF7</paraID>
      <start>311</start>
      <end>315</end>
      <status>unmodified</status>
      <modifiedWord/>
      <trackRevisions>false</trackRevisions>
    </reviewItem>
    <reviewItem>
      <errorID>93e24e78-1ffd-490b-a5c7-b33068fb62c9</errorID>
      <errorWord>[2009]147号</errorWord>
      <group>L1_Knowledge</group>
      <groupName>知识性问题</groupName>
      <ability>L2_Knowledge</ability>
      <abilityName>其他知识</abilityName>
      <candidateList>
        <item>〔2009〕147号</item>
      </candidateList>
      <explain>发文字号格式错误。</explain>
      <paraID>7814F0B8</paraID>
      <start>128</start>
      <end>138</end>
      <status>unmodified</status>
      <modifiedWord/>
      <trackRevisions>false</trackRevisions>
    </reviewItem>
    <reviewItem>
      <errorID>1a160c57-c6b2-4c88-9650-8debc0f46ace</errorID>
      <errorWord>-2018年</errorWord>
      <group>L1_Word</group>
      <groupName>字词问题</groupName>
      <ability>L2_Typo</ability>
      <abilityName>字词错误</abilityName>
      <candidateList>
        <item>—2018年</item>
      </candidateList>
      <explain/>
      <paraID>7814F0B8</paraID>
      <start>280</start>
      <end>286</end>
      <status>unmodified</status>
      <modifiedWord/>
      <trackRevisions>false</trackRevisions>
    </reviewItem>
    <reviewItem>
      <errorID>09ef5c73-7022-469e-8715-33d822095994</errorID>
      <errorWord>[2017]29号</errorWord>
      <group>L1_Knowledge</group>
      <groupName>知识性问题</groupName>
      <ability>L2_Knowledge</ability>
      <abilityName>其他知识</abilityName>
      <candidateList>
        <item>〔2017〕29号</item>
      </candidateList>
      <explain>发文字号格式错误。</explain>
      <paraID>7814F0B8</paraID>
      <start>465</start>
      <end>474</end>
      <status>unmodified</status>
      <modifiedWord/>
      <trackRevisions>false</trackRevisions>
    </reviewItem>
    <reviewItem>
      <errorID>0fd4ec0c-8260-47be-97df-57a1443dffaf</errorID>
      <errorWord>[2023]15号</errorWord>
      <group>L1_Knowledge</group>
      <groupName>知识性问题</groupName>
      <ability>L2_Knowledge</ability>
      <abilityName>其他知识</abilityName>
      <candidateList>
        <item>〔2023〕15号</item>
      </candidateList>
      <explain>发文字号格式错误。</explain>
      <paraID>7814F0B8</paraID>
      <start>604</start>
      <end>613</end>
      <status>unmodified</status>
      <modifiedWord/>
      <trackRevisions>false</trackRevisions>
    </reviewItem>
    <reviewItem>
      <errorID>3091401c-c171-4f55-9c29-082069689daa</errorID>
      <errorWord>(</errorWord>
      <group>L1_Format</group>
      <groupName>格式问题</groupName>
      <ability>L2_HalfPunc</ability>
      <abilityName>全半角检查</abilityName>
      <candidateList>
        <item>（</item>
      </candidateList>
      <explain>文本全半角错误。</explain>
      <paraID>3B1BC290</paraID>
      <start>211</start>
      <end>212</end>
      <status>unmodified</status>
      <modifiedWord/>
      <trackRevisions>false</trackRevisions>
    </reviewItem>
    <reviewItem>
      <errorID>806acc64-aa67-4514-8f37-4ef5f2d22c47</errorID>
      <errorWord>)</errorWord>
      <group>L1_Format</group>
      <groupName>格式问题</groupName>
      <ability>L2_HalfPunc</ability>
      <abilityName>全半角检查</abilityName>
      <candidateList>
        <item>）</item>
      </candidateList>
      <explain>文本全半角错误。</explain>
      <paraID>3B1BC290</paraID>
      <start>215</start>
      <end>216</end>
      <status>unmodified</status>
      <modifiedWord/>
      <trackRevisions>false</trackRevisions>
    </reviewItem>
    <reviewItem>
      <errorID>de420572-0375-4bfa-809f-80ba736b5aef</errorID>
      <errorWord>(</errorWord>
      <group>L1_Format</group>
      <groupName>格式问题</groupName>
      <ability>L2_HalfPunc</ability>
      <abilityName>全半角检查</abilityName>
      <candidateList>
        <item>（</item>
      </candidateList>
      <explain>文本全半角错误。</explain>
      <paraID>3B1BC290</paraID>
      <start>243</start>
      <end>244</end>
      <status>unmodified</status>
      <modifiedWord/>
      <trackRevisions>false</trackRevisions>
    </reviewItem>
    <reviewItem>
      <errorID>564ef054-80ef-4018-a3cf-bf61bd6de6a5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2B5EC521</paraID>
      <start>0</start>
      <end>2</end>
      <status>unmodified</status>
      <modifiedWord/>
      <trackRevisions>false</trackRevisions>
    </reviewItem>
    <reviewItem>
      <errorID>b15ee4fa-7ea7-4c40-a12b-d5cb8e4994e8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2FA71562</paraID>
      <start>0</start>
      <end>2</end>
      <status>unmodified</status>
      <modifiedWord/>
      <trackRevisions>false</trackRevisions>
    </reviewItem>
    <reviewItem>
      <errorID>e24f0d31-4e8a-4db7-919e-42c09edc0215</errorID>
      <errorWord>:</errorWord>
      <group>L1_Format</group>
      <groupName>格式问题</groupName>
      <ability>L2_HalfPunc</ability>
      <abilityName>全半角检查</abilityName>
      <candidateList>
        <item>：</item>
      </candidateList>
      <explain>文本全半角错误。</explain>
      <paraID>2FA71562</paraID>
      <start>41</start>
      <end>42</end>
      <status>unmodified</status>
      <modifiedWord/>
      <trackRevisions>false</trackRevisions>
    </reviewItem>
    <reviewItem>
      <errorID>a18ec005-5e74-43d5-b047-93f07dd1eda1</errorID>
      <errorWord>:</errorWord>
      <group>L1_Format</group>
      <groupName>格式问题</groupName>
      <ability>L2_HalfPunc</ability>
      <abilityName>全半角检查</abilityName>
      <candidateList>
        <item>：</item>
      </candidateList>
      <explain>文本全半角错误。</explain>
      <paraID>2FA71562</paraID>
      <start>52</start>
      <end>53</end>
      <status>unmodified</status>
      <modifiedWord/>
      <trackRevisions>false</trackRevisions>
    </reviewItem>
    <reviewItem>
      <errorID>4b5e7a59-a096-4c67-81bc-b744dbcf817a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1D164A01</paraID>
      <start>0</start>
      <end>2</end>
      <status>unmodified</status>
      <modifiedWord/>
      <trackRevisions>false</trackRevisions>
    </reviewItem>
    <reviewItem>
      <errorID>e613a2a7-81dc-4d27-b002-9ccc3e571f7d</errorID>
      <errorWord>:</errorWord>
      <group>L1_Format</group>
      <groupName>格式问题</groupName>
      <ability>L2_HalfPunc</ability>
      <abilityName>全半角检查</abilityName>
      <candidateList>
        <item>：</item>
      </candidateList>
      <explain>文本全半角错误。</explain>
      <paraID>1D164A01</paraID>
      <start>31</start>
      <end>32</end>
      <status>unmodified</status>
      <modifiedWord/>
      <trackRevisions>false</trackRevisions>
    </reviewItem>
    <reviewItem>
      <errorID>4d7ff4fa-9b07-4879-b583-cc01eba88a63</errorID>
      <errorWord>:</errorWord>
      <group>L1_Format</group>
      <groupName>格式问题</groupName>
      <ability>L2_HalfPunc</ability>
      <abilityName>全半角检查</abilityName>
      <candidateList>
        <item>：</item>
      </candidateList>
      <explain>文本全半角错误。</explain>
      <paraID>1D164A01</paraID>
      <start>42</start>
      <end>43</end>
      <status>unmodified</status>
      <modifiedWord/>
      <trackRevisions>false</trackRevisions>
    </reviewItem>
    <reviewItem>
      <errorID>2a0a1ee3-5a3a-4ed2-84db-22b61f0cf2d7</errorID>
      <errorWord>:</errorWord>
      <group>L1_Format</group>
      <groupName>格式问题</groupName>
      <ability>L2_HalfPunc</ability>
      <abilityName>全半角检查</abilityName>
      <candidateList>
        <item>：</item>
      </candidateList>
      <explain>文本全半角错误。</explain>
      <paraID>1D164A01</paraID>
      <start>51</start>
      <end>52</end>
      <status>unmodified</status>
      <modifiedWord/>
      <trackRevisions>false</trackRevisions>
    </reviewItem>
    <reviewItem>
      <errorID>1314c816-20f7-4884-8673-73f60b1d34a1</errorID>
      <errorWord>;</errorWord>
      <group>L1_Format</group>
      <groupName>格式问题</groupName>
      <ability>L2_HalfPunc</ability>
      <abilityName>全半角检查</abilityName>
      <candidateList>
        <item>；</item>
      </candidateList>
      <explain>文本全半角错误。</explain>
      <paraID>1D164A01</paraID>
      <start>76</start>
      <end>77</end>
      <status>unmodified</status>
      <modifiedWord/>
      <trackRevisions>false</trackRevisions>
    </reviewItem>
    <reviewItem>
      <errorID>c56b34ec-0998-40af-8d5a-b45743684021</errorID>
      <errorWord>:</errorWord>
      <group>L1_Format</group>
      <groupName>格式问题</groupName>
      <ability>L2_HalfPunc</ability>
      <abilityName>全半角检查</abilityName>
      <candidateList>
        <item>：</item>
      </candidateList>
      <explain>文本全半角错误。</explain>
      <paraID>1D164A01</paraID>
      <start>83</start>
      <end>84</end>
      <status>unmodified</status>
      <modifiedWord/>
      <trackRevisions>false</trackRevisions>
    </reviewItem>
    <reviewItem>
      <errorID>2515ad0c-3800-4534-b4f6-e49f833a8c80</errorID>
      <errorWord>;</errorWord>
      <group>L1_Format</group>
      <groupName>格式问题</groupName>
      <ability>L2_HalfPunc</ability>
      <abilityName>全半角检查</abilityName>
      <candidateList>
        <item>；</item>
      </candidateList>
      <explain>文本全半角错误。</explain>
      <paraID>1D164A01</paraID>
      <start>92</start>
      <end>93</end>
      <status>unmodified</status>
      <modifiedWord/>
      <trackRevisions>false</trackRevisions>
    </reviewItem>
    <reviewItem>
      <errorID>52476230-c935-4768-97d8-9b25cf201383</errorID>
      <errorWord>（</errorWord>
      <group>L1_Punc</group>
      <groupName>标点问题</groupName>
      <ability>L2_Punc</ability>
      <abilityName>标点符号检查</abilityName>
      <candidateList/>
      <explain>同一形式括号套用。</explain>
      <paraID>18F233F9</paraID>
      <start>121</start>
      <end>122</end>
      <status>unmodified</status>
      <modifiedWord/>
      <trackRevisions>false</trackRevisions>
    </reviewItem>
    <reviewItem>
      <errorID>d031ab9e-239a-465e-893d-69c9d076301d</errorID>
      <errorWord>）</errorWord>
      <group>L1_Punc</group>
      <groupName>标点问题</groupName>
      <ability>L2_Punc</ability>
      <abilityName>标点符号检查</abilityName>
      <candidateList/>
      <explain>同一形式括号套用。</explain>
      <paraID>18F233F9</paraID>
      <start>154</start>
      <end>155</end>
      <status>unmodified</status>
      <modifiedWord/>
      <trackRevisions>false</trackRevisions>
    </reviewItem>
    <reviewItem>
      <errorID>3206e168-a4c2-407a-af58-13d4fdd0a442</errorID>
      <errorWord>幽门螺旋杆菌</errorWord>
      <group>L1_Knowledge</group>
      <groupName>知识性问题</groupName>
      <ability>L2_Term</ability>
      <abilityName>专业术语</abilityName>
      <candidateList>
        <item>幽门螺杆菌</item>
      </candidateList>
      <explain>医学名词[幽门螺旋杆菌]为不规范表述或旧称，其规范书面表述为[幽门螺杆菌]。</explain>
      <paraID> D0D744D</paraID>
      <start>0</start>
      <end>6</end>
      <status>unmodified</status>
      <modifiedWord/>
      <trackRevisions>false</trackRevisions>
    </reviewItem>
    <reviewItem>
      <errorID>0a669bea-cd79-408e-a85c-c9e4f2eb5043</errorID>
      <errorWord>检测仪</errorWord>
      <group>L1_Word</group>
      <groupName>字词问题</groupName>
      <ability>L2_Typo</ability>
      <abilityName>字词错误</abilityName>
      <candidateList>
        <item>监测仪</item>
      </candidateList>
      <explain/>
      <paraID>4D7676E2</paraID>
      <start>4</start>
      <end>7</end>
      <status>unmodified</status>
      <modifiedWord/>
      <trackRevisions>false</trackRevisions>
    </reviewItem>
    <reviewItem>
      <errorID>f716816c-b03d-4af5-8b6d-c467d727b9d1</errorID>
      <errorWord>干眼症</errorWord>
      <group>L1_Knowledge</group>
      <groupName>知识性问题</groupName>
      <ability>L2_Term</ability>
      <abilityName>专业术语</abilityName>
      <candidateList>
        <item>眼干燥症</item>
      </candidateList>
      <explain>医学名词[干眼症]为不规范表述或旧称，其规范书面表述为[眼干燥症]。</explain>
      <paraID>787DE5E2</paraID>
      <start>0</start>
      <end>3</end>
      <status>unmodified</status>
      <modifiedWord/>
      <trackRevisions>false</trackRevisions>
    </reviewItem>
    <reviewItem>
      <errorID>7101813c-338d-47f4-8f0c-ed306a2eb0b4</errorID>
      <errorWord>震动</errorWord>
      <group>L1_Word</group>
      <groupName>字词问题</groupName>
      <ability>L2_Typo</ability>
      <abilityName>字词错误</abilityName>
      <candidateList>
        <item>振动</item>
      </candidateList>
      <explain>存在发音相同字词的误用。</explain>
      <paraID>1225389C</paraID>
      <start>2</start>
      <end>4</end>
      <status>unmodified</status>
      <modifiedWord/>
      <trackRevisions>false</trackRevisions>
    </reviewItem>
    <reviewItem>
      <errorID>9123795d-6d98-4ede-a41e-6d44e29e4015</errorID>
      <errorWord>-</errorWord>
      <group>L1_Format</group>
      <groupName>格式问题</groupName>
      <ability>L2_HalfPunc</ability>
      <abilityName>全半角检查</abilityName>
      <candidateList>
        <item>－</item>
      </candidateList>
      <explain>文本全半角错误。</explain>
      <paraID>7649C4D3</paraID>
      <start>9</start>
      <end>10</end>
      <status>unmodified</status>
      <modifiedWord/>
      <trackRevisions>false</trackRevisions>
    </reviewItem>
    <reviewItem>
      <errorID>cca7f298-d829-4101-b2d9-5f4f5de76689</errorID>
      <errorWord>-</errorWord>
      <group>L1_Format</group>
      <groupName>格式问题</groupName>
      <ability>L2_HalfPunc</ability>
      <abilityName>全半角检查</abilityName>
      <candidateList>
        <item>－</item>
      </candidateList>
      <explain>文本全半角错误。</explain>
      <paraID>  19E4F1</paraID>
      <start>9</start>
      <end>10</end>
      <status>unmodified</status>
      <modifiedWord/>
      <trackRevisions>false</trackRevisions>
    </reviewItem>
    <reviewItem>
      <errorID>e96567ac-985b-4ea0-b317-a534b57ab05a</errorID>
      <errorWord>碘伏</errorWord>
      <group>L1_Knowledge</group>
      <groupName>知识性问题</groupName>
      <ability>L2_Term</ability>
      <abilityName>专业术语</abilityName>
      <candidateList>
        <item>碘附</item>
      </candidateList>
      <explain>医学名词[碘伏]为不规范表述或旧称，其规范书面表述为[碘附]。</explain>
      <paraID> E5C10BF</paraID>
      <start>0</start>
      <end>2</end>
      <status>unmodified</status>
      <modifiedWord/>
      <trackRevisions>false</trackRevisions>
    </reviewItem>
    <reviewItem>
      <errorID>c0ac0e04-f074-4fc1-abda-772c96f9dbf7</errorID>
      <errorWord>碘伏</errorWord>
      <group>L1_Knowledge</group>
      <groupName>知识性问题</groupName>
      <ability>L2_Term</ability>
      <abilityName>专业术语</abilityName>
      <candidateList>
        <item>碘附</item>
      </candidateList>
      <explain>医学名词[碘伏]为不规范表述或旧称，其规范书面表述为[碘附]。</explain>
      <paraID>5B7209DE</paraID>
      <start>0</start>
      <end>2</end>
      <status>unmodified</status>
      <modifiedWord/>
      <trackRevisions>false</trackRevisions>
    </reviewItem>
    <reviewItem>
      <errorID>5beb0270-d253-4d39-a95a-d82b8c8b6e64</errorID>
      <errorWord>碘伏</errorWord>
      <group>L1_Knowledge</group>
      <groupName>知识性问题</groupName>
      <ability>L2_Term</ability>
      <abilityName>专业术语</abilityName>
      <candidateList>
        <item>碘附</item>
      </candidateList>
      <explain>医学名词[碘伏]为不规范表述或旧称，其规范书面表述为[碘附]。</explain>
      <paraID>4D56DF23</paraID>
      <start>0</start>
      <end>2</end>
      <status>unmodified</status>
      <modifiedWord/>
      <trackRevisions>false</trackRevisions>
    </reviewItem>
    <reviewItem>
      <errorID>0214887a-6420-4e57-beb6-758e892d6498</errorID>
      <errorWord>碘伏</errorWord>
      <group>L1_Knowledge</group>
      <groupName>知识性问题</groupName>
      <ability>L2_Term</ability>
      <abilityName>专业术语</abilityName>
      <candidateList>
        <item>碘附</item>
      </candidateList>
      <explain>医学名词[碘伏]为不规范表述或旧称，其规范书面表述为[碘附]。</explain>
      <paraID>176DB43A</paraID>
      <start>0</start>
      <end>2</end>
      <status>unmodified</status>
      <modifiedWord/>
      <trackRevisions>false</trackRevisions>
    </reviewItem>
    <reviewItem>
      <errorID>8693c949-99bf-4fce-9f09-e399b4ccb37e</errorID>
      <errorWord>碘伏</errorWord>
      <group>L1_Knowledge</group>
      <groupName>知识性问题</groupName>
      <ability>L2_Term</ability>
      <abilityName>专业术语</abilityName>
      <candidateList>
        <item>碘附</item>
      </candidateList>
      <explain>医学名词[碘伏]为不规范表述或旧称，其规范书面表述为[碘附]。</explain>
      <paraID>4D69786F</paraID>
      <start>0</start>
      <end>2</end>
      <status>unmodified</status>
      <modifiedWord/>
      <trackRevisions>false</trackRevisions>
    </reviewItem>
    <reviewItem>
      <errorID>b2234856-742e-4f90-9d6e-0d345b119a6f</errorID>
      <errorWord>（</errorWord>
      <group>L1_Format</group>
      <groupName>格式问题</groupName>
      <ability>L2_HalfPunc</ability>
      <abilityName>全半角检查</abilityName>
      <candidateList>
        <item>(</item>
      </candidateList>
      <explain>文本全半角错误。</explain>
      <paraID>217BA23B</paraID>
      <start>32</start>
      <end>33</end>
      <status>unmodified</status>
      <modifiedWord/>
      <trackRevisions>false</trackRevisions>
    </reviewItem>
    <reviewItem>
      <errorID>58245d22-6f9d-40a8-8023-a39ca729e1f1</errorID>
      <errorWord>如</errorWord>
      <group>L1_Word</group>
      <groupName>字词问题</groupName>
      <ability>L2_Typo</ability>
      <abilityName>字词错误</abilityName>
      <candidateList>
        <item>如下</item>
      </candidateList>
      <explain>〈动〉如同下面所叙述或列举的：列举～｜现将应注意的事情说明～。</explain>
      <paraID>74A2F990</paraID>
      <start>80</start>
      <end>81</end>
      <status>unmodified</status>
      <modifiedWord/>
      <trackRevisions>false</trackRevisions>
    </reviewItem>
    <reviewItem>
      <errorID>7fb45324-480e-4152-a449-dc9c05b2a270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4F2EABA1</paraID>
      <start>149</start>
      <end>150</end>
      <status>unmodified</status>
      <modifiedWord/>
      <trackRevisions>false</trackRevisions>
    </reviewItem>
    <reviewItem>
      <errorID>13701d39-9588-47d8-ae92-91075a1cf42b</errorID>
      <errorWord>0.55-1.0%</errorWord>
      <group>L1_Knowledge</group>
      <groupName>知识性问题</groupName>
      <ability>L2_Knowledge</ability>
      <abilityName>其他知识</abilityName>
      <candidateList>
        <item>0.55%—1.0%</item>
      </candidateList>
      <explain>1. “0.55-1.0%”中的单位“%”仅出现在后一个数字上，容易引起歧义；根据《现代汉语标点符号数字用法规范手册》，数字表示范围两边需要使用统一的格式。2. 根据标点国标 4.13 中的规则，数字、时间或地域连接符应使用（视觉上更长的）“—”或“～”。</explain>
      <paraID> 6A87559</paraID>
      <start>7</start>
      <end>16</end>
      <status>unmodified</status>
      <modifiedWord/>
      <trackRevisions>false</trackRevisions>
    </reviewItem>
    <reviewItem>
      <errorID>dc7f71b7-4c60-4b0c-8f44-de433fc47004</errorID>
      <errorWord>2-3分钟</errorWord>
      <group>L1_Word</group>
      <groupName>字词问题</groupName>
      <ability>L2_Typo</ability>
      <abilityName>字词错误</abilityName>
      <candidateList>
        <item>2～3分钟</item>
      </candidateList>
      <explain/>
      <paraID> 6A87559</paraID>
      <start>33</start>
      <end>38</end>
      <status>unmodified</status>
      <modifiedWord/>
      <trackRevisions>false</trackRevisions>
    </reviewItem>
    <reviewItem>
      <errorID>01121df6-084e-4d65-81c0-bf844f2e1023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6A87559</paraID>
      <start>49</start>
      <end>50</end>
      <status>unmodified</status>
      <modifiedWord/>
      <trackRevisions>false</trackRevisions>
    </reviewItem>
    <reviewItem>
      <errorID>0fc8962b-1c35-4244-aa2a-a8f93e750ec7</errorID>
      <errorWord>综合口</errorWord>
      <group>L1_Word</group>
      <groupName>字词问题</groupName>
      <ability>L2_Typo</ability>
      <abilityName>字词错误</abilityName>
      <candidateList>
        <item>综合楼</item>
      </candidateList>
      <explain>存在发音相近字词的误用。</explain>
      <paraID>3E8A5AF6</paraID>
      <start>18</start>
      <end>21</end>
      <status>unmodified</status>
      <modifiedWord/>
      <trackRevisions>false</trackRevisions>
    </reviewItem>
    <reviewItem>
      <errorID>c5750051-b38d-4698-b119-31e1e8c37403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4BF547CF</paraID>
      <start>0</start>
      <end>2</end>
      <status>unmodified</status>
      <modifiedWord/>
      <trackRevisions>false</trackRevisions>
    </reviewItem>
    <reviewItem>
      <errorID>6d091f54-0563-4d3e-9a81-503dc15328b1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2A1DF285</paraID>
      <start>0</start>
      <end>2</end>
      <status>unmodified</status>
      <modifiedWord/>
      <trackRevisions>false</trackRevisions>
    </reviewItem>
    <reviewItem>
      <errorID>1cdf1994-9880-4afd-acf0-46bab16b0017</errorID>
      <errorWord>环通</errorWord>
      <group>L1_Word</group>
      <groupName>字词问题</groupName>
      <ability>L2_Typo</ability>
      <abilityName>字词错误</abilityName>
      <candidateList>
        <item>贯通</item>
      </candidateList>
      <explain>存在发音相近字词的误用。</explain>
      <paraID>3A706F20</paraID>
      <start>105</start>
      <end>107</end>
      <status>unmodified</status>
      <modifiedWord/>
      <trackRevisions>false</trackRevisions>
    </reviewItem>
    <reviewItem>
      <errorID>32b7bb5b-f429-4bfc-9478-c550e9d0b414</errorID>
      <errorWord>环通</errorWord>
      <group>L1_Word</group>
      <groupName>字词问题</groupName>
      <ability>L2_Typo</ability>
      <abilityName>字词错误</abilityName>
      <candidateList>
        <item>贯通</item>
      </candidateList>
      <explain>存在发音相近字词的误用。</explain>
      <paraID>2A516C66</paraID>
      <start>172</start>
      <end>174</end>
      <status>unmodified</status>
      <modifiedWord/>
      <trackRevisions>false</trackRevisions>
    </reviewItem>
    <reviewItem>
      <errorID>33087935-39a2-4b25-8991-1d83945c62ea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663DF5E</paraID>
      <start>0</start>
      <end>2</end>
      <status>unmodified</status>
      <modifiedWord/>
      <trackRevisions>false</trackRevisions>
    </reviewItem>
    <reviewItem>
      <errorID>48f55154-ae52-467e-82ba-eae2edbc9d4c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3A0BF45B</paraID>
      <start>0</start>
      <end>2</end>
      <status>unmodified</status>
      <modifiedWord/>
      <trackRevisions>false</trackRevisions>
    </reviewItem>
    <reviewItem>
      <errorID>ec8129d1-f196-4ce7-bd9b-e4b045352f0f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40E327AA</paraID>
      <start>0</start>
      <end>2</end>
      <status>unmodified</status>
      <modifiedWord/>
      <trackRevisions>false</trackRevisions>
    </reviewItem>
    <reviewItem>
      <errorID>4ccf7ed3-3bcd-4e9f-9b4d-782d49676e86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47F57833</paraID>
      <start>0</start>
      <end>2</end>
      <status>unmodified</status>
      <modifiedWord/>
      <trackRevisions>false</trackRevisions>
    </reviewItem>
    <reviewItem>
      <errorID>f520cd1b-acb6-4a0e-9a7f-6050ca81fbad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35E5A68</paraID>
      <start>0</start>
      <end>2</end>
      <status>unmodified</status>
      <modifiedWord/>
      <trackRevisions>false</trackRevisions>
    </reviewItem>
    <reviewItem>
      <errorID>bc62e019-37ac-4454-ba56-7b108aeab5fd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53DE50A5</paraID>
      <start>0</start>
      <end>2</end>
      <status>unmodified</status>
      <modifiedWord/>
      <trackRevisions>false</trackRevisions>
    </reviewItem>
    <reviewItem>
      <errorID>a4e89af1-2002-4f95-a963-4f23161408fd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54581E43</paraID>
      <start>0</start>
      <end>2</end>
      <status>unmodified</status>
      <modifiedWord/>
      <trackRevisions>false</trackRevisions>
    </reviewItem>
    <reviewItem>
      <errorID>7d4b573f-6e98-4634-a457-1418748c44c0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6D7B03C6</paraID>
      <start>0</start>
      <end>2</end>
      <status>unmodified</status>
      <modifiedWord/>
      <trackRevisions>false</trackRevisions>
    </reviewItem>
    <reviewItem>
      <errorID>15267639-9f67-4426-a384-ea512dacc7b3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570E7185</paraID>
      <start>0</start>
      <end>2</end>
      <status>unmodified</status>
      <modifiedWord/>
      <trackRevisions>false</trackRevisions>
    </reviewItem>
    <reviewItem>
      <errorID>ac2324be-925a-4f48-9f8a-38033fa68827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56CD1EE3</paraID>
      <start>0</start>
      <end>2</end>
      <status>unmodified</status>
      <modifiedWord/>
      <trackRevisions>false</trackRevisions>
    </reviewItem>
    <reviewItem>
      <errorID>2a5a5b95-1317-43a6-a411-d2a18d4a0c02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754D8E0</paraID>
      <start>0</start>
      <end>2</end>
      <status>unmodified</status>
      <modifiedWord/>
      <trackRevisions>false</trackRevisions>
    </reviewItem>
    <reviewItem>
      <errorID>681165ee-aebf-4411-996e-b52e2c005754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444683B2</paraID>
      <start>0</start>
      <end>2</end>
      <status>unmodified</status>
      <modifiedWord/>
      <trackRevisions>false</trackRevisions>
    </reviewItem>
    <reviewItem>
      <errorID>8c9aba2f-0d92-48e1-9ff8-f4d7f86f1812</errorID>
      <errorWord>刷洗到</errorWord>
      <group>L1_Word</group>
      <groupName>字词问题</groupName>
      <ability>L2_Typo</ability>
      <abilityName>字词错误</abilityName>
      <candidateList>
        <item>刷洗</item>
      </candidateList>
      <explain/>
      <paraID>444683B2</paraID>
      <start>12</start>
      <end>15</end>
      <status>unmodified</status>
      <modifiedWord/>
      <trackRevisions>false</trackRevisions>
    </reviewItem>
    <reviewItem>
      <errorID>7d0c6cc7-4d22-49a1-9e0f-bf911c110eab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5A5F4CAF</paraID>
      <start>0</start>
      <end>2</end>
      <status>unmodified</status>
      <modifiedWord/>
      <trackRevisions>false</trackRevisions>
    </reviewItem>
    <reviewItem>
      <errorID>c6946cb1-9071-4ceb-8021-17c185134129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7A50D82</paraID>
      <start>0</start>
      <end>2</end>
      <status>unmodified</status>
      <modifiedWord/>
      <trackRevisions>false</trackRevisions>
    </reviewItem>
    <reviewItem>
      <errorID>da2a15db-4617-4e30-b4b9-a5981185db11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2A27FE86</paraID>
      <start>0</start>
      <end>2</end>
      <status>unmodified</status>
      <modifiedWord/>
      <trackRevisions>false</trackRevisions>
    </reviewItem>
    <reviewItem>
      <errorID>3bd28784-e77b-4886-aafa-8a08e7630081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13C32B4</paraID>
      <start>0</start>
      <end>2</end>
      <status>unmodified</status>
      <modifiedWord/>
      <trackRevisions>false</trackRevisions>
    </reviewItem>
    <reviewItem>
      <errorID>d947609d-2105-4369-bb75-3bf7787cf6c9</errorID>
      <errorWord>~</errorWord>
      <group>L1_Format</group>
      <groupName>格式问题</groupName>
      <ability>L2_HalfPunc</ability>
      <abilityName>全半角检查</abilityName>
      <candidateList>
        <item>～</item>
      </candidateList>
      <explain>文本全半角错误。</explain>
      <paraID>2F362C11</paraID>
      <start>34</start>
      <end>35</end>
      <status>unmodified</status>
      <modifiedWord/>
      <trackRevisions>false</trackRevisions>
    </reviewItem>
    <reviewItem>
      <errorID>8ae8e73c-c42d-4bff-a05e-d0e1797f8e91</errorID>
      <errorWord>程</errorWord>
      <group>L1_Word</group>
      <groupName>字词问题</groupName>
      <ability>L2_Typo</ability>
      <abilityName>字词错误</abilityName>
      <candidateList>
        <item>程中</item>
      </candidateList>
      <explain/>
      <paraID>3CD7E990</paraID>
      <start>17</start>
      <end>18</end>
      <status>unmodified</status>
      <modifiedWord/>
      <trackRevisions>false</trackRevisions>
    </reviewItem>
    <reviewItem>
      <errorID>3d305854-c966-4ed6-96c8-c938b5b17835</errorID>
      <errorWord>，将</errorWord>
      <group>L1_Word</group>
      <groupName>字词问题</groupName>
      <ability>L2_Typo</ability>
      <abilityName>字词错误</abilityName>
      <candidateList>
        <item>，</item>
      </candidateList>
      <explain/>
      <paraID>465A6259</paraID>
      <start>26</start>
      <end>28</end>
      <status>unmodified</status>
      <modifiedWord/>
      <trackRevisions>false</trackRevisions>
    </reviewItem>
    <reviewItem>
      <errorID>cea7a3e3-ae05-4d1d-9bbe-9289989f699f</errorID>
      <errorWord>来自于</errorWord>
      <group>L1_Word</group>
      <groupName>字词问题</groupName>
      <ability>L2_Typo</ability>
      <abilityName>字词错误</abilityName>
      <candidateList>
        <item>来自</item>
      </candidateList>
      <explain/>
      <paraID>147BB951</paraID>
      <start>11</start>
      <end>14</end>
      <status>unmodified</status>
      <modifiedWord/>
      <trackRevisions>false</trackRevisions>
    </reviewItem>
    <reviewItem>
      <errorID>fa1d20a2-8947-4172-8742-bae74a202463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5EA0B8FF</paraID>
      <start>0</start>
      <end>2</end>
      <status>unmodified</status>
      <modifiedWord/>
      <trackRevisions>false</trackRevisions>
    </reviewItem>
    <reviewItem>
      <errorID>5552b119-5a4f-4341-874f-4b51dbcbb89d</errorID>
      <errorWord>[2009]147号</errorWord>
      <group>L1_Knowledge</group>
      <groupName>知识性问题</groupName>
      <ability>L2_Knowledge</ability>
      <abilityName>其他知识</abilityName>
      <candidateList>
        <item>〔2009〕147号</item>
      </candidateList>
      <explain>发文字号格式错误。</explain>
      <paraID>7ABF35E6</paraID>
      <start>4</start>
      <end>14</end>
      <status>unmodified</status>
      <modifiedWord/>
      <trackRevisions>false</trackRevisions>
    </reviewItem>
    <reviewItem>
      <errorID>dd1b7c3e-b7a8-4c2f-b695-387f30b302be</errorID>
      <errorWord>)</errorWord>
      <group>L1_Format</group>
      <groupName>格式问题</groupName>
      <ability>L2_HalfPunc</ability>
      <abilityName>全半角检查</abilityName>
      <candidateList>
        <item>）</item>
      </candidateList>
      <explain>文本全半角错误。</explain>
      <paraID>1483A4E7</paraID>
      <start>14</start>
      <end>15</end>
      <status>unmodified</status>
      <modifiedWord/>
      <trackRevisions>false</trackRevisions>
    </reviewItem>
    <reviewItem>
      <errorID>25b977cd-9930-45a0-b3ac-e824c3e99240</errorID>
      <errorWord>)</errorWord>
      <group>L1_Format</group>
      <groupName>格式问题</groupName>
      <ability>L2_HalfPunc</ability>
      <abilityName>全半角检查</abilityName>
      <candidateList>
        <item>）</item>
      </candidateList>
      <explain>文本全半角错误。</explain>
      <paraID>3FFCCC41</paraID>
      <start>21</start>
      <end>22</end>
      <status>unmodified</status>
      <modifiedWord/>
      <trackRevisions>false</trackRevisions>
    </reviewItem>
    <reviewItem>
      <errorID>91e54465-c3f1-4c57-8836-e2f2d35f5cc7</errorID>
      <errorWord>[2017]29号</errorWord>
      <group>L1_Knowledge</group>
      <groupName>知识性问题</groupName>
      <ability>L2_Knowledge</ability>
      <abilityName>其他知识</abilityName>
      <candidateList>
        <item>〔2017〕29号</item>
      </candidateList>
      <explain>发文字号格式错误。</explain>
      <paraID>6156F002</paraID>
      <start>4</start>
      <end>13</end>
      <status>unmodified</status>
      <modifiedWord/>
      <trackRevisions>false</trackRevisions>
    </reviewItem>
    <reviewItem>
      <errorID>47f04068-f43e-49c3-8050-870253e815d6</errorID>
      <errorWord>【2023】15号</errorWord>
      <group>L1_Knowledge</group>
      <groupName>知识性问题</groupName>
      <ability>L2_Knowledge</ability>
      <abilityName>其他知识</abilityName>
      <candidateList>
        <item>〔2023〕15号</item>
      </candidateList>
      <explain>发文字号格式错误。</explain>
      <paraID>1CD202E2</paraID>
      <start>4</start>
      <end>13</end>
      <status>unmodified</status>
      <modifiedWord/>
      <trackRevisions>false</trackRevisions>
    </reviewItem>
    <reviewItem>
      <errorID>8e4bcb5c-7369-4508-94fd-5e95c92bb463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7584D64D</paraID>
      <start>0</start>
      <end>2</end>
      <status>unmodified</status>
      <modifiedWord/>
      <trackRevisions>false</trackRevisions>
    </reviewItem>
    <reviewItem>
      <errorID>065895c1-8de4-48d8-ab72-66acdf1c514b</errorID>
      <errorWord>＜</errorWord>
      <group>L1_Format</group>
      <groupName>格式问题</groupName>
      <ability>L2_HalfPunc</ability>
      <abilityName>全半角检查</abilityName>
      <candidateList>
        <item>&lt;</item>
      </candidateList>
      <explain>文本全半角错误。</explain>
      <paraID>57CC29DF</paraID>
      <start>0</start>
      <end>1</end>
      <status>unmodified</status>
      <modifiedWord/>
      <trackRevisions>false</trackRevisions>
    </reviewItem>
    <reviewItem>
      <errorID>c33c054d-2e50-4b98-9a50-5da22a312463</errorID>
      <errorWord>＜</errorWord>
      <group>L1_Format</group>
      <groupName>格式问题</groupName>
      <ability>L2_HalfPunc</ability>
      <abilityName>全半角检查</abilityName>
      <candidateList>
        <item>&lt;</item>
      </candidateList>
      <explain>文本全半角错误。</explain>
      <paraID>4E6F426D</paraID>
      <start>0</start>
      <end>1</end>
      <status>unmodified</status>
      <modifiedWord/>
      <trackRevisions>false</trackRevisions>
    </reviewItem>
    <reviewItem>
      <errorID>b336a1fe-8ff2-4c0c-af2e-12b6f8ab3d1e</errorID>
      <errorWord>＜</errorWord>
      <group>L1_Format</group>
      <groupName>格式问题</groupName>
      <ability>L2_HalfPunc</ability>
      <abilityName>全半角检查</abilityName>
      <candidateList>
        <item>&lt;</item>
      </candidateList>
      <explain>文本全半角错误。</explain>
      <paraID>7541CF41</paraID>
      <start>0</start>
      <end>1</end>
      <status>unmodified</status>
      <modifiedWord/>
      <trackRevisions>false</trackRevisions>
    </reviewItem>
    <reviewItem>
      <errorID>de3c651a-e924-4e80-9100-c915fd6042a0</errorID>
      <errorWord>＜</errorWord>
      <group>L1_Format</group>
      <groupName>格式问题</groupName>
      <ability>L2_HalfPunc</ability>
      <abilityName>全半角检查</abilityName>
      <candidateList>
        <item>&lt;</item>
      </candidateList>
      <explain>文本全半角错误。</explain>
      <paraID>13A147FF</paraID>
      <start>0</start>
      <end>1</end>
      <status>unmodified</status>
      <modifiedWord/>
      <trackRevisions>false</trackRevisions>
    </reviewItem>
    <reviewItem>
      <errorID>4c36e18e-e70a-43ed-ab70-ba5cde2e971c</errorID>
      <errorWord>＜</errorWord>
      <group>L1_Format</group>
      <groupName>格式问题</groupName>
      <ability>L2_HalfPunc</ability>
      <abilityName>全半角检查</abilityName>
      <candidateList>
        <item>&lt;</item>
      </candidateList>
      <explain>文本全半角错误。</explain>
      <paraID>2D53D076</paraID>
      <start>0</start>
      <end>1</end>
      <status>unmodified</status>
      <modifiedWord/>
      <trackRevisions>false</trackRevisions>
    </reviewItem>
    <reviewItem>
      <errorID>f7b93537-4616-4bce-9534-d571e446604c</errorID>
      <errorWord>＜</errorWord>
      <group>L1_Format</group>
      <groupName>格式问题</groupName>
      <ability>L2_HalfPunc</ability>
      <abilityName>全半角检查</abilityName>
      <candidateList>
        <item>&lt;</item>
      </candidateList>
      <explain>文本全半角错误。</explain>
      <paraID>6AE9E903</paraID>
      <start>0</start>
      <end>1</end>
      <status>unmodified</status>
      <modifiedWord/>
      <trackRevisions>false</trackRevisions>
    </reviewItem>
    <reviewItem>
      <errorID>c44ce9de-7574-4c16-9c80-693bf9ee7052</errorID>
      <errorWord>＜</errorWord>
      <group>L1_Format</group>
      <groupName>格式问题</groupName>
      <ability>L2_HalfPunc</ability>
      <abilityName>全半角检查</abilityName>
      <candidateList>
        <item>&lt;</item>
      </candidateList>
      <explain>文本全半角错误。</explain>
      <paraID>470E879C</paraID>
      <start>0</start>
      <end>1</end>
      <status>unmodified</status>
      <modifiedWord/>
      <trackRevisions>false</trackRevisions>
    </reviewItem>
    <reviewItem>
      <errorID>f088047a-6b5e-4904-a86f-da2963406c14</errorID>
      <errorWord>＜</errorWord>
      <group>L1_Format</group>
      <groupName>格式问题</groupName>
      <ability>L2_HalfPunc</ability>
      <abilityName>全半角检查</abilityName>
      <candidateList>
        <item>&lt;</item>
      </candidateList>
      <explain>文本全半角错误。</explain>
      <paraID>13755925</paraID>
      <start>0</start>
      <end>1</end>
      <status>unmodified</status>
      <modifiedWord/>
      <trackRevisions>false</trackRevisions>
    </reviewItem>
    <reviewItem>
      <errorID>7e32de6b-f77f-4cc0-8456-c97f2ed2b8a8</errorID>
      <errorWord>＜</errorWord>
      <group>L1_Format</group>
      <groupName>格式问题</groupName>
      <ability>L2_HalfPunc</ability>
      <abilityName>全半角检查</abilityName>
      <candidateList>
        <item>&lt;</item>
      </candidateList>
      <explain>文本全半角错误。</explain>
      <paraID>647DEC3D</paraID>
      <start>0</start>
      <end>1</end>
      <status>unmodified</status>
      <modifiedWord/>
      <trackRevisions>false</trackRevisions>
    </reviewItem>
    <reviewItem>
      <errorID>13d95884-49df-4ff0-84e5-a7bb2f5d0c36</errorID>
      <errorWord>＜</errorWord>
      <group>L1_Format</group>
      <groupName>格式问题</groupName>
      <ability>L2_HalfPunc</ability>
      <abilityName>全半角检查</abilityName>
      <candidateList>
        <item>&lt;</item>
      </candidateList>
      <explain>文本全半角错误。</explain>
      <paraID>2151E195</paraID>
      <start>0</start>
      <end>1</end>
      <status>unmodified</status>
      <modifiedWord/>
      <trackRevisions>false</trackRevisions>
    </reviewItem>
    <reviewItem>
      <errorID>5f7c1b7b-d6b4-4215-9abf-2adbbe12bbfd</errorID>
      <errorWord>＜</errorWord>
      <group>L1_Format</group>
      <groupName>格式问题</groupName>
      <ability>L2_HalfPunc</ability>
      <abilityName>全半角检查</abilityName>
      <candidateList>
        <item>&lt;</item>
      </candidateList>
      <explain>文本全半角错误。</explain>
      <paraID>5D47D802</paraID>
      <start>0</start>
      <end>1</end>
      <status>unmodified</status>
      <modifiedWord/>
      <trackRevisions>false</trackRevisions>
    </reviewItem>
    <reviewItem>
      <errorID>b7d79f79-6e17-411c-b87a-9e713b6b2ccc</errorID>
      <errorWord>＜</errorWord>
      <group>L1_Format</group>
      <groupName>格式问题</groupName>
      <ability>L2_HalfPunc</ability>
      <abilityName>全半角检查</abilityName>
      <candidateList>
        <item>&lt;</item>
      </candidateList>
      <explain>文本全半角错误。</explain>
      <paraID>28767C90</paraID>
      <start>0</start>
      <end>1</end>
      <status>unmodified</status>
      <modifiedWord/>
      <trackRevisions>false</trackRevisions>
    </reviewItem>
    <reviewItem>
      <errorID>34ead78e-86d8-48d7-9809-edcb244b4c1a</errorID>
      <errorWord>＜</errorWord>
      <group>L1_Format</group>
      <groupName>格式问题</groupName>
      <ability>L2_HalfPunc</ability>
      <abilityName>全半角检查</abilityName>
      <candidateList>
        <item>&lt;</item>
      </candidateList>
      <explain>文本全半角错误。</explain>
      <paraID>6AEFAF8A</paraID>
      <start>0</start>
      <end>1</end>
      <status>unmodified</status>
      <modifiedWord/>
      <trackRevisions>false</trackRevisions>
    </reviewItem>
    <reviewItem>
      <errorID>01106118-448e-471c-9cb0-5ff94c289821</errorID>
      <errorWord>＜</errorWord>
      <group>L1_Format</group>
      <groupName>格式问题</groupName>
      <ability>L2_HalfPunc</ability>
      <abilityName>全半角检查</abilityName>
      <candidateList>
        <item>&lt;</item>
      </candidateList>
      <explain>文本全半角错误。</explain>
      <paraID> 82E3B7F</paraID>
      <start>0</start>
      <end>1</end>
      <status>unmodified</status>
      <modifiedWord/>
      <trackRevisions>false</trackRevisions>
    </reviewItem>
    <reviewItem>
      <errorID>d30ecca9-60bf-4572-ab0d-a4565ff2c2c9</errorID>
      <errorWord>＜</errorWord>
      <group>L1_Format</group>
      <groupName>格式问题</groupName>
      <ability>L2_HalfPunc</ability>
      <abilityName>全半角检查</abilityName>
      <candidateList>
        <item>&lt;</item>
      </candidateList>
      <explain>文本全半角错误。</explain>
      <paraID>503218C0</paraID>
      <start>0</start>
      <end>1</end>
      <status>unmodified</status>
      <modifiedWord/>
      <trackRevisions>false</trackRevisions>
    </reviewItem>
    <reviewItem>
      <errorID>c34bbd8d-2ea8-40fc-8a82-92065b0e31d9</errorID>
      <errorWord>＜</errorWord>
      <group>L1_Format</group>
      <groupName>格式问题</groupName>
      <ability>L2_HalfPunc</ability>
      <abilityName>全半角检查</abilityName>
      <candidateList>
        <item>&lt;</item>
      </candidateList>
      <explain>文本全半角错误。</explain>
      <paraID>2082B49C</paraID>
      <start>0</start>
      <end>1</end>
      <status>unmodified</status>
      <modifiedWord/>
      <trackRevisions>false</trackRevisions>
    </reviewItem>
    <reviewItem>
      <errorID>49713f71-6ae5-454e-bf0c-b0154f62b8d5</errorID>
      <errorWord>＜</errorWord>
      <group>L1_Format</group>
      <groupName>格式问题</groupName>
      <ability>L2_HalfPunc</ability>
      <abilityName>全半角检查</abilityName>
      <candidateList>
        <item>&lt;</item>
      </candidateList>
      <explain>文本全半角错误。</explain>
      <paraID>5157931F</paraID>
      <start>0</start>
      <end>1</end>
      <status>unmodified</status>
      <modifiedWord/>
      <trackRevisions>false</trackRevisions>
    </reviewItem>
    <reviewItem>
      <errorID>8cb52cd5-3643-468f-b2f9-4bcc76bc1925</errorID>
      <errorWord>＜</errorWord>
      <group>L1_Format</group>
      <groupName>格式问题</groupName>
      <ability>L2_HalfPunc</ability>
      <abilityName>全半角检查</abilityName>
      <candidateList>
        <item>&lt;</item>
      </candidateList>
      <explain>文本全半角错误。</explain>
      <paraID> 54486DD</paraID>
      <start>0</start>
      <end>1</end>
      <status>unmodified</status>
      <modifiedWord/>
      <trackRevisions>false</trackRevisions>
    </reviewItem>
    <reviewItem>
      <errorID>66dc5821-6784-438f-ac02-c0ed1bbce5da</errorID>
      <errorWord>＜</errorWord>
      <group>L1_Format</group>
      <groupName>格式问题</groupName>
      <ability>L2_HalfPunc</ability>
      <abilityName>全半角检查</abilityName>
      <candidateList>
        <item>&lt;</item>
      </candidateList>
      <explain>文本全半角错误。</explain>
      <paraID> 5468B8C</paraID>
      <start>0</start>
      <end>1</end>
      <status>unmodified</status>
      <modifiedWord/>
      <trackRevisions>false</trackRevisions>
    </reviewItem>
    <reviewItem>
      <errorID>602f9a3f-2e2d-4147-b033-0a6c5b322ca6</errorID>
      <errorWord>＜</errorWord>
      <group>L1_Format</group>
      <groupName>格式问题</groupName>
      <ability>L2_HalfPunc</ability>
      <abilityName>全半角检查</abilityName>
      <candidateList>
        <item>&lt;</item>
      </candidateList>
      <explain>文本全半角错误。</explain>
      <paraID>7E641A60</paraID>
      <start>0</start>
      <end>1</end>
      <status>unmodified</status>
      <modifiedWord/>
      <trackRevisions>false</trackRevisions>
    </reviewItem>
    <reviewItem>
      <errorID>75dd69c2-e514-4a54-8ba3-9827950586d5</errorID>
      <errorWord>＜</errorWord>
      <group>L1_Format</group>
      <groupName>格式问题</groupName>
      <ability>L2_HalfPunc</ability>
      <abilityName>全半角检查</abilityName>
      <candidateList>
        <item>&lt;</item>
      </candidateList>
      <explain>文本全半角错误。</explain>
      <paraID>7ACF962C</paraID>
      <start>0</start>
      <end>1</end>
      <status>unmodified</status>
      <modifiedWord/>
      <trackRevisions>false</trackRevisions>
    </reviewItem>
    <reviewItem>
      <errorID>12af6236-a630-443a-a686-6445f84e8d3b</errorID>
      <errorWord>＜</errorWord>
      <group>L1_Format</group>
      <groupName>格式问题</groupName>
      <ability>L2_HalfPunc</ability>
      <abilityName>全半角检查</abilityName>
      <candidateList>
        <item>&lt;</item>
      </candidateList>
      <explain>文本全半角错误。</explain>
      <paraID>  CF02EE</paraID>
      <start>0</start>
      <end>1</end>
      <status>unmodified</status>
      <modifiedWord/>
      <trackRevisions>false</trackRevisions>
    </reviewItem>
    <reviewItem>
      <errorID>4941c762-b937-4ada-8d8e-6d2482484a78</errorID>
      <errorWord>＜</errorWord>
      <group>L1_Format</group>
      <groupName>格式问题</groupName>
      <ability>L2_HalfPunc</ability>
      <abilityName>全半角检查</abilityName>
      <candidateList>
        <item>&lt;</item>
      </candidateList>
      <explain>文本全半角错误。</explain>
      <paraID>20B00249</paraID>
      <start>0</start>
      <end>1</end>
      <status>unmodified</status>
      <modifiedWord/>
      <trackRevisions>false</trackRevisions>
    </reviewItem>
    <reviewItem>
      <errorID>770f3968-eef5-484b-b355-a64e76ca9173</errorID>
      <errorWord>＜</errorWord>
      <group>L1_Format</group>
      <groupName>格式问题</groupName>
      <ability>L2_HalfPunc</ability>
      <abilityName>全半角检查</abilityName>
      <candidateList>
        <item>&lt;</item>
      </candidateList>
      <explain>文本全半角错误。</explain>
      <paraID>738E14F8</paraID>
      <start>0</start>
      <end>1</end>
      <status>unmodified</status>
      <modifiedWord/>
      <trackRevisions>false</trackRevisions>
    </reviewItem>
    <reviewItem>
      <errorID>a8ac6759-8b6a-4e4c-88d1-9c3d932b9119</errorID>
      <errorWord>＜</errorWord>
      <group>L1_Format</group>
      <groupName>格式问题</groupName>
      <ability>L2_HalfPunc</ability>
      <abilityName>全半角检查</abilityName>
      <candidateList>
        <item>&lt;</item>
      </candidateList>
      <explain>文本全半角错误。</explain>
      <paraID>68CBD7C1</paraID>
      <start>0</start>
      <end>1</end>
      <status>unmodified</status>
      <modifiedWord/>
      <trackRevisions>false</trackRevisions>
    </reviewItem>
    <reviewItem>
      <errorID>c2513d96-6808-44dc-a6bb-29144d5d8009</errorID>
      <errorWord>＜</errorWord>
      <group>L1_Format</group>
      <groupName>格式问题</groupName>
      <ability>L2_HalfPunc</ability>
      <abilityName>全半角检查</abilityName>
      <candidateList>
        <item>&lt;</item>
      </candidateList>
      <explain>文本全半角错误。</explain>
      <paraID>6F210404</paraID>
      <start>0</start>
      <end>1</end>
      <status>unmodified</status>
      <modifiedWord/>
      <trackRevisions>false</trackRevisions>
    </reviewItem>
    <reviewItem>
      <errorID>49934979-e209-4b70-8531-ef3b4b2e94ee</errorID>
      <errorWord>＜</errorWord>
      <group>L1_Format</group>
      <groupName>格式问题</groupName>
      <ability>L2_HalfPunc</ability>
      <abilityName>全半角检查</abilityName>
      <candidateList>
        <item>&lt;</item>
      </candidateList>
      <explain>文本全半角错误。</explain>
      <paraID>7AB6C1BA</paraID>
      <start>0</start>
      <end>1</end>
      <status>unmodified</status>
      <modifiedWord/>
      <trackRevisions>false</trackRevisions>
    </reviewItem>
    <reviewItem>
      <errorID>256cda84-990e-43ec-be40-8730031f5d94</errorID>
      <errorWord>＜</errorWord>
      <group>L1_Format</group>
      <groupName>格式问题</groupName>
      <ability>L2_HalfPunc</ability>
      <abilityName>全半角检查</abilityName>
      <candidateList>
        <item>&lt;</item>
      </candidateList>
      <explain>文本全半角错误。</explain>
      <paraID>33F7A6B9</paraID>
      <start>0</start>
      <end>1</end>
      <status>unmodified</status>
      <modifiedWord/>
      <trackRevisions>false</trackRevisions>
    </reviewItem>
    <reviewItem>
      <errorID>307c8e63-6fc9-4e9e-8cb4-68faed02897b</errorID>
      <errorWord>＜</errorWord>
      <group>L1_Format</group>
      <groupName>格式问题</groupName>
      <ability>L2_HalfPunc</ability>
      <abilityName>全半角检查</abilityName>
      <candidateList>
        <item>&lt;</item>
      </candidateList>
      <explain>文本全半角错误。</explain>
      <paraID>3EC3D49C</paraID>
      <start>0</start>
      <end>1</end>
      <status>unmodified</status>
      <modifiedWord/>
      <trackRevisions>false</trackRevisions>
    </reviewItem>
    <reviewItem>
      <errorID>1358cbb6-a5a1-4a3a-9d88-cba3e0d1f635</errorID>
      <errorWord>＜</errorWord>
      <group>L1_Format</group>
      <groupName>格式问题</groupName>
      <ability>L2_HalfPunc</ability>
      <abilityName>全半角检查</abilityName>
      <candidateList>
        <item>&lt;</item>
      </candidateList>
      <explain>文本全半角错误。</explain>
      <paraID>50CA1639</paraID>
      <start>0</start>
      <end>1</end>
      <status>unmodified</status>
      <modifiedWord/>
      <trackRevisions>false</trackRevisions>
    </reviewItem>
    <reviewItem>
      <errorID>e3800dba-3126-4475-ae05-82402fe8fff8</errorID>
      <errorWord>＜</errorWord>
      <group>L1_Format</group>
      <groupName>格式问题</groupName>
      <ability>L2_HalfPunc</ability>
      <abilityName>全半角检查</abilityName>
      <candidateList>
        <item>&lt;</item>
      </candidateList>
      <explain>文本全半角错误。</explain>
      <paraID>26D2E75F</paraID>
      <start>0</start>
      <end>1</end>
      <status>unmodified</status>
      <modifiedWord/>
      <trackRevisions>false</trackRevisions>
    </reviewItem>
    <reviewItem>
      <errorID>865401ae-32a2-4195-9895-d287ff835f24</errorID>
      <errorWord>＜</errorWord>
      <group>L1_Format</group>
      <groupName>格式问题</groupName>
      <ability>L2_HalfPunc</ability>
      <abilityName>全半角检查</abilityName>
      <candidateList>
        <item>&lt;</item>
      </candidateList>
      <explain>文本全半角错误。</explain>
      <paraID> 402E69B</paraID>
      <start>0</start>
      <end>1</end>
      <status>unmodified</status>
      <modifiedWord/>
      <trackRevisions>false</trackRevisions>
    </reviewItem>
    <reviewItem>
      <errorID>f0500672-fcae-4c67-b6c4-4e5576414031</errorID>
      <errorWord>＜</errorWord>
      <group>L1_Format</group>
      <groupName>格式问题</groupName>
      <ability>L2_HalfPunc</ability>
      <abilityName>全半角检查</abilityName>
      <candidateList>
        <item>&lt;</item>
      </candidateList>
      <explain>文本全半角错误。</explain>
      <paraID>2A68FDDE</paraID>
      <start>0</start>
      <end>1</end>
      <status>unmodified</status>
      <modifiedWord/>
      <trackRevisions>false</trackRevisions>
    </reviewItem>
    <reviewItem>
      <errorID>86603186-6d9f-4f4a-af92-d0c93febb586</errorID>
      <errorWord>＜</errorWord>
      <group>L1_Format</group>
      <groupName>格式问题</groupName>
      <ability>L2_HalfPunc</ability>
      <abilityName>全半角检查</abilityName>
      <candidateList>
        <item>&lt;</item>
      </candidateList>
      <explain>文本全半角错误。</explain>
      <paraID>32408B06</paraID>
      <start>0</start>
      <end>1</end>
      <status>unmodified</status>
      <modifiedWord/>
      <trackRevisions>false</trackRevisions>
    </reviewItem>
    <reviewItem>
      <errorID>5c9c1418-a3fd-4846-b07a-dbe1cab8d23b</errorID>
      <errorWord>＜</errorWord>
      <group>L1_Format</group>
      <groupName>格式问题</groupName>
      <ability>L2_HalfPunc</ability>
      <abilityName>全半角检查</abilityName>
      <candidateList>
        <item>&lt;</item>
      </candidateList>
      <explain>文本全半角错误。</explain>
      <paraID>71223906</paraID>
      <start>0</start>
      <end>1</end>
      <status>unmodified</status>
      <modifiedWord/>
      <trackRevisions>false</trackRevisions>
    </reviewItem>
    <reviewItem>
      <errorID>3a9c7aff-fdc4-4b04-a4b2-ec16691bbb1c</errorID>
      <errorWord>＜</errorWord>
      <group>L1_Format</group>
      <groupName>格式问题</groupName>
      <ability>L2_HalfPunc</ability>
      <abilityName>全半角检查</abilityName>
      <candidateList>
        <item>&lt;</item>
      </candidateList>
      <explain>文本全半角错误。</explain>
      <paraID>645B65CA</paraID>
      <start>0</start>
      <end>1</end>
      <status>unmodified</status>
      <modifiedWord/>
      <trackRevisions>false</trackRevisions>
    </reviewItem>
    <reviewItem>
      <errorID>48bd3eb2-f7c8-4c72-a9ed-5306d56b8dc9</errorID>
      <errorWord>(</errorWord>
      <group>L1_Format</group>
      <groupName>格式问题</groupName>
      <ability>L2_HalfPunc</ability>
      <abilityName>全半角检查</abilityName>
      <candidateList>
        <item>（</item>
      </candidateList>
      <explain>文本全半角错误。</explain>
      <paraID>62B27476</paraID>
      <start>30</start>
      <end>31</end>
      <status>unmodified</status>
      <modifiedWord/>
      <trackRevisions>false</trackRevisions>
    </reviewItem>
    <reviewItem>
      <errorID>e97220a3-caa7-487d-b75a-1abf37b065af</errorID>
      <errorWord>)</errorWord>
      <group>L1_Format</group>
      <groupName>格式问题</groupName>
      <ability>L2_HalfPunc</ability>
      <abilityName>全半角检查</abilityName>
      <candidateList>
        <item>）</item>
      </candidateList>
      <explain>文本全半角错误。</explain>
      <paraID>62B27476</paraID>
      <start>43</start>
      <end>44</end>
      <status>unmodified</status>
      <modifiedWord/>
      <trackRevisions>false</trackRevisions>
    </reviewItem>
    <reviewItem>
      <errorID>176b8ec8-d7c2-4734-ad7d-56bf95ef4772</errorID>
      <errorWord>行监</errorWord>
      <group>L1_Word</group>
      <groupName>字词问题</groupName>
      <ability>L2_Typo</ability>
      <abilityName>字词错误</abilityName>
      <candidateList>
        <item>行检</item>
      </candidateList>
      <explain/>
      <paraID>31562330</paraID>
      <start>11</start>
      <end>13</end>
      <status>unmodified</status>
      <modifiedWord/>
      <trackRevisions>false</trackRevisions>
    </reviewItem>
    <reviewItem>
      <errorID>cb6c870c-bee1-466c-a637-eb9177b29940</errorID>
      <errorWord>废水检测</errorWord>
      <group>L1_Word</group>
      <groupName>字词问题</groupName>
      <ability>L2_Typo</ability>
      <abilityName>字词错误</abilityName>
      <candidateList>
        <item>废水监测</item>
      </candidateList>
      <explain/>
      <paraID>60ED17CF</paraID>
      <start>9</start>
      <end>13</end>
      <status>unmodified</status>
      <modifiedWord/>
      <trackRevisions>false</trackRevisions>
    </reviewItem>
    <reviewItem>
      <errorID>c6dea94d-68d7-4e6a-84c1-4745b189ae0d</errorID>
      <errorWord>&gt;)</errorWord>
      <group>L1_Punc</group>
      <groupName>标点问题</groupName>
      <ability>L2_Punc</ability>
      <abilityName>标点符号检查</abilityName>
      <candidateList>
        <item>)</item>
      </candidateList>
      <explain/>
      <paraID>303CE8A3</paraID>
      <start>6</start>
      <end>8</end>
      <status>unmodified</status>
      <modifiedWord/>
      <trackRevisions>false</trackRevisions>
    </reviewItem>
    <reviewItem>
      <errorID>3851dc7e-8e92-4be3-90ea-47c3747b19d8</errorID>
      <errorWord>(</errorWord>
      <group>L1_Format</group>
      <groupName>格式问题</groupName>
      <ability>L2_HalfPunc</ability>
      <abilityName>全半角检查</abilityName>
      <candidateList>
        <item>（</item>
      </candidateList>
      <explain>文本全半角错误。</explain>
      <paraID>7554DEA0</paraID>
      <start>4</start>
      <end>5</end>
      <status>unmodified</status>
      <modifiedWord/>
      <trackRevisions>false</trackRevisions>
    </reviewItem>
    <reviewItem>
      <errorID>90f360a3-d877-4665-957f-1f0ed86cdafb</errorID>
      <errorWord>)</errorWord>
      <group>L1_Format</group>
      <groupName>格式问题</groupName>
      <ability>L2_HalfPunc</ability>
      <abilityName>全半角检查</abilityName>
      <candidateList>
        <item>）</item>
      </candidateList>
      <explain>文本全半角错误。</explain>
      <paraID>7554DEA0</paraID>
      <start>8</start>
      <end>9</end>
      <status>unmodified</status>
      <modifiedWord/>
      <trackRevisions>false</trackRevisions>
    </reviewItem>
    <reviewItem>
      <errorID>11ff24ea-5d7a-40b7-bb5a-4e02b4e76b25</errorID>
      <errorWord>(</errorWord>
      <group>L1_Format</group>
      <groupName>格式问题</groupName>
      <ability>L2_HalfPunc</ability>
      <abilityName>全半角检查</abilityName>
      <candidateList>
        <item>（</item>
      </candidateList>
      <explain>文本全半角错误。</explain>
      <paraID>71D34ABF</paraID>
      <start>2</start>
      <end>3</end>
      <status>unmodified</status>
      <modifiedWord/>
      <trackRevisions>false</trackRevisions>
    </reviewItem>
    <reviewItem>
      <errorID>92510853-0612-40b1-894f-f1e7972bfae5</errorID>
      <errorWord>)</errorWord>
      <group>L1_Format</group>
      <groupName>格式问题</groupName>
      <ability>L2_HalfPunc</ability>
      <abilityName>全半角检查</abilityName>
      <candidateList>
        <item>）</item>
      </candidateList>
      <explain>文本全半角错误。</explain>
      <paraID>71D34ABF</paraID>
      <start>14</start>
      <end>15</end>
      <status>unmodified</status>
      <modifiedWord/>
      <trackRevisions>false</trackRevisions>
    </reviewItem>
    <reviewItem>
      <errorID>6c3a5076-d738-4881-aecb-e183c53612e7</errorID>
      <errorWord>(</errorWord>
      <group>L1_Punc</group>
      <groupName>标点问题</groupName>
      <ability>L2_Punc</ability>
      <abilityName>标点符号检查</abilityName>
      <candidateList/>
      <explain/>
      <paraID>4959D7E7</paraID>
      <start>2</start>
      <end>3</end>
      <status>unmodified</status>
      <modifiedWord/>
      <trackRevisions>false</trackRevisions>
    </reviewItem>
    <reviewItem>
      <errorID>fe0cb19e-28d4-4545-88f4-368c5e94282a</errorID>
      <errorWord>)</errorWord>
      <group>L1_Format</group>
      <groupName>格式问题</groupName>
      <ability>L2_HalfPunc</ability>
      <abilityName>全半角检查</abilityName>
      <candidateList>
        <item>）</item>
      </candidateList>
      <explain>文本全半角错误。</explain>
      <paraID>22BC103F</paraID>
      <start>14</start>
      <end>15</end>
      <status>unmodified</status>
      <modifiedWord/>
      <trackRevisions>false</trackRevisions>
    </reviewItem>
    <reviewItem>
      <errorID>c112f439-f165-45bd-af1c-740b31444bd4</errorID>
      <errorWord>)</errorWord>
      <group>L1_Format</group>
      <groupName>格式问题</groupName>
      <ability>L2_HalfPunc</ability>
      <abilityName>全半角检查</abilityName>
      <candidateList>
        <item>）</item>
      </candidateList>
      <explain>文本全半角错误。</explain>
      <paraID>  32E8F8</paraID>
      <start>14</start>
      <end>15</end>
      <status>unmodified</status>
      <modifiedWord/>
      <trackRevisions>false</trackRevisions>
    </reviewItem>
    <reviewItem>
      <errorID>1be75aec-501a-4060-9144-aa7d7d7e21fd</errorID>
      <errorWord>)</errorWord>
      <group>L1_Format</group>
      <groupName>格式问题</groupName>
      <ability>L2_HalfPunc</ability>
      <abilityName>全半角检查</abilityName>
      <candidateList>
        <item>）</item>
      </candidateList>
      <explain>文本全半角错误。</explain>
      <paraID>7ED335F1</paraID>
      <start>14</start>
      <end>15</end>
      <status>unmodified</status>
      <modifiedWord/>
      <trackRevisions>false</trackRevisions>
    </reviewItem>
    <reviewItem>
      <errorID>37c9853b-bebf-48f8-b13f-053105a31c17</errorID>
      <errorWord>(</errorWord>
      <group>L1_Format</group>
      <groupName>格式问题</groupName>
      <ability>L2_HalfPunc</ability>
      <abilityName>全半角检查</abilityName>
      <candidateList>
        <item>（</item>
      </candidateList>
      <explain>文本全半角错误。</explain>
      <paraID>6CDC2620</paraID>
      <start>2</start>
      <end>3</end>
      <status>unmodified</status>
      <modifiedWord/>
      <trackRevisions>false</trackRevisions>
    </reviewItem>
    <reviewItem>
      <errorID>a3a40a17-2421-49c9-be94-da500f916a47</errorID>
      <errorWord>)</errorWord>
      <group>L1_Format</group>
      <groupName>格式问题</groupName>
      <ability>L2_HalfPunc</ability>
      <abilityName>全半角检查</abilityName>
      <candidateList>
        <item>）</item>
      </candidateList>
      <explain>文本全半角错误。</explain>
      <paraID>6CDC2620</paraID>
      <start>14</start>
      <end>15</end>
      <status>unmodified</status>
      <modifiedWord/>
      <trackRevisions>false</trackRevisions>
    </reviewItem>
    <reviewItem>
      <errorID>3177f83d-dbd7-41d2-9a2a-9cf9798f3a96</errorID>
      <errorWord>)</errorWord>
      <group>L1_Format</group>
      <groupName>格式问题</groupName>
      <ability>L2_HalfPunc</ability>
      <abilityName>全半角检查</abilityName>
      <candidateList>
        <item>）</item>
      </candidateList>
      <explain>文本全半角错误。</explain>
      <paraID>23D85754</paraID>
      <start>14</start>
      <end>15</end>
      <status>unmodified</status>
      <modifiedWord/>
      <trackRevisions>false</trackRevisions>
    </reviewItem>
    <reviewItem>
      <errorID>6e2c6662-11b2-495e-b9b6-c36849d4a88a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43AECD26</paraID>
      <start>0</start>
      <end>2</end>
      <status>unmodified</status>
      <modifiedWord/>
      <trackRevisions>false</trackRevisions>
    </reviewItem>
    <reviewItem>
      <errorID>187fda09-0cb4-4eff-baee-82ad792b6eca</errorID>
      <errorWord>废</errorWord>
      <group>L1_Word</group>
      <groupName>字词问题</groupName>
      <ability>L2_Typo</ability>
      <abilityName>字词错误</abilityName>
      <candidateList>
        <item>废物</item>
      </candidateList>
      <explain/>
      <paraID>5D167B52</paraID>
      <start>3</start>
      <end>4</end>
      <status>unmodified</status>
      <modifiedWord/>
      <trackRevisions>false</trackRevisions>
    </reviewItem>
    <reviewItem>
      <errorID>6b3b818d-c829-4b39-b96d-1631b2b76670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75BCE682</paraID>
      <start>0</start>
      <end>2</end>
      <status>unmodified</status>
      <modifiedWord/>
      <trackRevisions>false</trackRevisions>
    </reviewItem>
    <reviewItem>
      <errorID>f4e450fb-4888-4694-ab5f-57b63865269c</errorID>
      <errorWord>，经</errorWord>
      <group>L1_Word</group>
      <groupName>字词问题</groupName>
      <ability>L2_Typo</ability>
      <abilityName>字词错误</abilityName>
      <candidateList>
        <item>，</item>
      </candidateList>
      <explain/>
      <paraID>4380CE59</paraID>
      <start>207</start>
      <end>209</end>
      <status>unmodified</status>
      <modifiedWord/>
      <trackRevisions>false</trackRevisions>
    </reviewItem>
    <reviewItem>
      <errorID>950820b0-f08a-4c09-b4dd-3f87b8ecb7df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77A19D38</paraID>
      <start>0</start>
      <end>2</end>
      <status>unmodified</status>
      <modifiedWord/>
      <trackRevisions>false</trackRevisions>
    </reviewItem>
    <reviewItem>
      <errorID>15597d30-6863-427a-be84-e6830309f901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347CA63F</paraID>
      <start>48</start>
      <end>49</end>
      <status>unmodified</status>
      <modifiedWord/>
      <trackRevisions>false</trackRevisions>
    </reviewItem>
    <reviewItem>
      <errorID>ed9997b6-5c13-474b-8a47-cc79872d8636</errorID>
      <errorWord>＜</errorWord>
      <group>L1_Format</group>
      <groupName>格式问题</groupName>
      <ability>L2_HalfPunc</ability>
      <abilityName>全半角检查</abilityName>
      <candidateList>
        <item>&lt;</item>
      </candidateList>
      <explain>文本全半角错误。</explain>
      <paraID> 859B2F3</paraID>
      <start>0</start>
      <end>1</end>
      <status>unmodified</status>
      <modifiedWord/>
      <trackRevisions>false</trackRevisions>
    </reviewItem>
    <reviewItem>
      <errorID>1f50c934-8b6e-4166-b92d-5c7d62e0d248</errorID>
      <errorWord>＜</errorWord>
      <group>L1_Format</group>
      <groupName>格式问题</groupName>
      <ability>L2_HalfPunc</ability>
      <abilityName>全半角检查</abilityName>
      <candidateList>
        <item>&lt;</item>
      </candidateList>
      <explain>文本全半角错误。</explain>
      <paraID> C7FDF6E</paraID>
      <start>0</start>
      <end>1</end>
      <status>unmodified</status>
      <modifiedWord/>
      <trackRevisions>false</trackRevisions>
    </reviewItem>
    <reviewItem>
      <errorID>8bcf1342-7ab5-401f-bbc6-a30c6f94867f</errorID>
      <errorWord>＜</errorWord>
      <group>L1_Format</group>
      <groupName>格式问题</groupName>
      <ability>L2_HalfPunc</ability>
      <abilityName>全半角检查</abilityName>
      <candidateList>
        <item>&lt;</item>
      </candidateList>
      <explain>文本全半角错误。</explain>
      <paraID>30021029</paraID>
      <start>0</start>
      <end>1</end>
      <status>unmodified</status>
      <modifiedWord/>
      <trackRevisions>false</trackRevisions>
    </reviewItem>
    <reviewItem>
      <errorID>fe5d46e0-c920-40f5-8f5b-4e6ec50febce</errorID>
      <errorWord>＜</errorWord>
      <group>L1_Format</group>
      <groupName>格式问题</groupName>
      <ability>L2_HalfPunc</ability>
      <abilityName>全半角检查</abilityName>
      <candidateList>
        <item>&lt;</item>
      </candidateList>
      <explain>文本全半角错误。</explain>
      <paraID>3B5BFBBA</paraID>
      <start>0</start>
      <end>1</end>
      <status>unmodified</status>
      <modifiedWord/>
      <trackRevisions>false</trackRevisions>
    </reviewItem>
    <reviewItem>
      <errorID>e018e20e-6500-4fa5-af80-75ac73536b6a</errorID>
      <errorWord>＜</errorWord>
      <group>L1_Format</group>
      <groupName>格式问题</groupName>
      <ability>L2_HalfPunc</ability>
      <abilityName>全半角检查</abilityName>
      <candidateList>
        <item>&lt;</item>
      </candidateList>
      <explain>文本全半角错误。</explain>
      <paraID>653E10AD</paraID>
      <start>0</start>
      <end>1</end>
      <status>unmodified</status>
      <modifiedWord/>
      <trackRevisions>false</trackRevisions>
    </reviewItem>
    <reviewItem>
      <errorID>ba9bdf51-81db-4a21-8457-217fa0e01825</errorID>
      <errorWord>＜</errorWord>
      <group>L1_Format</group>
      <groupName>格式问题</groupName>
      <ability>L2_HalfPunc</ability>
      <abilityName>全半角检查</abilityName>
      <candidateList>
        <item>&lt;</item>
      </candidateList>
      <explain>文本全半角错误。</explain>
      <paraID>58F04788</paraID>
      <start>0</start>
      <end>1</end>
      <status>unmodified</status>
      <modifiedWord/>
      <trackRevisions>false</trackRevisions>
    </reviewItem>
    <reviewItem>
      <errorID>2fe462b2-169d-4ae2-86df-5a0051c30b12</errorID>
      <errorWord>＜</errorWord>
      <group>L1_Format</group>
      <groupName>格式问题</groupName>
      <ability>L2_HalfPunc</ability>
      <abilityName>全半角检查</abilityName>
      <candidateList>
        <item>&lt;</item>
      </candidateList>
      <explain>文本全半角错误。</explain>
      <paraID>2D630D3D</paraID>
      <start>0</start>
      <end>1</end>
      <status>unmodified</status>
      <modifiedWord/>
      <trackRevisions>false</trackRevisions>
    </reviewItem>
    <reviewItem>
      <errorID>a26ed9b1-a069-49c1-a586-d16b210179e7</errorID>
      <errorWord>＜</errorWord>
      <group>L1_Format</group>
      <groupName>格式问题</groupName>
      <ability>L2_HalfPunc</ability>
      <abilityName>全半角检查</abilityName>
      <candidateList>
        <item>&lt;</item>
      </candidateList>
      <explain>文本全半角错误。</explain>
      <paraID>4EE50D95</paraID>
      <start>0</start>
      <end>1</end>
      <status>unmodified</status>
      <modifiedWord/>
      <trackRevisions>false</trackRevisions>
    </reviewItem>
    <reviewItem>
      <errorID>55710435-4163-4cee-8813-d5b8d6d592e1</errorID>
      <errorWord>＜</errorWord>
      <group>L1_Format</group>
      <groupName>格式问题</groupName>
      <ability>L2_HalfPunc</ability>
      <abilityName>全半角检查</abilityName>
      <candidateList>
        <item>&lt;</item>
      </candidateList>
      <explain>文本全半角错误。</explain>
      <paraID>5C01784A</paraID>
      <start>0</start>
      <end>1</end>
      <status>unmodified</status>
      <modifiedWord/>
      <trackRevisions>false</trackRevisions>
    </reviewItem>
    <reviewItem>
      <errorID>f4b13689-2be6-4ec6-8c91-c8d3e591d6b9</errorID>
      <errorWord>＜</errorWord>
      <group>L1_Format</group>
      <groupName>格式问题</groupName>
      <ability>L2_HalfPunc</ability>
      <abilityName>全半角检查</abilityName>
      <candidateList>
        <item>&lt;</item>
      </candidateList>
      <explain>文本全半角错误。</explain>
      <paraID>5F47CD7F</paraID>
      <start>0</start>
      <end>1</end>
      <status>unmodified</status>
      <modifiedWord/>
      <trackRevisions>false</trackRevisions>
    </reviewItem>
    <reviewItem>
      <errorID>59d1da66-7b65-4cc2-9459-788b5dbc83d0</errorID>
      <errorWord>＜</errorWord>
      <group>L1_Format</group>
      <groupName>格式问题</groupName>
      <ability>L2_HalfPunc</ability>
      <abilityName>全半角检查</abilityName>
      <candidateList>
        <item>&lt;</item>
      </candidateList>
      <explain>文本全半角错误。</explain>
      <paraID> E7F7167</paraID>
      <start>0</start>
      <end>1</end>
      <status>unmodified</status>
      <modifiedWord/>
      <trackRevisions>false</trackRevisions>
    </reviewItem>
    <reviewItem>
      <errorID>40cddbb8-7db7-420d-b28c-c5aed9edb2c4</errorID>
      <errorWord>＜</errorWord>
      <group>L1_Format</group>
      <groupName>格式问题</groupName>
      <ability>L2_HalfPunc</ability>
      <abilityName>全半角检查</abilityName>
      <candidateList>
        <item>&lt;</item>
      </candidateList>
      <explain>文本全半角错误。</explain>
      <paraID>3162BA7D</paraID>
      <start>0</start>
      <end>1</end>
      <status>unmodified</status>
      <modifiedWord/>
      <trackRevisions>false</trackRevisions>
    </reviewItem>
    <reviewItem>
      <errorID>86f24515-2132-41de-8652-25225eef8104</errorID>
      <errorWord>区区</errorWord>
      <group>L1_Word</group>
      <groupName>字词问题</groupName>
      <ability>L2_Typo</ability>
      <abilityName>字词错误</abilityName>
      <candidateList>
        <item>区</item>
      </candidateList>
      <explain>（區）qū❶区别；划分：～分。❷地区；区域：山～｜市～｜解放～｜工业～｜风景～。❸〈名〉行政区划单位，如自治区、市辖区、县辖区等。</explain>
      <paraID>70261AA9</paraID>
      <start>2</start>
      <end>4</end>
      <status>unmodified</status>
      <modifiedWord/>
      <trackRevisions>false</trackRevisions>
    </reviewItem>
    <reviewItem>
      <errorID>9df85c1f-7a9b-4d13-9b10-5ebadc9c4e29</errorID>
      <errorWord>区区</errorWord>
      <group>L1_Word</group>
      <groupName>字词问题</groupName>
      <ability>L2_Typo</ability>
      <abilityName>字词错误</abilityName>
      <candidateList>
        <item>区</item>
      </candidateList>
      <explain>（區）qū❶区别；划分：～分。❷地区；区域：山～｜市～｜解放～｜工业～｜风景～。❸〈名〉行政区划单位，如自治区、市辖区、县辖区等。</explain>
      <paraID>4674C8C9</paraID>
      <start>2</start>
      <end>4</end>
      <status>unmodified</status>
      <modifiedWord/>
      <trackRevisions>false</trackRevisions>
    </reviewItem>
    <reviewItem>
      <errorID>999f3144-2185-4f30-ab58-e33cddc3eddf</errorID>
      <errorWord>区区</errorWord>
      <group>L1_Word</group>
      <groupName>字词问题</groupName>
      <ability>L2_Typo</ability>
      <abilityName>字词错误</abilityName>
      <candidateList>
        <item>区</item>
      </candidateList>
      <explain>（區）qū❶区别；划分：～分。❷地区；区域：山～｜市～｜解放～｜工业～｜风景～。❸〈名〉行政区划单位，如自治区、市辖区、县辖区等。</explain>
      <paraID>2CB83D47</paraID>
      <start>2</start>
      <end>4</end>
      <status>unmodified</status>
      <modifiedWord/>
      <trackRevisions>false</trackRevisions>
    </reviewItem>
    <reviewItem>
      <errorID>585df649-8e1e-48c9-9faf-36303a1a573b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C5A6D5</paraID>
      <start>0</start>
      <end>2</end>
      <status>unmodified</status>
      <modifiedWord/>
      <trackRevisions>false</trackRevisions>
    </reviewItem>
    <reviewItem>
      <errorID>59b5513e-ba46-4365-9143-e54e9ec23a90</errorID>
      <errorWord>(</errorWord>
      <group>L1_Format</group>
      <groupName>格式问题</groupName>
      <ability>L2_HalfPunc</ability>
      <abilityName>全半角检查</abilityName>
      <candidateList>
        <item>（</item>
      </candidateList>
      <explain>文本全半角错误。</explain>
      <paraID>399DE164</paraID>
      <start>82</start>
      <end>83</end>
      <status>unmodified</status>
      <modifiedWord/>
      <trackRevisions>false</trackRevisions>
    </reviewItem>
    <reviewItem>
      <errorID>b11d6039-66a7-49da-ad97-4b4a6c794e8f</errorID>
      <errorWord>)</errorWord>
      <group>L1_Format</group>
      <groupName>格式问题</groupName>
      <ability>L2_HalfPunc</ability>
      <abilityName>全半角检查</abilityName>
      <candidateList>
        <item>）</item>
      </candidateList>
      <explain>文本全半角错误。</explain>
      <paraID>399DE164</paraID>
      <start>90</start>
      <end>91</end>
      <status>unmodified</status>
      <modifiedWord/>
      <trackRevisions>false</trackRevisions>
    </reviewItem>
    <reviewItem>
      <errorID>eadbc071-ad4a-4c9e-a914-f0457ea43b78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4100F604</paraID>
      <start>0</start>
      <end>2</end>
      <status>unmodified</status>
      <modifiedWord/>
      <trackRevisions>false</trackRevisions>
    </reviewItem>
    <reviewItem>
      <errorID>d2dd23fe-6ea5-458b-8cb3-5ef7377d8fc5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37663C2D</paraID>
      <start>10</start>
      <end>11</end>
      <status>unmodified</status>
      <modifiedWord/>
      <trackRevisions>false</trackRevisions>
    </reviewItem>
    <reviewItem>
      <errorID>363cff5a-7d32-4380-8e38-42a4ee2c63ac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518E07B7</paraID>
      <start>0</start>
      <end>2</end>
      <status>unmodified</status>
      <modifiedWord/>
      <trackRevisions>false</trackRevisions>
    </reviewItem>
    <reviewItem>
      <errorID>41d612b0-dc6f-4786-b5ed-7a9685c4972d</errorID>
      <errorWord>》（试行）</errorWord>
      <group>L1_Word</group>
      <groupName>字词问题</groupName>
      <ability>L2_Typo</ability>
      <abilityName>字词错误</abilityName>
      <candidateList>
        <item>（试行）》</item>
      </candidateList>
      <explain/>
      <paraID> 53A5798</paraID>
      <start>27</start>
      <end>32</end>
      <status>unmodified</status>
      <modifiedWord/>
      <trackRevisions>false</trackRevisions>
    </reviewItem>
    <reviewItem>
      <errorID>c37eb1fa-2c29-4e3b-918c-a08b89daab0e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535952E3</paraID>
      <start>0</start>
      <end>2</end>
      <status>unmodified</status>
      <modifiedWord/>
      <trackRevisions>false</trackRevisions>
    </reviewItem>
    <reviewItem>
      <errorID>87f17c19-bac1-421f-9591-7af743c0f7da</errorID>
      <errorWord>珍惜</errorWord>
      <group>L1_Word</group>
      <groupName>字词问题</groupName>
      <ability>L2_Typo</ability>
      <abilityName>字词错误</abilityName>
      <candidateList>
        <item>珍稀</item>
      </candidateList>
      <explain>〈形〉珍贵而稀有：大熊猫、金丝猴、野牦牛是我国的～动物。</explain>
      <paraID>24CDBB56</paraID>
      <start>32</start>
      <end>34</end>
      <status>unmodified</status>
      <modifiedWord/>
      <trackRevisions>false</trackRevisions>
    </reviewItem>
    <reviewItem>
      <errorID>20676333-689d-4291-b4fb-c1e5d02a9c74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7788A57F</paraID>
      <start>0</start>
      <end>2</end>
      <status>unmodified</status>
      <modifiedWord/>
      <trackRevisions>false</trackRevisions>
    </reviewItem>
    <reviewItem>
      <errorID>7dfeb3da-ba09-4423-a72b-1939eedb8b1a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5E7E5208</paraID>
      <start>0</start>
      <end>2</end>
      <status>unmodified</status>
      <modifiedWord/>
      <trackRevisions>false</trackRevisions>
    </reviewItem>
    <reviewItem>
      <errorID>4533333a-6c4d-48b3-b288-3c72744f458e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1185AE3D</paraID>
      <start>0</start>
      <end>2</end>
      <status>unmodified</status>
      <modifiedWord/>
      <trackRevisions>false</trackRevisions>
    </reviewItem>
    <reviewItem>
      <errorID>ba067bdd-610a-4529-86dc-66b7ea1ced8d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7486E21A</paraID>
      <start>0</start>
      <end>2</end>
      <status>unmodified</status>
      <modifiedWord/>
      <trackRevisions>false</trackRevisions>
    </reviewItem>
    <reviewItem>
      <errorID>07e687f0-d056-4660-b50a-3025c53a41bd</errorID>
      <errorWord>林业与草原局</errorWord>
      <group>L1_Knowledge</group>
      <groupName>知识性问题</groupName>
      <ability>L2_Knowledge</ability>
      <abilityName>其他知识</abilityName>
      <candidateList>
        <item>林业和草原局</item>
      </candidateList>
      <explain/>
      <paraID>7EA1EE3D</paraID>
      <start>3</start>
      <end>9</end>
      <status>unmodified</status>
      <modifiedWord/>
      <trackRevisions>false</trackRevisions>
    </reviewItem>
    <reviewItem>
      <errorID>70346405-c70a-4462-b733-054bc0daa3f8</errorID>
      <errorWord>市场监督局</errorWord>
      <group>L1_Knowledge</group>
      <groupName>知识性问题</groupName>
      <ability>L2_Knowledge</ability>
      <abilityName>其他知识</abilityName>
      <candidateList>
        <item>市场监管局</item>
      </candidateList>
      <explain/>
      <paraID>2F2EF26C</paraID>
      <start>3</start>
      <end>8</end>
      <status>unmodified</status>
      <modifiedWord/>
      <trackRevisions>false</trackRevisions>
    </reviewItem>
    <reviewItem>
      <errorID>5455eaa3-95a3-4776-b503-d38801d0a309</errorID>
      <errorWord>具名</errorWord>
      <group>L1_Word</group>
      <groupName>字词问题</groupName>
      <ability>L2_Typo</ability>
      <abilityName>字词错误</abilityName>
      <candidateList>
        <item>居民</item>
      </candidateList>
      <explain/>
      <paraID>7189A456</paraID>
      <start>4</start>
      <end>6</end>
      <status>unmodified</status>
      <modifiedWord/>
      <trackRevisions>false</trackRevisions>
    </reviewItem>
    <reviewItem>
      <errorID>3edec3e6-b383-426d-9fca-9adcc3b5a493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4ADA282C</paraID>
      <start>0</start>
      <end>2</end>
      <status>unmodified</status>
      <modifiedWord/>
      <trackRevisions>false</trackRevisions>
    </reviewItem>
    <reviewItem>
      <errorID>82fcd5c3-bdff-4f51-a018-8e57fe37dd39</errorID>
      <errorWord>(</errorWord>
      <group>L1_Format</group>
      <groupName>格式问题</groupName>
      <ability>L2_HalfPunc</ability>
      <abilityName>全半角检查</abilityName>
      <candidateList>
        <item>（</item>
      </candidateList>
      <explain>文本全半角错误。</explain>
      <paraID> 3496901</paraID>
      <start>55</start>
      <end>56</end>
      <status>unmodified</status>
      <modifiedWord/>
      <trackRevisions>false</trackRevisions>
    </reviewItem>
    <reviewItem>
      <errorID>7911c408-346f-4aca-97f7-207e4559faff</errorID>
      <errorWord>)</errorWord>
      <group>L1_Format</group>
      <groupName>格式问题</groupName>
      <ability>L2_HalfPunc</ability>
      <abilityName>全半角检查</abilityName>
      <candidateList>
        <item>）</item>
      </candidateList>
      <explain>文本全半角错误。</explain>
      <paraID> 3496901</paraID>
      <start>68</start>
      <end>69</end>
      <status>unmodified</status>
      <modifiedWord/>
      <trackRevisions>false</trackRevisions>
    </reviewItem>
    <reviewItem>
      <errorID>e1efd821-5fdb-4bb0-98af-571304f62084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6DF96AC4</paraID>
      <start>0</start>
      <end>2</end>
      <status>unmodified</status>
      <modifiedWord/>
      <trackRevisions>false</trackRevisions>
    </reviewItem>
    <reviewItem>
      <errorID>9e9b5255-a57d-41cc-9bf3-c932c08a5c60</errorID>
      <errorWord>&gt;）</errorWord>
      <group>L1_Punc</group>
      <groupName>标点问题</groupName>
      <ability>L2_Punc</ability>
      <abilityName>标点符号检查</abilityName>
      <candidateList>
        <item>）</item>
      </candidateList>
      <explain/>
      <paraID>4D962B28</paraID>
      <start>29</start>
      <end>31</end>
      <status>unmodified</status>
      <modifiedWord/>
      <trackRevisions>false</trackRevisions>
    </reviewItem>
    <reviewItem>
      <errorID>a448706c-1f82-4682-afbc-19c99382d112</errorID>
      <errorWord>类</errorWord>
      <group>L1_Word</group>
      <groupName>字词问题</groupName>
      <ability>L2_Typo</ability>
      <abilityName>字词错误</abilityName>
      <candidateList>
        <item>内</item>
      </candidateList>
      <explain>存在发音相近字词的误用。</explain>
      <paraID>1481DB44</paraID>
      <start>66</start>
      <end>67</end>
      <status>unmodified</status>
      <modifiedWord/>
      <trackRevisions>false</trackRevisions>
    </reviewItem>
    <reviewItem>
      <errorID>2b4a9f41-4817-430e-acbf-f9b63815b9bf</errorID>
      <errorWord>(</errorWord>
      <group>L1_Format</group>
      <groupName>格式问题</groupName>
      <ability>L2_HalfPunc</ability>
      <abilityName>全半角检查</abilityName>
      <candidateList>
        <item>（</item>
      </candidateList>
      <explain>文本全半角错误。</explain>
      <paraID>54C56F22</paraID>
      <start>20</start>
      <end>21</end>
      <status>unmodified</status>
      <modifiedWord/>
      <trackRevisions>false</trackRevisions>
    </reviewItem>
    <reviewItem>
      <errorID>b6f78c1a-206e-4fed-b85c-bbf128606791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E6F6C60</paraID>
      <start>0</start>
      <end>2</end>
      <status>unmodified</status>
      <modifiedWord/>
      <trackRevisions>false</trackRevisions>
    </reviewItem>
    <reviewItem>
      <errorID>3ac66b62-3e36-4d2d-805f-27c6801319be</errorID>
      <errorWord>)</errorWord>
      <group>L1_Format</group>
      <groupName>格式问题</groupName>
      <ability>L2_HalfPunc</ability>
      <abilityName>全半角检查</abilityName>
      <candidateList>
        <item>）</item>
      </candidateList>
      <explain>文本全半角错误。</explain>
      <paraID>26DA27F2</paraID>
      <start>40</start>
      <end>41</end>
      <status>unmodified</status>
      <modifiedWord/>
      <trackRevisions>false</trackRevisions>
    </reviewItem>
    <reviewItem>
      <errorID>56111343-6c5f-4811-a8b8-495f2987c7ba</errorID>
      <errorWord>(</errorWord>
      <group>L1_Format</group>
      <groupName>格式问题</groupName>
      <ability>L2_HalfPunc</ability>
      <abilityName>全半角检查</abilityName>
      <candidateList>
        <item>（</item>
      </candidateList>
      <explain>文本全半角错误。</explain>
      <paraID>71F19809</paraID>
      <start>14</start>
      <end>15</end>
      <status>unmodified</status>
      <modifiedWord/>
      <trackRevisions>false</trackRevisions>
    </reviewItem>
    <reviewItem>
      <errorID>6914312a-b6da-48cf-9bed-ac811e37b690</errorID>
      <errorWord>)</errorWord>
      <group>L1_Format</group>
      <groupName>格式问题</groupName>
      <ability>L2_HalfPunc</ability>
      <abilityName>全半角检查</abilityName>
      <candidateList>
        <item>）</item>
      </candidateList>
      <explain>文本全半角错误。</explain>
      <paraID>71F19809</paraID>
      <start>27</start>
      <end>28</end>
      <status>unmodified</status>
      <modifiedWord/>
      <trackRevisions>false</trackRevisions>
    </reviewItem>
    <reviewItem>
      <errorID>9e258f82-010d-4e52-b964-69d398bb13c5</errorID>
      <errorWord>（</errorWord>
      <group>L1_Format</group>
      <groupName>格式问题</groupName>
      <ability>L2_HalfPunc</ability>
      <abilityName>全半角检查</abilityName>
      <candidateList>
        <item>(</item>
      </candidateList>
      <explain>文本全半角错误。</explain>
      <paraID>63B689A5</paraID>
      <start>4</start>
      <end>5</end>
      <status>unmodified</status>
      <modifiedWord/>
      <trackRevisions>false</trackRevisions>
    </reviewItem>
    <reviewItem>
      <errorID>76445288-fd10-4a63-9c67-6e5727e36b46</errorID>
      <errorWord>）</errorWord>
      <group>L1_Format</group>
      <groupName>格式问题</groupName>
      <ability>L2_HalfPunc</ability>
      <abilityName>全半角检查</abilityName>
      <candidateList>
        <item>)</item>
      </candidateList>
      <explain>文本全半角错误。</explain>
      <paraID>63B689A5</paraID>
      <start>10</start>
      <end>11</end>
      <status>unmodified</status>
      <modifiedWord/>
      <trackRevisions>false</trackRevisions>
    </reviewItem>
    <reviewItem>
      <errorID>77a6a3fb-f89c-4977-8e1e-b82319f4657f</errorID>
      <errorWord>(</errorWord>
      <group>L1_Format</group>
      <groupName>格式问题</groupName>
      <ability>L2_HalfPunc</ability>
      <abilityName>全半角检查</abilityName>
      <candidateList>
        <item>（</item>
      </candidateList>
      <explain>文本全半角错误。</explain>
      <paraID>595C1112</paraID>
      <start>2</start>
      <end>3</end>
      <status>unmodified</status>
      <modifiedWord/>
      <trackRevisions>false</trackRevisions>
    </reviewItem>
    <reviewItem>
      <errorID>f6a2938c-5c13-427f-9bc8-b5c92d6e167f</errorID>
      <errorWord>)</errorWord>
      <group>L1_Format</group>
      <groupName>格式问题</groupName>
      <ability>L2_HalfPunc</ability>
      <abilityName>全半角检查</abilityName>
      <candidateList>
        <item>）</item>
      </candidateList>
      <explain>文本全半角错误。</explain>
      <paraID>595C1112</paraID>
      <start>6</start>
      <end>7</end>
      <status>unmodified</status>
      <modifiedWord/>
      <trackRevisions>false</trackRevisions>
    </reviewItem>
    <reviewItem>
      <errorID>8b9031b8-dd25-4e89-8c59-8e115982a0e5</errorID>
      <errorWord>～</errorWord>
      <group>L1_Format</group>
      <groupName>格式问题</groupName>
      <ability>L2_HalfPunc</ability>
      <abilityName>全半角检查</abilityName>
      <candidateList>
        <item>~</item>
      </candidateList>
      <explain>文本全半角错误。</explain>
      <paraID>3C07CA63</paraID>
      <start>1</start>
      <end>2</end>
      <status>unmodified</status>
      <modifiedWord/>
      <trackRevisions>false</trackRevisions>
    </reviewItem>
    <reviewItem>
      <errorID>749bfb95-d3e5-4f84-9069-aee978501439</errorID>
      <errorWord>~</errorWord>
      <group>L1_Format</group>
      <groupName>格式问题</groupName>
      <ability>L2_HalfPunc</ability>
      <abilityName>全半角检查</abilityName>
      <candidateList>
        <item>～</item>
      </candidateList>
      <explain>文本全半角错误。</explain>
      <paraID>6347F61A</paraID>
      <start>28</start>
      <end>29</end>
      <status>unmodified</status>
      <modifiedWord/>
      <trackRevisions>false</trackRevisions>
    </reviewItem>
    <reviewItem>
      <errorID>2663fe63-c7f1-46d9-874f-c53893958699</errorID>
      <errorWord>~</errorWord>
      <group>L1_Format</group>
      <groupName>格式问题</groupName>
      <ability>L2_HalfPunc</ability>
      <abilityName>全半角检查</abilityName>
      <candidateList>
        <item>～</item>
      </candidateList>
      <explain>文本全半角错误。</explain>
      <paraID>5AB936C2</paraID>
      <start>29</start>
      <end>30</end>
      <status>unmodified</status>
      <modifiedWord/>
      <trackRevisions>false</trackRevisions>
    </reviewItem>
    <reviewItem>
      <errorID>5c2729c3-be33-4d34-9383-723d37bc2e1c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2B315AF8</paraID>
      <start>0</start>
      <end>2</end>
      <status>unmodified</status>
      <modifiedWord/>
      <trackRevisions>false</trackRevisions>
    </reviewItem>
    <reviewItem>
      <errorID>147100fd-97cb-4654-94f3-abdcd46713bd</errorID>
      <errorWord>结核杆菌</errorWord>
      <group>L1_Knowledge</group>
      <groupName>知识性问题</groupName>
      <ability>L2_Term</ability>
      <abilityName>专业术语</abilityName>
      <candidateList>
        <item>结核分枝杆菌</item>
      </candidateList>
      <explain>医学名词[结核杆菌]为不规范表述或旧称，其规范书面表述为[结核分枝杆菌]。</explain>
      <paraID>1F28B2C9</paraID>
      <start>0</start>
      <end>4</end>
      <status>unmodified</status>
      <modifiedWord/>
      <trackRevisions>false</trackRevisions>
    </reviewItem>
    <reviewItem>
      <errorID>8f7b64fa-5e33-469a-9fb7-2eb17321c6b8</errorID>
      <errorWord>(</errorWord>
      <group>L1_Format</group>
      <groupName>格式问题</groupName>
      <ability>L2_HalfPunc</ability>
      <abilityName>全半角检查</abilityName>
      <candidateList>
        <item>（</item>
      </candidateList>
      <explain>文本全半角错误。</explain>
      <paraID>775F9B83</paraID>
      <start>6</start>
      <end>7</end>
      <status>unmodified</status>
      <modifiedWord/>
      <trackRevisions>false</trackRevisions>
    </reviewItem>
    <reviewItem>
      <errorID>0c9764c3-1271-4fd4-a25a-df3b38b378c8</errorID>
      <errorWord>)</errorWord>
      <group>L1_Format</group>
      <groupName>格式问题</groupName>
      <ability>L2_HalfPunc</ability>
      <abilityName>全半角检查</abilityName>
      <candidateList>
        <item>）</item>
      </candidateList>
      <explain>文本全半角错误。</explain>
      <paraID>775F9B83</paraID>
      <start>8</start>
      <end>9</end>
      <status>unmodified</status>
      <modifiedWord/>
      <trackRevisions>false</trackRevisions>
    </reviewItem>
    <reviewItem>
      <errorID>c9ef0bb6-214a-4f66-8336-e34356115384</errorID>
      <errorWord>&gt;</errorWord>
      <group>L1_Punc</group>
      <groupName>标点问题</groupName>
      <ability>L2_Punc</ability>
      <abilityName>标点符号检查</abilityName>
      <candidateList/>
      <explain/>
      <paraID>160A3B11</paraID>
      <start>0</start>
      <end>1</end>
      <status>unmodified</status>
      <modifiedWord/>
      <trackRevisions>false</trackRevisions>
    </reviewItem>
    <reviewItem>
      <errorID>d6575964-aea2-43f1-9cd7-d6a7311da90e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355C0DA</paraID>
      <start>0</start>
      <end>2</end>
      <status>unmodified</status>
      <modifiedWord/>
      <trackRevisions>false</trackRevisions>
    </reviewItem>
    <reviewItem>
      <errorID>05a1bfc2-559d-49e2-a9d1-17d9b293c32a</errorID>
      <errorWord>施工厂</errorWord>
      <group>L1_Word</group>
      <groupName>字词问题</groupName>
      <ability>L2_Typo</ability>
      <abilityName>字词错误</abilityName>
      <candidateList>
        <item>施工场</item>
      </candidateList>
      <explain/>
      <paraID> 8C126AF</paraID>
      <start>3</start>
      <end>6</end>
      <status>unmodified</status>
      <modifiedWord/>
      <trackRevisions>false</trackRevisions>
    </reviewItem>
    <reviewItem>
      <errorID>7906b49e-3358-4447-96fe-fde44fc1f51f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7104B0CC</paraID>
      <start>0</start>
      <end>2</end>
      <status>unmodified</status>
      <modifiedWord/>
      <trackRevisions>false</trackRevisions>
    </reviewItem>
    <reviewItem>
      <errorID>4c370624-98c5-4139-9069-c60d1bd0f512</errorID>
      <errorWord>地表类</errorWord>
      <group>L1_Word</group>
      <groupName>字词问题</groupName>
      <ability>L2_Typo</ability>
      <abilityName>字词错误</abilityName>
      <candidateList>
        <item>地表</item>
      </candidateList>
      <explain/>
      <paraID> 461458E</paraID>
      <start>35</start>
      <end>38</end>
      <status>unmodified</status>
      <modifiedWord/>
      <trackRevisions>false</trackRevisions>
    </reviewItem>
    <reviewItem>
      <errorID>6f01ab09-0f43-42d2-979e-782702c8d793</errorID>
      <errorWord>沉砂池</errorWord>
      <group>L1_Word</group>
      <groupName>字词问题</groupName>
      <ability>L2_Typo</ability>
      <abilityName>字词错误</abilityName>
      <candidateList>
        <item>沉沙池</item>
      </candidateList>
      <explain>存在发音相同字词的误用。</explain>
      <paraID>3A982EE7</paraID>
      <start>29</start>
      <end>32</end>
      <status>unmodified</status>
      <modifiedWord/>
      <trackRevisions>false</trackRevisions>
    </reviewItem>
    <reviewItem>
      <errorID>c17cf1a2-cc7d-41b9-8170-9fd9771d982d</errorID>
      <errorWord>生活废水</errorWord>
      <group>L1_Knowledge</group>
      <groupName>知识性问题</groupName>
      <ability>L2_Term</ability>
      <abilityName>专业术语</abilityName>
      <candidateList>
        <item>生活污水</item>
      </candidateList>
      <explain/>
      <paraID> 2E24455</paraID>
      <start>26</start>
      <end>30</end>
      <status>unmodified</status>
      <modifiedWord/>
      <trackRevisions>false</trackRevisions>
    </reviewItem>
    <reviewItem>
      <errorID>01e72145-d074-41e6-b43b-f9c2f1728164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42DCAAE0</paraID>
      <start>0</start>
      <end>2</end>
      <status>unmodified</status>
      <modifiedWord/>
      <trackRevisions>false</trackRevisions>
    </reviewItem>
    <reviewItem>
      <errorID>a1d160d7-ba22-4e29-b00b-eff3da9d6fc3</errorID>
      <errorWord>来自于</errorWord>
      <group>L1_Word</group>
      <groupName>字词问题</groupName>
      <ability>L2_Typo</ability>
      <abilityName>字词错误</abilityName>
      <candidateList>
        <item>来自</item>
      </candidateList>
      <explain/>
      <paraID>2DE8D304</paraID>
      <start>9</start>
      <end>12</end>
      <status>unmodified</status>
      <modifiedWord/>
      <trackRevisions>false</trackRevisions>
    </reviewItem>
    <reviewItem>
      <errorID>1466f4e7-a15f-4aa8-97cd-1b36373abdd0</errorID>
      <errorWord>减震</errorWord>
      <group>L1_Word</group>
      <groupName>字词问题</groupName>
      <ability>L2_Typo</ability>
      <abilityName>字词错误</abilityName>
      <candidateList>
        <item>减振</item>
      </candidateList>
      <explain/>
      <paraID>5248BBCF</paraID>
      <start>14</start>
      <end>16</end>
      <status>unmodified</status>
      <modifiedWord/>
      <trackRevisions>false</trackRevisions>
    </reviewItem>
    <reviewItem>
      <errorID>f6ebb2ba-2c3f-4d12-bd15-a504eff8811b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59ADA033</paraID>
      <start>0</start>
      <end>2</end>
      <status>unmodified</status>
      <modifiedWord/>
      <trackRevisions>false</trackRevisions>
    </reviewItem>
    <reviewItem>
      <errorID>54d741dd-1b61-4689-9a36-00efc7ce3aab</errorID>
      <errorWord>场规范</errorWord>
      <group>L1_Word</group>
      <groupName>字词问题</groupName>
      <ability>L2_Typo</ability>
      <abilityName>字词错误</abilityName>
      <candidateList>
        <item>厂规范</item>
      </candidateList>
      <explain/>
      <paraID> 302450D</paraID>
      <start>54</start>
      <end>57</end>
      <status>unmodified</status>
      <modifiedWord/>
      <trackRevisions>false</trackRevisions>
    </reviewItem>
    <reviewItem>
      <errorID>ebc0239a-6fcf-4c0f-b74d-e7c8b2c0d5f4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3047E72F</paraID>
      <start>16</start>
      <end>17</end>
      <status>unmodified</status>
      <modifiedWord/>
      <trackRevisions>false</trackRevisions>
    </reviewItem>
    <reviewItem>
      <errorID>3f95ffa5-bc6c-41f5-af29-b7c30f952b40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3B9FAA78</paraID>
      <start>0</start>
      <end>2</end>
      <status>unmodified</status>
      <modifiedWord/>
      <trackRevisions>false</trackRevisions>
    </reviewItem>
    <reviewItem>
      <errorID>6f633302-2e46-4477-9ae6-bef632e477d3</errorID>
      <errorWord>房楼</errorWord>
      <group>L1_Word</group>
      <groupName>字词问题</groupName>
      <ability>L2_Typo</ability>
      <abilityName>字词错误</abilityName>
      <candidateList>
        <item>楼房</item>
      </candidateList>
      <explain/>
      <paraID>775B84EC</paraID>
      <start>35</start>
      <end>37</end>
      <status>unmodified</status>
      <modifiedWord/>
      <trackRevisions>false</trackRevisions>
    </reviewItem>
    <reviewItem>
      <errorID>53e5cfc8-86db-460d-8fb4-f5576740d929</errorID>
      <errorWord>，经</errorWord>
      <group>L1_Word</group>
      <groupName>字词问题</groupName>
      <ability>L2_Typo</ability>
      <abilityName>字词错误</abilityName>
      <candidateList>
        <item>，</item>
      </candidateList>
      <explain/>
      <paraID>2E4A4BC3</paraID>
      <start>210</start>
      <end>212</end>
      <status>unmodified</status>
      <modifiedWord/>
      <trackRevisions>false</trackRevisions>
    </reviewItem>
    <reviewItem>
      <errorID>c567e7c7-3152-4da0-af4b-932b1564d501</errorID>
      <errorWord>顶目</errorWord>
      <group>L1_Word</group>
      <groupName>字词问题</groupName>
      <ability>L2_Typo</ability>
      <abilityName>字词错误</abilityName>
      <candidateList>
        <item>项目</item>
      </candidateList>
      <explain>〈名〉事物分成的门类：服务～｜体育～｜建设～。</explain>
      <paraID>1111BFA5</paraID>
      <start>1</start>
      <end>3</end>
      <status>unmodified</status>
      <modifiedWord/>
      <trackRevisions>false</trackRevisions>
    </reviewItem>
    <reviewItem>
      <errorID>6855c351-5cc1-4b15-b1f0-6e76dd1a0805</errorID>
      <errorWord>推荐的</errorWord>
      <group>L1_Word</group>
      <groupName>字词问题</groupName>
      <ability>L2_Typo</ability>
      <abilityName>字词错误</abilityName>
      <candidateList>
        <item>推荐</item>
      </candidateList>
      <explain/>
      <paraID>5EA21A0B</paraID>
      <start>38</start>
      <end>41</end>
      <status>unmodified</status>
      <modifiedWord/>
      <trackRevisions>false</trackRevisions>
    </reviewItem>
    <reviewItem>
      <errorID>effe9f91-71d1-4758-af5f-79fe1d7d3566</errorID>
      <errorWord>(</errorWord>
      <group>L1_Format</group>
      <groupName>格式问题</groupName>
      <ability>L2_HalfPunc</ability>
      <abilityName>全半角检查</abilityName>
      <candidateList>
        <item>（</item>
      </candidateList>
      <explain>文本全半角错误。</explain>
      <paraID> 9D7F366</paraID>
      <start>207</start>
      <end>208</end>
      <status>unmodified</status>
      <modifiedWord/>
      <trackRevisions>false</trackRevisions>
    </reviewItem>
    <reviewItem>
      <errorID>996e0f4a-9641-4109-9570-595b99b21f09</errorID>
      <errorWord>)</errorWord>
      <group>L1_Format</group>
      <groupName>格式问题</groupName>
      <ability>L2_HalfPunc</ability>
      <abilityName>全半角检查</abilityName>
      <candidateList>
        <item>）</item>
      </candidateList>
      <explain>文本全半角错误。</explain>
      <paraID> 9D7F366</paraID>
      <start>210</start>
      <end>211</end>
      <status>unmodified</status>
      <modifiedWord/>
      <trackRevisions>false</trackRevisions>
    </reviewItem>
    <reviewItem>
      <errorID>14e057d5-e57a-4f74-8994-c12de75e6145</errorID>
      <errorWord>(</errorWord>
      <group>L1_Format</group>
      <groupName>格式问题</groupName>
      <ability>L2_HalfPunc</ability>
      <abilityName>全半角检查</abilityName>
      <candidateList>
        <item>（</item>
      </candidateList>
      <explain>文本全半角错误。</explain>
      <paraID> 9D7F366</paraID>
      <start>212</start>
      <end>213</end>
      <status>unmodified</status>
      <modifiedWord/>
      <trackRevisions>false</trackRevisions>
    </reviewItem>
    <reviewItem>
      <errorID>a244444a-ad8d-41af-a3c4-e5e5a9e10089</errorID>
      <errorWord>)</errorWord>
      <group>L1_Format</group>
      <groupName>格式问题</groupName>
      <ability>L2_HalfPunc</ability>
      <abilityName>全半角检查</abilityName>
      <candidateList>
        <item>）</item>
      </candidateList>
      <explain>文本全半角错误。</explain>
      <paraID> 9D7F366</paraID>
      <start>225</start>
      <end>226</end>
      <status>unmodified</status>
      <modifiedWord/>
      <trackRevisions>false</trackRevisions>
    </reviewItem>
    <reviewItem>
      <errorID>aed516bd-c9c9-4634-87e0-9dbe9cceb1b2</errorID>
      <errorWord>:</errorWord>
      <group>L1_Format</group>
      <groupName>格式问题</groupName>
      <ability>L2_HalfPunc</ability>
      <abilityName>全半角检查</abilityName>
      <candidateList>
        <item>：</item>
      </candidateList>
      <explain>文本全半角错误。</explain>
      <paraID>21B0B846</paraID>
      <start>16</start>
      <end>17</end>
      <status>unmodified</status>
      <modifiedWord/>
      <trackRevisions>false</trackRevisions>
    </reviewItem>
    <reviewItem>
      <errorID>d923fb83-d0c4-4c34-89d5-52c026eca816</errorID>
      <errorWord>:</errorWord>
      <group>L1_Format</group>
      <groupName>格式问题</groupName>
      <ability>L2_HalfPunc</ability>
      <abilityName>全半角检查</abilityName>
      <candidateList>
        <item>：</item>
      </candidateList>
      <explain>文本全半角错误。</explain>
      <paraID>5BF8C3D7</paraID>
      <start>14</start>
      <end>15</end>
      <status>unmodified</status>
      <modifiedWord/>
      <trackRevisions>false</trackRevisions>
    </reviewItem>
    <reviewItem>
      <errorID>8911fcf1-cc3b-4fc5-b6dd-46f49a5fee5b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1487FCE8</paraID>
      <start>0</start>
      <end>2</end>
      <status>unmodified</status>
      <modifiedWord/>
      <trackRevisions>false</trackRevisions>
    </reviewItem>
    <reviewItem>
      <errorID>1a2af433-2102-4a6d-94cb-9b1cb76a2e24</errorID>
      <errorWord>为年</errorWord>
      <group>L1_Word</group>
      <groupName>字词问题</groupName>
      <ability>L2_Typo</ability>
      <abilityName>字词错误</abilityName>
      <candidateList>
        <item>每年</item>
      </candidateList>
      <explain/>
      <paraID>1269928B</paraID>
      <start>24</start>
      <end>26</end>
      <status>unmodified</status>
      <modifiedWord/>
      <trackRevisions>false</trackRevisions>
    </reviewItem>
    <reviewItem>
      <errorID>389f4ba8-4874-4c95-9440-d5c91ae22b31</errorID>
      <errorWord>涉及到</errorWord>
      <group>L1_Word</group>
      <groupName>字词问题</groupName>
      <ability>L2_Typo</ability>
      <abilityName>字词错误</abilityName>
      <candidateList>
        <item>涉及</item>
      </candidateList>
      <explain>〈动〉牵涉到；关联到：案子～好几个人｜这个问题～面很广。</explain>
      <paraID>1F1D5CA7</paraID>
      <start>15</start>
      <end>18</end>
      <status>unmodified</status>
      <modifiedWord/>
      <trackRevisions>false</trackRevisions>
    </reviewItem>
    <reviewItem>
      <errorID>b42a05ee-a29c-42ca-8047-7567bf66cfbb</errorID>
      <errorWord>涉及到</errorWord>
      <group>L1_Word</group>
      <groupName>字词问题</groupName>
      <ability>L2_Typo</ability>
      <abilityName>字词错误</abilityName>
      <candidateList>
        <item>涉及</item>
      </candidateList>
      <explain>〈动〉牵涉到；关联到：案子～好几个人｜这个问题～面很广。</explain>
      <paraID>1F1D5CA7</paraID>
      <start>28</start>
      <end>31</end>
      <status>unmodified</status>
      <modifiedWord/>
      <trackRevisions>false</trackRevisions>
    </reviewItem>
    <reviewItem>
      <errorID>d4139bbe-c570-4596-926c-81ba7d20bab8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373E7889</paraID>
      <start>0</start>
      <end>2</end>
      <status>unmodified</status>
      <modifiedWord/>
      <trackRevisions>false</trackRevisions>
    </reviewItem>
    <reviewItem>
      <errorID>b35d9f84-66c6-48f5-a1cf-af14ad47df70</errorID>
      <errorWord>(</errorWord>
      <group>L1_Format</group>
      <groupName>格式问题</groupName>
      <ability>L2_HalfPunc</ability>
      <abilityName>全半角检查</abilityName>
      <candidateList>
        <item>（</item>
      </candidateList>
      <explain>文本全半角错误。</explain>
      <paraID>3E3A94CC</paraID>
      <start>14</start>
      <end>15</end>
      <status>unmodified</status>
      <modifiedWord/>
      <trackRevisions>false</trackRevisions>
    </reviewItem>
    <reviewItem>
      <errorID>4d7bb5bd-91c1-4741-8f8a-1589671503b1</errorID>
      <errorWord>)</errorWord>
      <group>L1_Format</group>
      <groupName>格式问题</groupName>
      <ability>L2_HalfPunc</ability>
      <abilityName>全半角检查</abilityName>
      <candidateList>
        <item>）</item>
      </candidateList>
      <explain>文本全半角错误。</explain>
      <paraID>3E3A94CC</paraID>
      <start>27</start>
      <end>28</end>
      <status>unmodified</status>
      <modifiedWord/>
      <trackRevisions>false</trackRevisions>
    </reviewItem>
    <reviewItem>
      <errorID>f86a6a73-06c5-4cb5-b6d0-fb85105b996a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77A5E77</paraID>
      <start>55</start>
      <end>56</end>
      <status>unmodified</status>
      <modifiedWord/>
      <trackRevisions>false</trackRevisions>
    </reviewItem>
    <reviewItem>
      <errorID>f4115ddf-fcb9-476f-a7f2-c8c79ac90a76</errorID>
      <errorWord>按按</errorWord>
      <group>L1_Word</group>
      <groupName>字词问题</groupName>
      <ability>L2_Typo</ability>
      <abilityName>字词错误</abilityName>
      <candidateList>
        <item>按</item>
      </candidateList>
      <explain>（案）àn❶〈书〉考查；核对：有原文可～。❷（编者、作者等）加按语：编者～。</explain>
      <paraID>4DA72535</paraID>
      <start>0</start>
      <end>2</end>
      <status>unmodified</status>
      <modifiedWord/>
      <trackRevisions>false</trackRevisions>
    </reviewItem>
    <reviewItem>
      <errorID>ccd5ded2-cdfa-4e9f-b6b4-095fb7c1722b</errorID>
      <errorWord>标</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5E85D643</paraID>
      <start>17</start>
      <end>18</end>
      <status>unmodified</status>
      <modifiedWord/>
      <trackRevisions>false</trackRevisions>
    </reviewItem>
    <reviewItem>
      <errorID>2d044b7f-932e-45f9-95e4-6d381a914c19</errorID>
      <errorWord>（</errorWord>
      <group>L1_Format</group>
      <groupName>格式问题</groupName>
      <ability>L2_HalfPunc</ability>
      <abilityName>全半角检查</abilityName>
      <candidateList>
        <item>(</item>
      </candidateList>
      <explain>文本全半角错误。</explain>
      <paraID>32E1ACC8</paraID>
      <start>0</start>
      <end>1</end>
      <status>unmodified</status>
      <modifiedWord/>
      <trackRevisions>false</trackRevisions>
    </reviewItem>
    <reviewItem>
      <errorID>8783ed81-3fda-4af8-804a-9dfe57083c7c</errorID>
      <errorWord>）</errorWord>
      <group>L1_Format</group>
      <groupName>格式问题</groupName>
      <ability>L2_HalfPunc</ability>
      <abilityName>全半角检查</abilityName>
      <candidateList>
        <item>)</item>
      </candidateList>
      <explain>文本全半角错误。</explain>
      <paraID>32E1ACC8</paraID>
      <start>15</start>
      <end>16</end>
      <status>unmodified</status>
      <modifiedWord/>
      <trackRevisions>false</trackRevisions>
    </reviewItem>
    <reviewItem>
      <errorID>8b220164-ec47-45d5-8190-f73156a0b62c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3651657C</paraID>
      <start>0</start>
      <end>2</end>
      <status>unmodified</status>
      <modifiedWord/>
      <trackRevisions>false</trackRevisions>
    </reviewItem>
    <reviewItem>
      <errorID>87344bac-06eb-497c-94c5-750b90d1abbf</errorID>
      <errorWord>.</errorWord>
      <group>L1_Format</group>
      <groupName>格式问题</groupName>
      <ability>L2_HalfPunc</ability>
      <abilityName>全半角检查</abilityName>
      <candidateList>
        <item>。</item>
      </candidateList>
      <explain>文本全半角错误。</explain>
      <paraID>7221FA10</paraID>
      <start>89</start>
      <end>90</end>
      <status>unmodified</status>
      <modifiedWord/>
      <trackRevisions>false</trackRevisions>
    </reviewItem>
    <reviewItem>
      <errorID>4cc3bbb3-f3c1-4ea3-97c7-2360248b763b</errorID>
      <errorWord>.</errorWord>
      <group>L1_Format</group>
      <groupName>格式问题</groupName>
      <ability>L2_HalfPunc</ability>
      <abilityName>全半角检查</abilityName>
      <candidateList>
        <item>。</item>
      </candidateList>
      <explain>文本全半角错误。</explain>
      <paraID>7221FA10</paraID>
      <start>131</start>
      <end>132</end>
      <status>unmodified</status>
      <modifiedWord/>
      <trackRevisions>false</trackRevisions>
    </reviewItem>
    <reviewItem>
      <errorID>bb3f0959-4300-421d-9827-5c9256c672bc</errorID>
      <errorWord>三氧化铬</errorWord>
      <group>L1_Knowledge</group>
      <groupName>知识性问题</groupName>
      <ability>L2_Term</ability>
      <abilityName>专业术语</abilityName>
      <candidateList>
        <item>铬酸</item>
      </candidateList>
      <explain>医学名词[三氧化铬]为不规范表述或旧称，其规范书面表述为[铬酸]。</explain>
      <paraID>6EE97BB7</paraID>
      <start>108</start>
      <end>112</end>
      <status>unmodified</status>
      <modifiedWord/>
      <trackRevisions>false</trackRevisions>
    </reviewItem>
    <reviewItem>
      <errorID>f7b53681-63fe-4b8f-a7d1-c47950e12770</errorID>
      <errorWord>污水官网</errorWord>
      <group>L1_Knowledge</group>
      <groupName>知识性问题</groupName>
      <ability>L2_Term</ability>
      <abilityName>专业术语</abilityName>
      <candidateList>
        <item>污水管网</item>
      </candidateList>
      <explain/>
      <paraID>6EE97BB7</paraID>
      <start>258</start>
      <end>262</end>
      <status>unmodified</status>
      <modifiedWord/>
      <trackRevisions>false</trackRevisions>
    </reviewItem>
    <reviewItem>
      <errorID>28044864-6e0f-4d22-8531-f233475f1f63</errorID>
      <errorWord>(</errorWord>
      <group>L1_Format</group>
      <groupName>格式问题</groupName>
      <ability>L2_HalfPunc</ability>
      <abilityName>全半角检查</abilityName>
      <candidateList>
        <item>（</item>
      </candidateList>
      <explain>文本全半角错误。</explain>
      <paraID> B3FB908</paraID>
      <start>0</start>
      <end>1</end>
      <status>unmodified</status>
      <modifiedWord/>
      <trackRevisions>false</trackRevisions>
    </reviewItem>
    <reviewItem>
      <errorID>7b0f3938-08fe-4a39-adfe-212764edd6ad</errorID>
      <errorWord>)</errorWord>
      <group>L1_Format</group>
      <groupName>格式问题</groupName>
      <ability>L2_HalfPunc</ability>
      <abilityName>全半角检查</abilityName>
      <candidateList>
        <item>）</item>
      </candidateList>
      <explain>文本全半角错误。</explain>
      <paraID>7949623E</paraID>
      <start>8</start>
      <end>9</end>
      <status>unmodified</status>
      <modifiedWord/>
      <trackRevisions>false</trackRevisions>
    </reviewItem>
    <reviewItem>
      <errorID>4b9b6d7a-74a8-4cf5-a0fa-f163e501a78e</errorID>
      <errorWord>)</errorWord>
      <group>L1_Format</group>
      <groupName>格式问题</groupName>
      <ability>L2_HalfPunc</ability>
      <abilityName>全半角检查</abilityName>
      <candidateList>
        <item>）</item>
      </candidateList>
      <explain>文本全半角错误。</explain>
      <paraID>47C9806E</paraID>
      <start>8</start>
      <end>9</end>
      <status>unmodified</status>
      <modifiedWord/>
      <trackRevisions>false</trackRevisions>
    </reviewItem>
    <reviewItem>
      <errorID>4b04904d-35ba-4a73-8c99-ba026a5f84d9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3CE01FE0</paraID>
      <start>0</start>
      <end>2</end>
      <status>unmodified</status>
      <modifiedWord/>
      <trackRevisions>false</trackRevisions>
    </reviewItem>
    <reviewItem>
      <errorID>b0b9886f-7d1a-4c92-9ae6-00e01e586f07</errorID>
      <errorWord>设</errorWord>
      <group>L1_Word</group>
      <groupName>字词问题</groupName>
      <ability>L2_Typo</ability>
      <abilityName>字词错误</abilityName>
      <candidateList>
        <item>设置</item>
      </candidateList>
      <explain>〈动〉❶设立：这座剧院是为儿童～的。❷安放；安装：～障碍。</explain>
      <paraID>26B560AA</paraID>
      <start>35</start>
      <end>36</end>
      <status>unmodified</status>
      <modifiedWord/>
      <trackRevisions>false</trackRevisions>
    </reviewItem>
    <reviewItem>
      <errorID>2a2f23fc-759a-4d4d-850b-55ff6460c0ba</errorID>
      <errorWord>出水检测</errorWord>
      <group>L1_Word</group>
      <groupName>字词问题</groupName>
      <ability>L2_Typo</ability>
      <abilityName>字词错误</abilityName>
      <candidateList>
        <item>出水监测</item>
      </candidateList>
      <explain/>
      <paraID>52E8A5A9</paraID>
      <start>207</start>
      <end>211</end>
      <status>unmodified</status>
      <modifiedWord/>
      <trackRevisions>false</trackRevisions>
    </reviewItem>
    <reviewItem>
      <errorID>38db3f51-66ba-4ce5-9570-208aa3e293c8</errorID>
      <errorWord>）</errorWord>
      <group>L1_Format</group>
      <groupName>格式问题</groupName>
      <ability>L2_HalfPunc</ability>
      <abilityName>全半角检查</abilityName>
      <candidateList>
        <item>)</item>
      </candidateList>
      <explain>文本全半角错误。</explain>
      <paraID>6276F80A</paraID>
      <start>1</start>
      <end>2</end>
      <status>unmodified</status>
      <modifiedWord/>
      <trackRevisions>false</trackRevisions>
    </reviewItem>
    <reviewItem>
      <errorID>9e96f696-3bdb-4569-8192-566a76e8686a</errorID>
      <errorWord>（</errorWord>
      <group>L1_Format</group>
      <groupName>格式问题</groupName>
      <ability>L2_HalfPunc</ability>
      <abilityName>全半角检查</abilityName>
      <candidateList>
        <item>(</item>
      </candidateList>
      <explain>文本全半角错误。</explain>
      <paraID>4620D178</paraID>
      <start>0</start>
      <end>1</end>
      <status>unmodified</status>
      <modifiedWord/>
      <trackRevisions>false</trackRevisions>
    </reviewItem>
    <reviewItem>
      <errorID>785baca7-8a59-4929-a9f7-22463b14a4de</errorID>
      <errorWord>）</errorWord>
      <group>L1_Format</group>
      <groupName>格式问题</groupName>
      <ability>L2_HalfPunc</ability>
      <abilityName>全半角检查</abilityName>
      <candidateList>
        <item>)</item>
      </candidateList>
      <explain>文本全半角错误。</explain>
      <paraID>44C40642</paraID>
      <start>3</start>
      <end>4</end>
      <status>unmodified</status>
      <modifiedWord/>
      <trackRevisions>false</trackRevisions>
    </reviewItem>
    <reviewItem>
      <errorID>dce34385-c0fb-4d45-bb77-2982fbeadf8c</errorID>
      <errorWord>)</errorWord>
      <group>L1_Punc</group>
      <groupName>标点问题</groupName>
      <ability>L2_Punc</ability>
      <abilityName>标点符号检查</abilityName>
      <candidateList/>
      <explain/>
      <paraID> F08CDDC</paraID>
      <start>0</start>
      <end>1</end>
      <status>unmodified</status>
      <modifiedWord/>
      <trackRevisions>false</trackRevisions>
    </reviewItem>
    <reviewItem>
      <errorID>270edc16-10ab-45e3-8854-a6850842510e</errorID>
      <errorWord>(</errorWord>
      <group>L1_Format</group>
      <groupName>格式问题</groupName>
      <ability>L2_HalfPunc</ability>
      <abilityName>全半角检查</abilityName>
      <candidateList>
        <item>（</item>
      </candidateList>
      <explain>文本全半角错误。</explain>
      <paraID>570E110B</paraID>
      <start>2</start>
      <end>3</end>
      <status>unmodified</status>
      <modifiedWord/>
      <trackRevisions>false</trackRevisions>
    </reviewItem>
    <reviewItem>
      <errorID>e44443ce-3a55-47f8-8c5c-0bc730668af1</errorID>
      <errorWord>（</errorWord>
      <group>L1_Format</group>
      <groupName>格式问题</groupName>
      <ability>L2_HalfPunc</ability>
      <abilityName>全半角检查</abilityName>
      <candidateList>
        <item>(</item>
      </candidateList>
      <explain>文本全半角错误。</explain>
      <paraID>437C4B77</paraID>
      <start>0</start>
      <end>1</end>
      <status>unmodified</status>
      <modifiedWord/>
      <trackRevisions>false</trackRevisions>
    </reviewItem>
    <reviewItem>
      <errorID>202b58ee-872d-4aaf-a3e0-e7c6748dbb1d</errorID>
      <errorWord>）</errorWord>
      <group>L1_Format</group>
      <groupName>格式问题</groupName>
      <ability>L2_HalfPunc</ability>
      <abilityName>全半角检查</abilityName>
      <candidateList>
        <item>)</item>
      </candidateList>
      <explain>文本全半角错误。</explain>
      <paraID>6D45897C</paraID>
      <start>1</start>
      <end>2</end>
      <status>unmodified</status>
      <modifiedWord/>
      <trackRevisions>false</trackRevisions>
    </reviewItem>
    <reviewItem>
      <errorID>c8a1dd15-8f19-4def-8aa0-e5f52af40ebd</errorID>
      <errorWord>（</errorWord>
      <group>L1_Format</group>
      <groupName>格式问题</groupName>
      <ability>L2_HalfPunc</ability>
      <abilityName>全半角检查</abilityName>
      <candidateList>
        <item>(</item>
      </candidateList>
      <explain>文本全半角错误。</explain>
      <paraID>29FAB3F1</paraID>
      <start>0</start>
      <end>1</end>
      <status>unmodified</status>
      <modifiedWord/>
      <trackRevisions>false</trackRevisions>
    </reviewItem>
    <reviewItem>
      <errorID>30b4db5b-11d1-4f09-b2b4-293016333248</errorID>
      <errorWord>）</errorWord>
      <group>L1_Format</group>
      <groupName>格式问题</groupName>
      <ability>L2_HalfPunc</ability>
      <abilityName>全半角检查</abilityName>
      <candidateList>
        <item>)</item>
      </candidateList>
      <explain>文本全半角错误。</explain>
      <paraID>2FF8540D</paraID>
      <start>3</start>
      <end>4</end>
      <status>unmodified</status>
      <modifiedWord/>
      <trackRevisions>false</trackRevisions>
    </reviewItem>
    <reviewItem>
      <errorID>e9f2284e-95a6-4759-b1f1-48cc1f4b41a8</errorID>
      <errorWord>）</errorWord>
      <group>L1_Format</group>
      <groupName>格式问题</groupName>
      <ability>L2_HalfPunc</ability>
      <abilityName>全半角检查</abilityName>
      <candidateList>
        <item>)</item>
      </candidateList>
      <explain>文本全半角错误。</explain>
      <paraID>11A29D77</paraID>
      <start>1</start>
      <end>2</end>
      <status>unmodified</status>
      <modifiedWord/>
      <trackRevisions>false</trackRevisions>
    </reviewItem>
    <reviewItem>
      <errorID>8c047edd-b9e5-410b-84dc-d348a7c09c44</errorID>
      <errorWord>*</errorWord>
      <group>L1_Punc</group>
      <groupName>标点问题</groupName>
      <ability>L2_Punc</ability>
      <abilityName>标点符号检查</abilityName>
      <candidateList/>
      <explain/>
      <paraID> 2AA1956</paraID>
      <start>0</start>
      <end>1</end>
      <status>unmodified</status>
      <modifiedWord/>
      <trackRevisions>false</trackRevisions>
    </reviewItem>
    <reviewItem>
      <errorID>095cfd03-228c-4055-92ae-1615ab3936c4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5E70DEE</paraID>
      <start>0</start>
      <end>2</end>
      <status>unmodified</status>
      <modifiedWord/>
      <trackRevisions>false</trackRevisions>
    </reviewItem>
    <reviewItem>
      <errorID>269d28dd-09e3-41f7-8409-7080dc5b2cb9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2D641E66</paraID>
      <start>0</start>
      <end>2</end>
      <status>unmodified</status>
      <modifiedWord/>
      <trackRevisions>false</trackRevisions>
    </reviewItem>
    <reviewItem>
      <errorID>6cd9ff7d-3228-41e5-a052-15141a4f4aa9</errorID>
      <errorWord>(</errorWord>
      <group>L1_Format</group>
      <groupName>格式问题</groupName>
      <ability>L2_HalfPunc</ability>
      <abilityName>全半角检查</abilityName>
      <candidateList>
        <item>（</item>
      </candidateList>
      <explain>文本全半角错误。</explain>
      <paraID>7ED77D63</paraID>
      <start>14</start>
      <end>15</end>
      <status>unmodified</status>
      <modifiedWord/>
      <trackRevisions>false</trackRevisions>
    </reviewItem>
    <reviewItem>
      <errorID>10dec44d-719a-4417-b08b-0df47b2728fd</errorID>
      <errorWord>)</errorWord>
      <group>L1_Format</group>
      <groupName>格式问题</groupName>
      <ability>L2_HalfPunc</ability>
      <abilityName>全半角检查</abilityName>
      <candidateList>
        <item>）</item>
      </candidateList>
      <explain>文本全半角错误。</explain>
      <paraID>7ED77D63</paraID>
      <start>27</start>
      <end>28</end>
      <status>unmodified</status>
      <modifiedWord/>
      <trackRevisions>false</trackRevisions>
    </reviewItem>
    <reviewItem>
      <errorID>31843ea2-3f7e-4996-ab42-e89488f9ec03</errorID>
      <errorWord>结核杆菌</errorWord>
      <group>L1_Knowledge</group>
      <groupName>知识性问题</groupName>
      <ability>L2_Term</ability>
      <abilityName>专业术语</abilityName>
      <candidateList>
        <item>结核分枝杆菌</item>
      </candidateList>
      <explain>医学名词[结核杆菌]为不规范表述或旧称，其规范书面表述为[结核分枝杆菌]。</explain>
      <paraID>22319862</paraID>
      <start>0</start>
      <end>4</end>
      <status>unmodified</status>
      <modifiedWord/>
      <trackRevisions>false</trackRevisions>
    </reviewItem>
    <reviewItem>
      <errorID>b3855be6-8ca4-4cff-a7f1-7c4e552a1805</errorID>
      <errorWord>结核杆菌</errorWord>
      <group>L1_Knowledge</group>
      <groupName>知识性问题</groupName>
      <ability>L2_Term</ability>
      <abilityName>专业术语</abilityName>
      <candidateList>
        <item>结核分枝杆菌</item>
      </candidateList>
      <explain>医学名词[结核杆菌]为不规范表述或旧称，其规范书面表述为[结核分枝杆菌]。</explain>
      <paraID>3DA5E4B4</paraID>
      <start>21</start>
      <end>25</end>
      <status>unmodified</status>
      <modifiedWord/>
      <trackRevisions>false</trackRevisions>
    </reviewItem>
    <reviewItem>
      <errorID>e60f9e99-2582-462c-becc-be16be48db2e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214AE516</paraID>
      <start>0</start>
      <end>2</end>
      <status>unmodified</status>
      <modifiedWord/>
      <trackRevisions>false</trackRevisions>
    </reviewItem>
    <reviewItem>
      <errorID>df7d8bd3-70c4-472f-bb4b-233355c9f054</errorID>
      <errorWord>)</errorWord>
      <group>L1_Format</group>
      <groupName>格式问题</groupName>
      <ability>L2_HalfPunc</ability>
      <abilityName>全半角检查</abilityName>
      <candidateList>
        <item>）</item>
      </candidateList>
      <explain>文本全半角错误。</explain>
      <paraID>1762C2E8</paraID>
      <start>105</start>
      <end>106</end>
      <status>unmodified</status>
      <modifiedWord/>
      <trackRevisions>false</trackRevisions>
    </reviewItem>
    <reviewItem>
      <errorID>b8af65a2-0c6b-4965-a509-c866888fa5e6</errorID>
      <errorWord>连续性</errorWord>
      <group>L1_Word</group>
      <groupName>字词问题</groupName>
      <ability>L2_Typo</ability>
      <abilityName>字词错误</abilityName>
      <candidateList>
        <item>连续型</item>
      </candidateList>
      <explain/>
      <paraID>1762C2E8</paraID>
      <start>114</start>
      <end>117</end>
      <status>unmodified</status>
      <modifiedWord/>
      <trackRevisions>false</trackRevisions>
    </reviewItem>
    <reviewItem>
      <errorID>1b40a68c-9d0f-47f2-b0f7-10c97a8b5d13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633D3B05</paraID>
      <start>0</start>
      <end>2</end>
      <status>unmodified</status>
      <modifiedWord/>
      <trackRevisions>false</trackRevisions>
    </reviewItem>
    <reviewItem>
      <errorID>56bd1f49-3042-4549-83ca-78914b7018ea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61C2F702</paraID>
      <start>0</start>
      <end>2</end>
      <status>unmodified</status>
      <modifiedWord/>
      <trackRevisions>false</trackRevisions>
    </reviewItem>
    <reviewItem>
      <errorID>76ba912e-0a56-41cf-bb89-71d9b9f5b767</errorID>
      <errorWord>监测</errorWord>
      <group>L1_Word</group>
      <groupName>字词问题</groupName>
      <ability>L2_Typo</ability>
      <abilityName>字词错误</abilityName>
      <candidateList>
        <item>检测</item>
      </candidateList>
      <explain/>
      <paraID>61C2F702</paraID>
      <start>4</start>
      <end>6</end>
      <status>unmodified</status>
      <modifiedWord/>
      <trackRevisions>false</trackRevisions>
    </reviewItem>
    <reviewItem>
      <errorID>ccd4829d-1759-42b8-834a-6dbd39f9c971</errorID>
      <errorWord>(</errorWord>
      <group>L1_Format</group>
      <groupName>格式问题</groupName>
      <ability>L2_HalfPunc</ability>
      <abilityName>全半角检查</abilityName>
      <candidateList>
        <item>（</item>
      </candidateList>
      <explain>文本全半角错误。</explain>
      <paraID>587F94C3</paraID>
      <start>16</start>
      <end>17</end>
      <status>unmodified</status>
      <modifiedWord/>
      <trackRevisions>false</trackRevisions>
    </reviewItem>
    <reviewItem>
      <errorID>48f8f976-7ab8-4ccc-a869-c0482389ef69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7532982A</paraID>
      <start>0</start>
      <end>2</end>
      <status>unmodified</status>
      <modifiedWord/>
      <trackRevisions>false</trackRevisions>
    </reviewItem>
    <reviewItem>
      <errorID>24794891-da44-416f-aeb8-575558976190</errorID>
      <errorWord>;</errorWord>
      <group>L1_Format</group>
      <groupName>格式问题</groupName>
      <ability>L2_HalfPunc</ability>
      <abilityName>全半角检查</abilityName>
      <candidateList>
        <item>；</item>
      </candidateList>
      <explain>文本全半角错误。</explain>
      <paraID>54479B34</paraID>
      <start>26</start>
      <end>27</end>
      <status>unmodified</status>
      <modifiedWord/>
      <trackRevisions>false</trackRevisions>
    </reviewItem>
    <reviewItem>
      <errorID>101935e2-d03d-4fcf-aaf8-219d71dfb29a</errorID>
      <errorWord>;</errorWord>
      <group>L1_Format</group>
      <groupName>格式问题</groupName>
      <ability>L2_HalfPunc</ability>
      <abilityName>全半角检查</abilityName>
      <candidateList>
        <item>；</item>
      </candidateList>
      <explain>文本全半角错误。</explain>
      <paraID>5CC5AC18</paraID>
      <start>31</start>
      <end>32</end>
      <status>unmodified</status>
      <modifiedWord/>
      <trackRevisions>false</trackRevisions>
    </reviewItem>
    <reviewItem>
      <errorID>113dd83a-f96e-414d-a7b5-144393a5345e</errorID>
      <errorWord>;</errorWord>
      <group>L1_Format</group>
      <groupName>格式问题</groupName>
      <ability>L2_HalfPunc</ability>
      <abilityName>全半角检查</abilityName>
      <candidateList>
        <item>；</item>
      </candidateList>
      <explain>文本全半角错误。</explain>
      <paraID>3DE1BDAA</paraID>
      <start>35</start>
      <end>36</end>
      <status>unmodified</status>
      <modifiedWord/>
      <trackRevisions>false</trackRevisions>
    </reviewItem>
    <reviewItem>
      <errorID>7ea5be1a-3f5d-4b52-b604-18681f419541</errorID>
      <errorWord>;</errorWord>
      <group>L1_Format</group>
      <groupName>格式问题</groupName>
      <ability>L2_HalfPunc</ability>
      <abilityName>全半角检查</abilityName>
      <candidateList>
        <item>；</item>
      </candidateList>
      <explain>文本全半角错误。</explain>
      <paraID>3DE1BDAA</paraID>
      <start>62</start>
      <end>63</end>
      <status>unmodified</status>
      <modifiedWord/>
      <trackRevisions>false</trackRevisions>
    </reviewItem>
    <reviewItem>
      <errorID>c4fc3eea-2958-482c-8626-8682ef653797</errorID>
      <errorWord>;</errorWord>
      <group>L1_Format</group>
      <groupName>格式问题</groupName>
      <ability>L2_HalfPunc</ability>
      <abilityName>全半角检查</abilityName>
      <candidateList>
        <item>；</item>
      </candidateList>
      <explain>文本全半角错误。</explain>
      <paraID>45C42743</paraID>
      <start>52</start>
      <end>53</end>
      <status>unmodified</status>
      <modifiedWord/>
      <trackRevisions>false</trackRevisions>
    </reviewItem>
    <reviewItem>
      <errorID>61cb7f86-936d-4279-b5af-1c4906a856f3</errorID>
      <errorWord>;</errorWord>
      <group>L1_Format</group>
      <groupName>格式问题</groupName>
      <ability>L2_HalfPunc</ability>
      <abilityName>全半角检查</abilityName>
      <candidateList>
        <item>；</item>
      </candidateList>
      <explain>文本全半角错误。</explain>
      <paraID>792132AF</paraID>
      <start>25</start>
      <end>26</end>
      <status>unmodified</status>
      <modifiedWord/>
      <trackRevisions>false</trackRevisions>
    </reviewItem>
    <reviewItem>
      <errorID>7b7d51e7-bef6-485d-9247-0677985ca89b</errorID>
      <errorWord>;</errorWord>
      <group>L1_Format</group>
      <groupName>格式问题</groupName>
      <ability>L2_HalfPunc</ability>
      <abilityName>全半角检查</abilityName>
      <candidateList>
        <item>；</item>
      </candidateList>
      <explain>文本全半角错误。</explain>
      <paraID> 90F77BB</paraID>
      <start>27</start>
      <end>28</end>
      <status>unmodified</status>
      <modifiedWord/>
      <trackRevisions>false</trackRevisions>
    </reviewItem>
    <reviewItem>
      <errorID>09c1415b-d08f-437b-89ea-d7d86e473fbf</errorID>
      <errorWord>;</errorWord>
      <group>L1_Format</group>
      <groupName>格式问题</groupName>
      <ability>L2_HalfPunc</ability>
      <abilityName>全半角检查</abilityName>
      <candidateList>
        <item>；</item>
      </candidateList>
      <explain>文本全半角错误。</explain>
      <paraID>623A88DB</paraID>
      <start>19</start>
      <end>20</end>
      <status>unmodified</status>
      <modifiedWord/>
      <trackRevisions>false</trackRevisions>
    </reviewItem>
    <reviewItem>
      <errorID>ca728d4a-618c-44c6-aad0-fe282c1dcdd1</errorID>
      <errorWord>;</errorWord>
      <group>L1_Format</group>
      <groupName>格式问题</groupName>
      <ability>L2_HalfPunc</ability>
      <abilityName>全半角检查</abilityName>
      <candidateList>
        <item>；</item>
      </candidateList>
      <explain>文本全半角错误。</explain>
      <paraID>46BB2A1F</paraID>
      <start>17</start>
      <end>18</end>
      <status>unmodified</status>
      <modifiedWord/>
      <trackRevisions>false</trackRevisions>
    </reviewItem>
    <reviewItem>
      <errorID>ec12f6db-dfa7-4668-8932-8bdc4f5ae083</errorID>
      <errorWord>;</errorWord>
      <group>L1_Format</group>
      <groupName>格式问题</groupName>
      <ability>L2_HalfPunc</ability>
      <abilityName>全半角检查</abilityName>
      <candidateList>
        <item>；</item>
      </candidateList>
      <explain>文本全半角错误。</explain>
      <paraID>3BFD373B</paraID>
      <start>24</start>
      <end>25</end>
      <status>unmodified</status>
      <modifiedWord/>
      <trackRevisions>false</trackRevisions>
    </reviewItem>
    <reviewItem>
      <errorID>6807494c-7d0e-4e1d-baa0-fc3983c6ff7c</errorID>
      <errorWord>;</errorWord>
      <group>L1_Format</group>
      <groupName>格式问题</groupName>
      <ability>L2_HalfPunc</ability>
      <abilityName>全半角检查</abilityName>
      <candidateList>
        <item>；</item>
      </candidateList>
      <explain>文本全半角错误。</explain>
      <paraID>5A484791</paraID>
      <start>10</start>
      <end>11</end>
      <status>unmodified</status>
      <modifiedWord/>
      <trackRevisions>false</trackRevisions>
    </reviewItem>
    <reviewItem>
      <errorID>8481cf75-e57a-484f-ac04-af41d1044eda</errorID>
      <errorWord>;</errorWord>
      <group>L1_Format</group>
      <groupName>格式问题</groupName>
      <ability>L2_HalfPunc</ability>
      <abilityName>全半角检查</abilityName>
      <candidateList>
        <item>；</item>
      </candidateList>
      <explain>文本全半角错误。</explain>
      <paraID> 9B27EE5</paraID>
      <start>18</start>
      <end>19</end>
      <status>unmodified</status>
      <modifiedWord/>
      <trackRevisions>false</trackRevisions>
    </reviewItem>
    <reviewItem>
      <errorID>820b36ff-cedd-4996-a3a4-5e59c0aa0a39</errorID>
      <errorWord>;</errorWord>
      <group>L1_Format</group>
      <groupName>格式问题</groupName>
      <ability>L2_HalfPunc</ability>
      <abilityName>全半角检查</abilityName>
      <candidateList>
        <item>；</item>
      </candidateList>
      <explain>文本全半角错误。</explain>
      <paraID>42F01C49</paraID>
      <start>30</start>
      <end>31</end>
      <status>unmodified</status>
      <modifiedWord/>
      <trackRevisions>false</trackRevisions>
    </reviewItem>
    <reviewItem>
      <errorID>7a38ea3a-cb99-424c-a109-7043e7d170d6</errorID>
      <errorWord>硬制</errorWord>
      <group>L1_Word</group>
      <groupName>字词问题</groupName>
      <ability>L2_Typo</ability>
      <abilityName>字词错误</abilityName>
      <candidateList>
        <item>硬质</item>
      </candidateList>
      <explain/>
      <paraID>4148A16A</paraID>
      <start>62</start>
      <end>64</end>
      <status>unmodified</status>
      <modifiedWord/>
      <trackRevisions>false</trackRevisions>
    </reviewItem>
    <reviewItem>
      <errorID>437cb36a-d7f3-4184-b41c-e65923e7126c</errorID>
      <errorWord>废过</errorWord>
      <group>L1_Word</group>
      <groupName>字词问题</groupName>
      <ability>L2_Typo</ability>
      <abilityName>字词错误</abilityName>
      <candidateList>
        <item>废弃</item>
      </candidateList>
      <explain/>
      <paraID> BA9EF5F</paraID>
      <start>67</start>
      <end>69</end>
      <status>unmodified</status>
      <modifiedWord/>
      <trackRevisions>false</trackRevisions>
    </reviewItem>
    <reviewItem>
      <errorID>5722ecc1-dff0-4214-95c5-0d91d7ac3380</errorID>
      <errorWord>固废物</errorWord>
      <group>L1_Word</group>
      <groupName>字词问题</groupName>
      <ability>L2_Typo</ability>
      <abilityName>字词错误</abilityName>
      <candidateList>
        <item>固体废物</item>
      </candidateList>
      <explain/>
      <paraID> BA9EF5F</paraID>
      <start>151</start>
      <end>154</end>
      <status>unmodified</status>
      <modifiedWord/>
      <trackRevisions>false</trackRevisions>
    </reviewItem>
    <reviewItem>
      <errorID>20e541bd-bafe-4f25-ad39-23332a035f56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65F5E611</paraID>
      <start>0</start>
      <end>2</end>
      <status>unmodified</status>
      <modifiedWord/>
      <trackRevisions>false</trackRevisions>
    </reviewItem>
    <reviewItem>
      <errorID>6f7e62bb-439d-419e-9e5f-ce2704a5d2ae</errorID>
      <errorWord>应由</errorWord>
      <group>L1_Word</group>
      <groupName>字词问题</groupName>
      <ability>L2_Typo</ability>
      <abilityName>字词错误</abilityName>
      <candidateList>
        <item>应有</item>
      </candidateList>
      <explain/>
      <paraID>3F1D15B1</paraID>
      <start>176</start>
      <end>178</end>
      <status>unmodified</status>
      <modifiedWord/>
      <trackRevisions>false</trackRevisions>
    </reviewItem>
    <reviewItem>
      <errorID>ef89e9e7-3837-47fd-aaca-bb56efcdfb40</errorID>
      <errorWord>一次行</errorWord>
      <group>L1_Word</group>
      <groupName>字词问题</groupName>
      <ability>L2_Typo</ability>
      <abilityName>字词错误</abilityName>
      <candidateList>
        <item>一次性</item>
      </candidateList>
      <explain/>
      <paraID>3F1D15B1</paraID>
      <start>197</start>
      <end>200</end>
      <status>unmodified</status>
      <modifiedWord/>
      <trackRevisions>false</trackRevisions>
    </reviewItem>
    <reviewItem>
      <errorID>9c68f79a-1ca8-4870-ac52-01419d573412</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327460C</paraID>
      <start>0</start>
      <end>2</end>
      <status>unmodified</status>
      <modifiedWord/>
      <trackRevisions>false</trackRevisions>
    </reviewItem>
    <reviewItem>
      <errorID>ff6b150b-38c5-46d5-b0bd-c2794a7cb19c</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14B6DE8D</paraID>
      <start>0</start>
      <end>2</end>
      <status>unmodified</status>
      <modifiedWord/>
      <trackRevisions>false</trackRevisions>
    </reviewItem>
    <reviewItem>
      <errorID>6afc751b-cc23-45f0-bf8e-ad3db72f47c2</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468496CC</paraID>
      <start>0</start>
      <end>2</end>
      <status>unmodified</status>
      <modifiedWord/>
      <trackRevisions>false</trackRevisions>
    </reviewItem>
    <reviewItem>
      <errorID>51f0b547-9a20-43df-805e-2c8e44c988ef</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6799FD34</paraID>
      <start>0</start>
      <end>2</end>
      <status>unmodified</status>
      <modifiedWord/>
      <trackRevisions>false</trackRevisions>
    </reviewItem>
    <reviewItem>
      <errorID>662a5c6d-8f22-4dac-b00b-ae1b9018c2ea</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19939FB7</paraID>
      <start>0</start>
      <end>2</end>
      <status>unmodified</status>
      <modifiedWord/>
      <trackRevisions>false</trackRevisions>
    </reviewItem>
    <reviewItem>
      <errorID>963e6a57-d4b6-45d0-b976-9d7f7cd611e2</errorID>
      <errorWord>f、</errorWord>
      <group>L1_Format</group>
      <groupName>格式问题</groupName>
      <ability>L2_Ordinal</ability>
      <abilityName>序号格式</abilityName>
      <candidateList>
        <item>f.</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4F62F191</paraID>
      <start>0</start>
      <end>2</end>
      <status>unmodified</status>
      <modifiedWord/>
      <trackRevisions>false</trackRevisions>
    </reviewItem>
    <reviewItem>
      <errorID>8634618d-2919-4a84-bacb-9ff8444eac25</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21DA2976</paraID>
      <start>0</start>
      <end>2</end>
      <status>unmodified</status>
      <modifiedWord/>
      <trackRevisions>false</trackRevisions>
    </reviewItem>
    <reviewItem>
      <errorID>8c779965-3748-4e1d-9aca-aa2be18e7eca</errorID>
      <errorWord>h、</errorWord>
      <group>L1_Format</group>
      <groupName>格式问题</groupName>
      <ability>L2_Ordinal</ability>
      <abilityName>序号格式</abilityName>
      <candidateList>
        <item>h.</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497548EB</paraID>
      <start>0</start>
      <end>2</end>
      <status>unmodified</status>
      <modifiedWord/>
      <trackRevisions>false</trackRevisions>
    </reviewItem>
    <reviewItem>
      <errorID>c76dcd47-8dad-447a-a882-c8554bfe06e2</errorID>
      <errorWord>设</errorWord>
      <group>L1_Word</group>
      <groupName>字词问题</groupName>
      <ability>L2_Typo</ability>
      <abilityName>字词错误</abilityName>
      <candidateList>
        <item>设置</item>
      </candidateList>
      <explain>〈动〉❶设立：这座剧院是为儿童～的。❷安放；安装：～障碍。</explain>
      <paraID>6C132181</paraID>
      <start>160</start>
      <end>161</end>
      <status>unmodified</status>
      <modifiedWord/>
      <trackRevisions>false</trackRevisions>
    </reviewItem>
    <reviewItem>
      <errorID>0e4c1bf5-dd16-4430-aeb1-ff436b2fcb47</errorID>
      <errorWord>IV</errorWord>
      <group>L1_Knowledge</group>
      <groupName>知识性问题</groupName>
      <ability>L2_Knowledge</ability>
      <abilityName>其他知识</abilityName>
      <candidateList>
        <item>Ⅳ</item>
      </candidateList>
      <explain/>
      <paraID>6E213AF8</paraID>
      <start>0</start>
      <end>2</end>
      <status>unmodified</status>
      <modifiedWord/>
      <trackRevisions>false</trackRevisions>
    </reviewItem>
    <reviewItem>
      <errorID>cad31822-8f27-4dcb-8aea-a23223d3717b</errorID>
      <errorWord>III</errorWord>
      <group>L1_Word</group>
      <groupName>字词问题</groupName>
      <ability>L2_Typo</ability>
      <abilityName>字词错误</abilityName>
      <candidateList>
        <item>Ⅲ</item>
      </candidateList>
      <explain/>
      <paraID> BE02239</paraID>
      <start>0</start>
      <end>3</end>
      <status>unmodified</status>
      <modifiedWord/>
      <trackRevisions>false</trackRevisions>
    </reviewItem>
    <reviewItem>
      <errorID>4f6280ca-7f5d-4d56-954f-2dee0e03e80b</errorID>
      <errorWord>，…</errorWord>
      <group>L1_Punc</group>
      <groupName>标点问题</groupName>
      <ability>L2_Punc</ability>
      <abilityName>标点符号检查</abilityName>
      <candidateList>
        <item>，</item>
      </candidateList>
      <explain/>
      <paraID>29183743</paraID>
      <start>8</start>
      <end>10</end>
      <status>unmodified</status>
      <modifiedWord/>
      <trackRevisions>false</trackRevisions>
    </reviewItem>
    <reviewItem>
      <errorID>6e932242-6c06-4696-9b9c-0b0a7bc5b1a1</errorID>
      <errorWord>，…</errorWord>
      <group>L1_Punc</group>
      <groupName>标点问题</groupName>
      <ability>L2_Punc</ability>
      <abilityName>标点符号检查</abilityName>
      <candidateList>
        <item>，</item>
      </candidateList>
      <explain/>
      <paraID>210CCBC6</paraID>
      <start>5</start>
      <end>7</end>
      <status>unmodified</status>
      <modifiedWord/>
      <trackRevisions>false</trackRevisions>
    </reviewItem>
    <reviewItem>
      <errorID>703f711b-eb99-4be0-a8bd-9b6324786e19</errorID>
      <errorWord>(</errorWord>
      <group>L1_Format</group>
      <groupName>格式问题</groupName>
      <ability>L2_HalfPunc</ability>
      <abilityName>全半角检查</abilityName>
      <candidateList>
        <item>（</item>
      </candidateList>
      <explain>文本全半角错误。</explain>
      <paraID> 955B900</paraID>
      <start>2</start>
      <end>3</end>
      <status>unmodified</status>
      <modifiedWord/>
      <trackRevisions>false</trackRevisions>
    </reviewItem>
    <reviewItem>
      <errorID>935d4ca4-0e45-40af-b7d6-141b6eac1ea7</errorID>
      <errorWord>)</errorWord>
      <group>L1_Format</group>
      <groupName>格式问题</groupName>
      <ability>L2_HalfPunc</ability>
      <abilityName>全半角检查</abilityName>
      <candidateList>
        <item>）</item>
      </candidateList>
      <explain>文本全半角错误。</explain>
      <paraID> 955B900</paraID>
      <start>4</start>
      <end>5</end>
      <status>unmodified</status>
      <modifiedWord/>
      <trackRevisions>false</trackRevisions>
    </reviewItem>
    <reviewItem>
      <errorID>db4094fc-325f-4947-a676-52042f9f5226</errorID>
      <errorWord>(</errorWord>
      <group>L1_Format</group>
      <groupName>格式问题</groupName>
      <ability>L2_HalfPunc</ability>
      <abilityName>全半角检查</abilityName>
      <candidateList>
        <item>（</item>
      </candidateList>
      <explain>文本全半角错误。</explain>
      <paraID>6462A76A</paraID>
      <start>2</start>
      <end>3</end>
      <status>unmodified</status>
      <modifiedWord/>
      <trackRevisions>false</trackRevisions>
    </reviewItem>
    <reviewItem>
      <errorID>77013fd1-c7e0-45b1-b633-db6e9ac7792d</errorID>
      <errorWord>)</errorWord>
      <group>L1_Format</group>
      <groupName>格式问题</groupName>
      <ability>L2_HalfPunc</ability>
      <abilityName>全半角检查</abilityName>
      <candidateList>
        <item>）</item>
      </candidateList>
      <explain>文本全半角错误。</explain>
      <paraID>6462A76A</paraID>
      <start>4</start>
      <end>5</end>
      <status>unmodified</status>
      <modifiedWord/>
      <trackRevisions>false</trackRevisions>
    </reviewItem>
    <reviewItem>
      <errorID>0e42d20e-4c29-4bae-a1d2-9d5f5db76b4c</errorID>
      <errorWord>交叉传染</errorWord>
      <group>L1_Word</group>
      <groupName>字词问题</groupName>
      <ability>L2_Typo</ability>
      <abilityName>字词错误</abilityName>
      <candidateList>
        <item>交叉感染</item>
      </candidateList>
      <explain/>
      <paraID>70A7BAC2</paraID>
      <start>154</start>
      <end>158</end>
      <status>unmodified</status>
      <modifiedWord/>
      <trackRevisions>false</trackRevisions>
    </reviewItem>
    <reviewItem>
      <errorID>adf14ac9-a407-4a63-9e64-3983559fd1ff</errorID>
      <errorWord>尾号性</errorWord>
      <group>L1_Word</group>
      <groupName>字词问题</groupName>
      <ability>L2_Typo</ability>
      <abilityName>字词错误</abilityName>
      <candidateList>
        <item>尾号型</item>
      </candidateList>
      <explain/>
      <paraID>70A7BAC2</paraID>
      <start>174</start>
      <end>177</end>
      <status>unmodified</status>
      <modifiedWord/>
      <trackRevisions>false</trackRevisions>
    </reviewItem>
    <reviewItem>
      <errorID>9223e2a6-80e0-4932-9782-01c06019b16c</errorID>
      <errorWord>泄露</errorWord>
      <group>L1_Word</group>
      <groupName>字词问题</groupName>
      <ability>L2_Typo</ability>
      <abilityName>字词错误</abilityName>
      <candidateList>
        <item>泄漏</item>
      </candidateList>
      <explain>存在发音相同字词的误用。</explain>
      <paraID>6E5E1D7D</paraID>
      <start>11</start>
      <end>13</end>
      <status>unmodified</status>
      <modifiedWord/>
      <trackRevisions>false</trackRevisions>
    </reviewItem>
    <reviewItem>
      <errorID>ac0f76a2-9db3-4b1f-bde7-c5da6eb105b1</errorID>
      <errorWord>泄露</errorWord>
      <group>L1_Word</group>
      <groupName>字词问题</groupName>
      <ability>L2_Typo</ability>
      <abilityName>字词错误</abilityName>
      <candidateList>
        <item>泄漏</item>
      </candidateList>
      <explain/>
      <paraID>18803BB4</paraID>
      <start>11</start>
      <end>13</end>
      <status>unmodified</status>
      <modifiedWord/>
      <trackRevisions>false</trackRevisions>
    </reviewItem>
    <reviewItem>
      <errorID>12a85bde-b3c0-4ab2-96a7-618eb5160cc8</errorID>
      <errorWord>设</errorWord>
      <group>L1_Word</group>
      <groupName>字词问题</groupName>
      <ability>L2_Typo</ability>
      <abilityName>字词错误</abilityName>
      <candidateList>
        <item>设立</item>
      </candidateList>
      <explain/>
      <paraID>18803BB4</paraID>
      <start>18</start>
      <end>19</end>
      <status>unmodified</status>
      <modifiedWord/>
      <trackRevisions>false</trackRevisions>
    </reviewItem>
    <reviewItem>
      <errorID>f506e020-3263-4601-b4f6-5530673ff06a</errorID>
      <errorWord>内应按</errorWord>
      <group>L1_Word</group>
      <groupName>字词问题</groupName>
      <ability>L2_Typo</ability>
      <abilityName>字词错误</abilityName>
      <candidateList>
        <item>内应</item>
      </candidateList>
      <explain/>
      <paraID>4FF81F9B</paraID>
      <start>5</start>
      <end>8</end>
      <status>unmodified</status>
      <modifiedWord/>
      <trackRevisions>false</trackRevisions>
    </reviewItem>
    <reviewItem>
      <errorID>e4fa27dc-674c-44a1-a2b6-ddf051124cab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52354D4</paraID>
      <start>61</start>
      <end>62</end>
      <status>unmodified</status>
      <modifiedWord/>
      <trackRevisions>false</trackRevisions>
    </reviewItem>
    <reviewItem>
      <errorID>1da58bd5-08b2-4c1c-9e80-2e8df99fdd38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57CABC09</paraID>
      <start>38</start>
      <end>39</end>
      <status>unmodified</status>
      <modifiedWord/>
      <trackRevisions>false</trackRevisions>
    </reviewItem>
    <reviewItem>
      <errorID>1a066ae0-fd80-4117-8ad3-43632ea73943</errorID>
      <errorWord>几率</errorWord>
      <group>L1_Word</group>
      <groupName>字词问题</groupName>
      <ability>L2_Typo</ability>
      <abilityName>字词错误</abilityName>
      <candidateList>
        <item>概率</item>
      </candidateList>
      <explain/>
      <paraID> F6F3DDC</paraID>
      <start>30</start>
      <end>32</end>
      <status>unmodified</status>
      <modifiedWord/>
      <trackRevisions>false</trackRevisions>
    </reviewItem>
    <reviewItem>
      <errorID>4ee584b7-2d86-4853-abc7-8602eee90813</errorID>
      <errorWord>为年</errorWord>
      <group>L1_Word</group>
      <groupName>字词问题</groupName>
      <ability>L2_Typo</ability>
      <abilityName>字词错误</abilityName>
      <candidateList>
        <item>每年</item>
      </candidateList>
      <explain/>
      <paraID>264A5C93</paraID>
      <start>10</start>
      <end>12</end>
      <status>unmodified</status>
      <modifiedWord/>
      <trackRevisions>false</trackRevisions>
    </reviewItem>
    <reviewItem>
      <errorID>64379a7c-d449-424c-80c5-ece46cd265ed</errorID>
      <errorWord>粪大肠菌数</errorWord>
      <group>L1_Knowledge</group>
      <groupName>知识性问题</groupName>
      <ability>L2_Term</ability>
      <abilityName>专业术语</abilityName>
      <candidateList>
        <item>粪大肠菌群</item>
      </candidateList>
      <explain/>
      <paraID>1CD6F122</paraID>
      <start>0</start>
      <end>5</end>
      <status>unmodified</status>
      <modifiedWord/>
      <trackRevisions>false</trackRevisions>
    </reviewItem>
    <reviewItem>
      <errorID>2a06894d-e87c-4f17-a781-bd4baf8f832a</errorID>
      <errorWord>危险废物物</errorWord>
      <group>L1_Word</group>
      <groupName>字词问题</groupName>
      <ability>L2_Typo</ability>
      <abilityName>字词错误</abilityName>
      <candidateList>
        <item>危险废物</item>
      </candidateList>
      <explain/>
      <paraID>708250F3</paraID>
      <start>7</start>
      <end>12</end>
      <status>unmodified</status>
      <modifiedWord/>
      <trackRevisions>false</trackRevisions>
    </reviewItem>
    <reviewItem>
      <errorID>37ae0598-4fc1-430e-a4e9-4b9a24a5eb44</errorID>
      <errorWord>泄露</errorWord>
      <group>L1_Word</group>
      <groupName>字词问题</groupName>
      <ability>L2_Typo</ability>
      <abilityName>字词错误</abilityName>
      <candidateList>
        <item>泄漏</item>
      </candidateList>
      <explain>存在发音相同字词的误用。</explain>
      <paraID>2CF4ADA3</paraID>
      <start>10</start>
      <end>12</end>
      <status>unmodified</status>
      <modifiedWord/>
      <trackRevisions>false</trackRevisions>
    </reviewItem>
    <reviewItem>
      <errorID>a9c9e13d-15d8-4826-b902-f80e3850b2f6</errorID>
      <errorWord>内应按</errorWord>
      <group>L1_Word</group>
      <groupName>字词问题</groupName>
      <ability>L2_Typo</ability>
      <abilityName>字词错误</abilityName>
      <candidateList>
        <item>内应</item>
      </candidateList>
      <explain/>
      <paraID>55B9C457</paraID>
      <start>6</start>
      <end>9</end>
      <status>unmodified</status>
      <modifiedWord/>
      <trackRevisions>false</trackRevisions>
    </reviewItem>
    <reviewItem>
      <errorID>4f303026-a9de-41aa-bc72-dfdf87596a19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1C0D5871</paraID>
      <start>158</start>
      <end>159</end>
      <status>unmodified</status>
      <modifiedWord/>
      <trackRevisions>false</trackRevisions>
    </reviewItem>
    <reviewItem>
      <errorID>20bc85be-e379-4a55-8a75-f1c6fb4b1236</errorID>
      <errorWord>期</errorWord>
      <group>L1_Word</group>
      <groupName>字词问题</groupName>
      <ability>L2_Typo</ability>
      <abilityName>字词错误</abilityName>
      <candidateList>
        <item>期间</item>
      </candidateList>
      <explain>〈名〉某个时期里面：农忙～｜春节～｜抗战～。</explain>
      <paraID>1C0D5871</paraID>
      <start>166</start>
      <end>167</end>
      <status>unmodified</status>
      <modifiedWord/>
      <trackRevisions>false</trackRevisions>
    </reviewItem>
    <reviewItem>
      <errorID>4e1d451e-9687-4636-98b0-8a6976a7c0b1</errorID>
      <errorWord>(</errorWord>
      <group>L1_Format</group>
      <groupName>格式问题</groupName>
      <ability>L2_HalfPunc</ability>
      <abilityName>全半角检查</abilityName>
      <candidateList>
        <item>（</item>
      </candidateList>
      <explain>文本全半角错误。</explain>
      <paraID>47069F52</paraID>
      <start>0</start>
      <end>1</end>
      <status>unmodified</status>
      <modifiedWord/>
      <trackRevisions>false</trackRevisions>
    </reviewItem>
    <reviewItem>
      <errorID>2c9a6459-d5ae-4a4e-9707-f290f1ea2f6f</errorID>
      <errorWord>;</errorWord>
      <group>L1_Format</group>
      <groupName>格式问题</groupName>
      <ability>L2_HalfPunc</ability>
      <abilityName>全半角检查</abilityName>
      <candidateList>
        <item>；</item>
      </candidateList>
      <explain>文本全半角错误。</explain>
      <paraID>47069F52</paraID>
      <start>24</start>
      <end>25</end>
      <status>unmodified</status>
      <modifiedWord/>
      <trackRevisions>false</trackRevisions>
    </reviewItem>
    <reviewItem>
      <errorID>4a5ae683-4ac4-487e-8732-9991029a485e</errorID>
      <errorWord>(</errorWord>
      <group>L1_Format</group>
      <groupName>格式问题</groupName>
      <ability>L2_HalfPunc</ability>
      <abilityName>全半角检查</abilityName>
      <candidateList>
        <item>（</item>
      </candidateList>
      <explain>文本全半角错误。</explain>
      <paraID>641AF670</paraID>
      <start>0</start>
      <end>1</end>
      <status>unmodified</status>
      <modifiedWord/>
      <trackRevisions>false</trackRevisions>
    </reviewItem>
    <reviewItem>
      <errorID>59e39f7b-7a98-4282-8bf0-ac3dff88f433</errorID>
      <errorWord>;</errorWord>
      <group>L1_Format</group>
      <groupName>格式问题</groupName>
      <ability>L2_HalfPunc</ability>
      <abilityName>全半角检查</abilityName>
      <candidateList>
        <item>；</item>
      </candidateList>
      <explain>文本全半角错误。</explain>
      <paraID>641AF670</paraID>
      <start>15</start>
      <end>16</end>
      <status>unmodified</status>
      <modifiedWord/>
      <trackRevisions>false</trackRevisions>
    </reviewItem>
    <reviewItem>
      <errorID>12159c7b-5db9-46ef-acb5-84394cc45b54</errorID>
      <errorWord>(</errorWord>
      <group>L1_Format</group>
      <groupName>格式问题</groupName>
      <ability>L2_HalfPunc</ability>
      <abilityName>全半角检查</abilityName>
      <candidateList>
        <item>（</item>
      </candidateList>
      <explain>文本全半角错误。</explain>
      <paraID>796D04DF</paraID>
      <start>0</start>
      <end>1</end>
      <status>unmodified</status>
      <modifiedWord/>
      <trackRevisions>false</trackRevisions>
    </reviewItem>
    <reviewItem>
      <errorID>a22eee8e-1439-479c-b8ac-e21afe9b773b</errorID>
      <errorWord>台帐记录</errorWord>
      <group>L1_Word</group>
      <groupName>字词问题</groupName>
      <ability>L2_Alias</ability>
      <abilityName>也作/曾用词</abilityName>
      <candidateList>
        <item>台账记录</item>
      </candidateList>
      <explain>词汇[台帐记录]为不规范表述或旧称，其规范书面表述为[台账记录]。</explain>
      <paraID>796D04DF</paraID>
      <start>20</start>
      <end>24</end>
      <status>unmodified</status>
      <modifiedWord/>
      <trackRevisions>false</trackRevisions>
    </reviewItem>
    <reviewItem>
      <errorID>9cf4a531-5f61-4f74-9cc7-ee78f70d6a66</errorID>
      <errorWord>(</errorWord>
      <group>L1_Format</group>
      <groupName>格式问题</groupName>
      <ability>L2_HalfPunc</ability>
      <abilityName>全半角检查</abilityName>
      <candidateList>
        <item>（</item>
      </candidateList>
      <explain>文本全半角错误。</explain>
      <paraID>297A9F88</paraID>
      <start>0</start>
      <end>1</end>
      <status>unmodified</status>
      <modifiedWord/>
      <trackRevisions>false</trackRevisions>
    </reviewItem>
    <reviewItem>
      <errorID>887c575b-bd26-42fd-abc6-101503c1a1b2</errorID>
      <errorWord>(</errorWord>
      <group>L1_Format</group>
      <groupName>格式问题</groupName>
      <ability>L2_HalfPunc</ability>
      <abilityName>全半角检查</abilityName>
      <candidateList>
        <item>（</item>
      </candidateList>
      <explain>文本全半角错误。</explain>
      <paraID>1A58D951</paraID>
      <start>16</start>
      <end>17</end>
      <status>unmodified</status>
      <modifiedWord/>
      <trackRevisions>false</trackRevisions>
    </reviewItem>
    <reviewItem>
      <errorID>fd6e2eca-ab05-4a4e-bd55-b910f4c369a4</errorID>
      <errorWord>)</errorWord>
      <group>L1_Format</group>
      <groupName>格式问题</groupName>
      <ability>L2_HalfPunc</ability>
      <abilityName>全半角检查</abilityName>
      <candidateList>
        <item>）</item>
      </candidateList>
      <explain>文本全半角错误。</explain>
      <paraID>1A58D951</paraID>
      <start>29</start>
      <end>30</end>
      <status>unmodified</status>
      <modifiedWord/>
      <trackRevisions>false</trackRevisions>
    </reviewItem>
    <reviewItem>
      <errorID>4fd4fde5-92cc-4837-a3c7-a0eb2fad356c</errorID>
      <errorWord>(</errorWord>
      <group>L1_Format</group>
      <groupName>格式问题</groupName>
      <ability>L2_HalfPunc</ability>
      <abilityName>全半角检查</abilityName>
      <candidateList>
        <item>（</item>
      </candidateList>
      <explain>文本全半角错误。</explain>
      <paraID>1A58D951</paraID>
      <start>99</start>
      <end>100</end>
      <status>unmodified</status>
      <modifiedWord/>
      <trackRevisions>false</trackRevisions>
    </reviewItem>
    <reviewItem>
      <errorID>25b3f868-7f89-41b5-b961-f9332e8b0409</errorID>
      <errorWord>)</errorWord>
      <group>L1_Format</group>
      <groupName>格式问题</groupName>
      <ability>L2_HalfPunc</ability>
      <abilityName>全半角检查</abilityName>
      <candidateList>
        <item>）</item>
      </candidateList>
      <explain>文本全半角错误。</explain>
      <paraID>1A58D951</paraID>
      <start>101</start>
      <end>102</end>
      <status>unmodified</status>
      <modifiedWord/>
      <trackRevisions>false</trackRevisions>
    </reviewItem>
    <reviewItem>
      <errorID>2f58af32-63ed-4764-af01-b4459d503d7a</errorID>
      <errorWord>值工</errorWord>
      <group>L1_Word</group>
      <groupName>字词问题</groupName>
      <ability>L2_Typo</ability>
      <abilityName>字词错误</abilityName>
      <candidateList>
        <item>竣工</item>
      </candidateList>
      <explain>〈动〉工程完成：～验收｜提前～｜即将～｜全部～。</explain>
      <paraID>5D95BE8F</paraID>
      <start>9</start>
      <end>11</end>
      <status>unmodified</status>
      <modifiedWord/>
      <trackRevisions>false</trackRevisions>
    </reviewItem>
    <reviewItem>
      <errorID>fc6abf96-5bfe-488d-a286-5887de5c6e10</errorID>
      <errorWord>（2017）4号</errorWord>
      <group>L1_Knowledge</group>
      <groupName>知识性问题</groupName>
      <ability>L2_Knowledge</ability>
      <abilityName>其他知识</abilityName>
      <candidateList>
        <item>〔2017〕4号</item>
      </candidateList>
      <explain>发文字号格式错误。</explain>
      <paraID>5D95BE8F</paraID>
      <start>51</start>
      <end>59</end>
      <status>unmodified</status>
      <modifiedWord/>
      <trackRevisions>false</trackRevisions>
    </reviewItem>
    <reviewItem>
      <errorID>cff914e3-fbcf-4602-b41b-60ef62b416ac</errorID>
      <errorWord>)</errorWord>
      <group>L1_Format</group>
      <groupName>格式问题</groupName>
      <ability>L2_HalfPunc</ability>
      <abilityName>全半角检查</abilityName>
      <candidateList>
        <item>）</item>
      </candidateList>
      <explain>文本全半角错误。</explain>
      <paraID>5D95BE8F</paraID>
      <start>59</start>
      <end>60</end>
      <status>unmodified</status>
      <modifiedWord/>
      <trackRevisions>false</trackRevisions>
    </reviewItem>
    <reviewItem>
      <errorID>972f4b35-f6af-4dc4-a18d-f81b584d3fc8</errorID>
      <errorWord>(</errorWord>
      <group>L1_Format</group>
      <groupName>格式问题</groupName>
      <ability>L2_HalfPunc</ability>
      <abilityName>全半角检查</abilityName>
      <candidateList>
        <item>（</item>
      </candidateList>
      <explain>文本全半角错误。</explain>
      <paraID>5D95BE8F</paraID>
      <start>84</start>
      <end>85</end>
      <status>unmodified</status>
      <modifiedWord/>
      <trackRevisions>false</trackRevisions>
    </reviewItem>
    <reviewItem>
      <errorID>27abbd14-5ad3-42b9-bc77-cbb68011ce65</errorID>
      <errorWord>讲行</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2C1603FE</paraID>
      <start>114</start>
      <end>116</end>
      <status>unmodified</status>
      <modifiedWord/>
      <trackRevisions>false</trackRevisions>
    </reviewItem>
    <reviewItem>
      <errorID>a5a88e15-1987-4265-bd16-adf8f9799c25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449364C</paraID>
      <start>0</start>
      <end>2</end>
      <status>unmodified</status>
      <modifiedWord/>
      <trackRevisions>false</trackRevisions>
    </reviewItem>
    <reviewItem>
      <errorID>44e4633c-2307-4bf7-b40a-2af091fa7ecf</errorID>
      <errorWord>:</errorWord>
      <group>L1_Format</group>
      <groupName>格式问题</groupName>
      <ability>L2_HalfPunc</ability>
      <abilityName>全半角检查</abilityName>
      <candidateList>
        <item>：</item>
      </candidateList>
      <explain>文本全半角错误。</explain>
      <paraID> 449364C</paraID>
      <start>41</start>
      <end>42</end>
      <status>unmodified</status>
      <modifiedWord/>
      <trackRevisions>false</trackRevisions>
    </reviewItem>
    <reviewItem>
      <errorID>ec59738a-672a-4d83-a3d4-e0e98c065740</errorID>
      <errorWord>:</errorWord>
      <group>L1_Format</group>
      <groupName>格式问题</groupName>
      <ability>L2_HalfPunc</ability>
      <abilityName>全半角检查</abilityName>
      <candidateList>
        <item>：</item>
      </candidateList>
      <explain>文本全半角错误。</explain>
      <paraID> 449364C</paraID>
      <start>52</start>
      <end>53</end>
      <status>unmodified</status>
      <modifiedWord/>
      <trackRevisions>false</trackRevisions>
    </reviewItem>
    <reviewItem>
      <errorID>3aa292e9-873b-4842-a8f8-e00bbea4c454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6A8B7A9</paraID>
      <start>0</start>
      <end>2</end>
      <status>unmodified</status>
      <modifiedWord/>
      <trackRevisions>false</trackRevisions>
    </reviewItem>
    <reviewItem>
      <errorID>c3a585bb-5365-4deb-83a9-c3c775dbd671</errorID>
      <errorWord>:</errorWord>
      <group>L1_Format</group>
      <groupName>格式问题</groupName>
      <ability>L2_HalfPunc</ability>
      <abilityName>全半角检查</abilityName>
      <candidateList>
        <item>：</item>
      </candidateList>
      <explain>文本全半角错误。</explain>
      <paraID> 6A8B7A9</paraID>
      <start>31</start>
      <end>32</end>
      <status>unmodified</status>
      <modifiedWord/>
      <trackRevisions>false</trackRevisions>
    </reviewItem>
    <reviewItem>
      <errorID>ee437417-47d9-4134-8ead-61b6b7897bb9</errorID>
      <errorWord>:</errorWord>
      <group>L1_Format</group>
      <groupName>格式问题</groupName>
      <ability>L2_HalfPunc</ability>
      <abilityName>全半角检查</abilityName>
      <candidateList>
        <item>：</item>
      </candidateList>
      <explain>文本全半角错误。</explain>
      <paraID> 6A8B7A9</paraID>
      <start>42</start>
      <end>43</end>
      <status>unmodified</status>
      <modifiedWord/>
      <trackRevisions>false</trackRevisions>
    </reviewItem>
    <reviewItem>
      <errorID>c323e104-a0fb-44ff-a490-9c27807c3d1b</errorID>
      <errorWord>:</errorWord>
      <group>L1_Format</group>
      <groupName>格式问题</groupName>
      <ability>L2_HalfPunc</ability>
      <abilityName>全半角检查</abilityName>
      <candidateList>
        <item>：</item>
      </candidateList>
      <explain>文本全半角错误。</explain>
      <paraID> 6A8B7A9</paraID>
      <start>51</start>
      <end>52</end>
      <status>unmodified</status>
      <modifiedWord/>
      <trackRevisions>false</trackRevisions>
    </reviewItem>
    <reviewItem>
      <errorID>6e4dee81-7db1-45d0-b187-b0e7947e4ac5</errorID>
      <errorWord>;</errorWord>
      <group>L1_Format</group>
      <groupName>格式问题</groupName>
      <ability>L2_HalfPunc</ability>
      <abilityName>全半角检查</abilityName>
      <candidateList>
        <item>；</item>
      </candidateList>
      <explain>文本全半角错误。</explain>
      <paraID> 6A8B7A9</paraID>
      <start>76</start>
      <end>77</end>
      <status>unmodified</status>
      <modifiedWord/>
      <trackRevisions>false</trackRevisions>
    </reviewItem>
    <reviewItem>
      <errorID>0f7e19da-003b-44ce-96f7-751a8b47290c</errorID>
      <errorWord>:</errorWord>
      <group>L1_Format</group>
      <groupName>格式问题</groupName>
      <ability>L2_HalfPunc</ability>
      <abilityName>全半角检查</abilityName>
      <candidateList>
        <item>：</item>
      </candidateList>
      <explain>文本全半角错误。</explain>
      <paraID> 6A8B7A9</paraID>
      <start>83</start>
      <end>84</end>
      <status>unmodified</status>
      <modifiedWord/>
      <trackRevisions>false</trackRevisions>
    </reviewItem>
    <reviewItem>
      <errorID>a70d1fcd-df63-414e-86f0-7f5f5f902851</errorID>
      <errorWord>;</errorWord>
      <group>L1_Format</group>
      <groupName>格式问题</groupName>
      <ability>L2_HalfPunc</ability>
      <abilityName>全半角检查</abilityName>
      <candidateList>
        <item>；</item>
      </candidateList>
      <explain>文本全半角错误。</explain>
      <paraID> 6A8B7A9</paraID>
      <start>92</start>
      <end>93</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b7b4167-b652-4741-be42-97d59a943096}">
  <ds:schemaRefs/>
</ds:datastoreItem>
</file>

<file path=customXml/itemProps3.xml><?xml version="1.0" encoding="utf-8"?>
<ds:datastoreItem xmlns:ds="http://schemas.openxmlformats.org/officeDocument/2006/customXml" ds:itemID="{0A0D11A6-85F1-4463-92D6-F48254FDA047}">
  <ds:schemaRefs/>
</ds:datastoreItem>
</file>

<file path=docProps/app.xml><?xml version="1.0" encoding="utf-8"?>
<Properties xmlns="http://schemas.openxmlformats.org/officeDocument/2006/extended-properties" xmlns:vt="http://schemas.openxmlformats.org/officeDocument/2006/docPropsVTypes">
  <Template>Normal</Template>
  <Pages>138</Pages>
  <Words>73746</Words>
  <Characters>85461</Characters>
  <Lines>361</Lines>
  <Paragraphs>101</Paragraphs>
  <TotalTime>5</TotalTime>
  <ScaleCrop>false</ScaleCrop>
  <LinksUpToDate>false</LinksUpToDate>
  <CharactersWithSpaces>85517</CharactersWithSpaces>
  <Application>WPS Office_12.8.2.17838_F1E327BC-269C-435d-A152-05C5408002CA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2023-09-11T15:50:00Z</dcterms:created>
  <dc:creator>aa</dc:creator>
  <cp:lastModifiedBy>Administrator</cp:lastModifiedBy>
  <cp:lastPrinted>2023-09-22T09:08:00Z</cp:lastPrinted>
  <dcterms:modified xsi:type="dcterms:W3CDTF">2026-04-15T08:01:45Z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2052-12.8.2.17838</vt:lpwstr>
  </property>
  <property fmtid="{D5CDD505-2E9C-101B-9397-08002B2CF9AE}" pid="3" name="ICV">
    <vt:lpwstr>A13A5A57AD634E73B3E1B67FA9F507F9_13</vt:lpwstr>
  </property>
  <property fmtid="{D5CDD505-2E9C-101B-9397-08002B2CF9AE}" pid="4" name="KSOTemplateDocerSaveRecord">
    <vt:lpwstr>eyJoZGlkIjoiNGQ2NjllMTM4YWNkZmJjZDVmZmI1NTQyZTUyZWRhNTciLCJ1c2VySWQiOiIxMTQ3MTU3MzQ4In0=</vt:lpwstr>
  </property>
</Properties>
</file>